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after="0" w:line="100" w:lineRule="atLeast"/>
        <w:rPr>
          <w:rFonts w:ascii="宋体" w:hAnsi="Calibri" w:eastAsia="黑体"/>
          <w:b/>
          <w:kern w:val="2"/>
          <w:sz w:val="36"/>
          <w:szCs w:val="36"/>
          <w:lang w:eastAsia="zh-CN"/>
        </w:rPr>
      </w:pPr>
      <w:bookmarkStart w:id="0" w:name="1"/>
      <w:r>
        <w:rPr>
          <w:rFonts w:hint="eastAsia" w:ascii="宋体" w:hAnsi="Calibri" w:eastAsia="黑体"/>
          <w:b/>
          <w:kern w:val="2"/>
          <w:sz w:val="36"/>
          <w:szCs w:val="36"/>
          <w:lang w:eastAsia="zh-CN"/>
        </w:rPr>
        <w:t>郑商所内部资料</w:t>
      </w:r>
      <w:r>
        <w:rPr>
          <w:rFonts w:hint="eastAsia" w:ascii="楷体_GB2312" w:hAnsi="Calibri" w:eastAsia="楷体_GB2312"/>
          <w:kern w:val="2"/>
          <w:sz w:val="28"/>
          <w:szCs w:val="28"/>
          <w:lang w:eastAsia="zh-CN"/>
        </w:rPr>
        <w:t xml:space="preserve">                          </w:t>
      </w:r>
      <w:r>
        <w:rPr>
          <w:rFonts w:hint="eastAsia" w:ascii="楷体_GB2312" w:hAnsi="Calibri" w:eastAsia="楷体_GB2312"/>
          <w:kern w:val="2"/>
          <w:sz w:val="28"/>
          <w:szCs w:val="28"/>
          <w:lang w:eastAsia="zh-CN"/>
        </w:rPr>
        <w:tab/>
      </w: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pStyle w:val="15"/>
        <w:outlineLvl w:val="9"/>
        <w:rPr>
          <w:rFonts w:ascii="黑体" w:hAnsi="黑体" w:eastAsia="黑体"/>
          <w:color w:val="auto"/>
          <w:sz w:val="72"/>
          <w:szCs w:val="72"/>
          <w:lang w:eastAsia="zh-CN"/>
        </w:rPr>
      </w:pPr>
      <w:bookmarkStart w:id="1" w:name="_Toc9481"/>
      <w:bookmarkStart w:id="2" w:name="_Toc3287"/>
      <w:r>
        <w:rPr>
          <w:rFonts w:hint="eastAsia" w:ascii="黑体" w:hAnsi="黑体" w:eastAsia="黑体"/>
          <w:color w:val="auto"/>
          <w:sz w:val="72"/>
          <w:szCs w:val="72"/>
          <w:lang w:eastAsia="zh-CN"/>
        </w:rPr>
        <w:t>电子</w:t>
      </w:r>
      <w:r>
        <w:rPr>
          <w:rFonts w:ascii="黑体" w:hAnsi="黑体" w:eastAsia="黑体"/>
          <w:color w:val="auto"/>
          <w:sz w:val="72"/>
          <w:szCs w:val="72"/>
          <w:lang w:eastAsia="zh-CN"/>
        </w:rPr>
        <w:t>函证平台</w:t>
      </w:r>
      <w:bookmarkEnd w:id="1"/>
      <w:bookmarkEnd w:id="2"/>
    </w:p>
    <w:bookmarkEnd w:id="0"/>
    <w:p>
      <w:pPr>
        <w:pStyle w:val="15"/>
        <w:outlineLvl w:val="9"/>
        <w:rPr>
          <w:rFonts w:hint="eastAsia" w:ascii="黑体" w:hAnsi="黑体" w:eastAsia="黑体"/>
          <w:color w:val="auto"/>
          <w:sz w:val="72"/>
          <w:szCs w:val="72"/>
          <w:lang w:eastAsia="zh-CN"/>
        </w:rPr>
      </w:pPr>
      <w:r>
        <w:rPr>
          <w:rFonts w:hint="eastAsia" w:ascii="黑体" w:hAnsi="黑体" w:eastAsia="黑体"/>
          <w:color w:val="auto"/>
          <w:sz w:val="72"/>
          <w:szCs w:val="72"/>
          <w:lang w:eastAsia="zh-CN"/>
        </w:rPr>
        <w:t>使用手册</w:t>
      </w:r>
      <w:bookmarkStart w:id="32" w:name="_GoBack"/>
      <w:bookmarkEnd w:id="32"/>
    </w:p>
    <w:p>
      <w:pPr>
        <w:spacing w:before="120"/>
        <w:jc w:val="center"/>
        <w:rPr>
          <w:rFonts w:hint="default" w:ascii="楷体_GB2312" w:hAnsi="华文楷体" w:eastAsia="楷体_GB2312" w:cs="Arial"/>
          <w:b/>
          <w:bCs/>
          <w:color w:val="404040"/>
          <w:kern w:val="28"/>
          <w:sz w:val="72"/>
          <w:szCs w:val="72"/>
          <w:lang w:val="en-US"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pStyle w:val="5"/>
        <w:jc w:val="center"/>
        <w:rPr>
          <w:rFonts w:ascii="Times New Roman" w:hAnsi="Times New Roman" w:eastAsia="楷体_GB2312"/>
          <w:kern w:val="2"/>
          <w:sz w:val="36"/>
          <w:szCs w:val="36"/>
          <w:lang w:eastAsia="zh-CN"/>
        </w:rPr>
      </w:pPr>
      <w:r>
        <w:rPr>
          <w:rFonts w:ascii="Times New Roman" w:hAnsi="Times New Roman" w:eastAsia="楷体_GB2312"/>
          <w:kern w:val="2"/>
          <w:sz w:val="36"/>
          <w:szCs w:val="36"/>
          <w:lang w:eastAsia="zh-CN"/>
        </w:rPr>
        <w:t>郑州商品交易所</w:t>
      </w:r>
    </w:p>
    <w:p>
      <w:pPr>
        <w:spacing w:after="0"/>
        <w:rPr>
          <w:rFonts w:eastAsia="黑体"/>
          <w:sz w:val="44"/>
          <w:lang w:eastAsia="zh-CN"/>
        </w:rPr>
      </w:pPr>
      <w:r>
        <w:rPr>
          <w:rFonts w:ascii="Times New Roman" w:hAnsi="Times New Roman" w:eastAsia="楷体_GB2312"/>
          <w:kern w:val="2"/>
          <w:sz w:val="36"/>
          <w:szCs w:val="36"/>
          <w:lang w:eastAsia="zh-CN"/>
        </w:rPr>
        <w:br w:type="page"/>
      </w:r>
    </w:p>
    <w:sdt>
      <w:sdtPr>
        <w:rPr>
          <w:rFonts w:ascii="宋体" w:hAnsi="宋体" w:eastAsia="宋体" w:cstheme="minorBidi"/>
          <w:b/>
          <w:bCs/>
          <w:kern w:val="2"/>
          <w:sz w:val="44"/>
          <w:szCs w:val="44"/>
          <w:lang w:val="en-US" w:eastAsia="zh-CN" w:bidi="ar-SA"/>
        </w:rPr>
        <w:id w:val="147478584"/>
        <w15:color w:val="DBDBDB"/>
        <w:docPartObj>
          <w:docPartGallery w:val="Table of Contents"/>
          <w:docPartUnique/>
        </w:docPartObj>
      </w:sdtPr>
      <w:sdtEndPr>
        <w:rPr>
          <w:rFonts w:ascii="宋体" w:hAnsi="宋体" w:eastAsia="宋体" w:cstheme="minorBidi"/>
          <w:b/>
          <w:bCs/>
          <w:kern w:val="2"/>
          <w:sz w:val="44"/>
          <w:szCs w:val="44"/>
          <w:lang w:val="en-US" w:eastAsia="zh-CN" w:bidi="ar-SA"/>
        </w:rPr>
      </w:sdtEndPr>
      <w:sdtContent>
        <w:p>
          <w:pPr>
            <w:jc w:val="center"/>
            <w:rPr>
              <w:rFonts w:asciiTheme="minorHAnsi" w:hAnsiTheme="minorHAnsi" w:eastAsiaTheme="minorEastAsia" w:cstheme="minorBidi"/>
              <w:kern w:val="2"/>
              <w:sz w:val="21"/>
              <w:szCs w:val="24"/>
              <w:lang w:val="en-US" w:eastAsia="zh-CN" w:bidi="ar-SA"/>
            </w:rPr>
          </w:pPr>
          <w:r>
            <w:rPr>
              <w:rFonts w:ascii="宋体" w:hAnsi="宋体" w:eastAsia="宋体"/>
              <w:b/>
              <w:bCs/>
              <w:sz w:val="44"/>
              <w:szCs w:val="44"/>
            </w:rPr>
            <w:t>目录</w:t>
          </w:r>
          <w:r>
            <w:fldChar w:fldCharType="begin"/>
          </w:r>
          <w:r>
            <w:instrText xml:space="preserve">TOC \o "1-3" \h \u </w:instrText>
          </w:r>
          <w:r>
            <w:fldChar w:fldCharType="separate"/>
          </w:r>
        </w:p>
        <w:p>
          <w:pPr>
            <w:pStyle w:val="9"/>
            <w:tabs>
              <w:tab w:val="right" w:leader="dot" w:pos="8306"/>
            </w:tabs>
          </w:pPr>
          <w:r>
            <w:fldChar w:fldCharType="begin"/>
          </w:r>
          <w:r>
            <w:instrText xml:space="preserve"> HYPERLINK \l _Toc29962 </w:instrText>
          </w:r>
          <w:r>
            <w:fldChar w:fldCharType="separate"/>
          </w:r>
          <w:r>
            <w:rPr>
              <w:rFonts w:hint="eastAsia" w:ascii="黑体" w:hAnsi="黑体" w:eastAsia="黑体" w:cs="黑体"/>
              <w:bCs w:val="0"/>
              <w:lang w:val="en-US" w:eastAsia="zh-CN"/>
            </w:rPr>
            <w:t>1.</w:t>
          </w:r>
          <w:r>
            <w:rPr>
              <w:rFonts w:hint="eastAsia" w:ascii="黑体" w:hAnsi="黑体" w:eastAsia="黑体" w:cs="黑体"/>
              <w:bCs w:val="0"/>
            </w:rPr>
            <w:t>引言</w:t>
          </w:r>
          <w:r>
            <w:tab/>
          </w:r>
          <w:r>
            <w:fldChar w:fldCharType="begin"/>
          </w:r>
          <w:r>
            <w:instrText xml:space="preserve"> PAGEREF _Toc29962 \h </w:instrText>
          </w:r>
          <w:r>
            <w:fldChar w:fldCharType="separate"/>
          </w:r>
          <w:r>
            <w:t>3</w:t>
          </w:r>
          <w:r>
            <w:fldChar w:fldCharType="end"/>
          </w:r>
          <w:r>
            <w:fldChar w:fldCharType="end"/>
          </w:r>
        </w:p>
        <w:p>
          <w:pPr>
            <w:pStyle w:val="9"/>
            <w:tabs>
              <w:tab w:val="right" w:leader="dot" w:pos="8306"/>
            </w:tabs>
          </w:pPr>
          <w:r>
            <w:fldChar w:fldCharType="begin"/>
          </w:r>
          <w:r>
            <w:instrText xml:space="preserve"> HYPERLINK \l _Toc7478 </w:instrText>
          </w:r>
          <w:r>
            <w:fldChar w:fldCharType="separate"/>
          </w:r>
          <w:r>
            <w:rPr>
              <w:rFonts w:hint="eastAsia" w:ascii="黑体" w:hAnsi="黑体" w:eastAsia="黑体" w:cs="黑体"/>
              <w:bCs w:val="0"/>
              <w:lang w:val="en-US" w:eastAsia="zh-CN"/>
            </w:rPr>
            <w:t>2.函证授权管理（期货公司部分）</w:t>
          </w:r>
          <w:r>
            <w:tab/>
          </w:r>
          <w:r>
            <w:fldChar w:fldCharType="begin"/>
          </w:r>
          <w:r>
            <w:instrText xml:space="preserve"> PAGEREF _Toc7478 \h </w:instrText>
          </w:r>
          <w:r>
            <w:fldChar w:fldCharType="separate"/>
          </w:r>
          <w:r>
            <w:t>3</w:t>
          </w:r>
          <w:r>
            <w:fldChar w:fldCharType="end"/>
          </w:r>
          <w:r>
            <w:fldChar w:fldCharType="end"/>
          </w:r>
        </w:p>
        <w:p>
          <w:pPr>
            <w:pStyle w:val="10"/>
            <w:tabs>
              <w:tab w:val="right" w:leader="dot" w:pos="8306"/>
            </w:tabs>
          </w:pPr>
          <w:r>
            <w:fldChar w:fldCharType="begin"/>
          </w:r>
          <w:r>
            <w:instrText xml:space="preserve"> HYPERLINK \l _Toc11412 </w:instrText>
          </w:r>
          <w:r>
            <w:fldChar w:fldCharType="separate"/>
          </w:r>
          <w:r>
            <w:rPr>
              <w:rFonts w:hint="eastAsia" w:ascii="楷体" w:hAnsi="楷体" w:eastAsia="楷体" w:cs="楷体"/>
              <w:szCs w:val="32"/>
              <w:lang w:val="en-US" w:eastAsia="zh-CN"/>
            </w:rPr>
            <w:t>2.1新增授权及登录账号密码获取</w:t>
          </w:r>
          <w:r>
            <w:tab/>
          </w:r>
          <w:r>
            <w:fldChar w:fldCharType="begin"/>
          </w:r>
          <w:r>
            <w:instrText xml:space="preserve"> PAGEREF _Toc11412 \h </w:instrText>
          </w:r>
          <w:r>
            <w:fldChar w:fldCharType="separate"/>
          </w:r>
          <w:r>
            <w:t>3</w:t>
          </w:r>
          <w:r>
            <w:fldChar w:fldCharType="end"/>
          </w:r>
          <w:r>
            <w:fldChar w:fldCharType="end"/>
          </w:r>
        </w:p>
        <w:p>
          <w:pPr>
            <w:pStyle w:val="6"/>
            <w:tabs>
              <w:tab w:val="right" w:leader="dot" w:pos="8306"/>
            </w:tabs>
          </w:pPr>
          <w:r>
            <w:fldChar w:fldCharType="begin"/>
          </w:r>
          <w:r>
            <w:instrText xml:space="preserve"> HYPERLINK \l _Toc10310 </w:instrText>
          </w:r>
          <w:r>
            <w:fldChar w:fldCharType="separate"/>
          </w:r>
          <w:r>
            <w:rPr>
              <w:rFonts w:hint="eastAsia" w:ascii="仿宋" w:hAnsi="仿宋" w:eastAsia="仿宋" w:cs="仿宋"/>
              <w:szCs w:val="32"/>
              <w:lang w:val="en-US" w:eastAsia="zh-CN"/>
            </w:rPr>
            <w:t>2.1.1.功能介绍</w:t>
          </w:r>
          <w:r>
            <w:tab/>
          </w:r>
          <w:r>
            <w:fldChar w:fldCharType="begin"/>
          </w:r>
          <w:r>
            <w:instrText xml:space="preserve"> PAGEREF _Toc10310 \h </w:instrText>
          </w:r>
          <w:r>
            <w:fldChar w:fldCharType="separate"/>
          </w:r>
          <w:r>
            <w:t>4</w:t>
          </w:r>
          <w:r>
            <w:fldChar w:fldCharType="end"/>
          </w:r>
          <w:r>
            <w:fldChar w:fldCharType="end"/>
          </w:r>
        </w:p>
        <w:p>
          <w:pPr>
            <w:pStyle w:val="6"/>
            <w:tabs>
              <w:tab w:val="right" w:leader="dot" w:pos="8306"/>
            </w:tabs>
          </w:pPr>
          <w:r>
            <w:fldChar w:fldCharType="begin"/>
          </w:r>
          <w:r>
            <w:instrText xml:space="preserve"> HYPERLINK \l _Toc13183 </w:instrText>
          </w:r>
          <w:r>
            <w:fldChar w:fldCharType="separate"/>
          </w:r>
          <w:r>
            <w:rPr>
              <w:rFonts w:hint="eastAsia" w:ascii="仿宋" w:hAnsi="仿宋" w:eastAsia="仿宋" w:cs="仿宋"/>
              <w:szCs w:val="32"/>
              <w:lang w:val="en-US" w:eastAsia="zh-CN"/>
            </w:rPr>
            <w:t>2.1.2.新增授权</w:t>
          </w:r>
          <w:r>
            <w:tab/>
          </w:r>
          <w:r>
            <w:fldChar w:fldCharType="begin"/>
          </w:r>
          <w:r>
            <w:instrText xml:space="preserve"> PAGEREF _Toc13183 \h </w:instrText>
          </w:r>
          <w:r>
            <w:fldChar w:fldCharType="separate"/>
          </w:r>
          <w:r>
            <w:t>4</w:t>
          </w:r>
          <w:r>
            <w:fldChar w:fldCharType="end"/>
          </w:r>
          <w:r>
            <w:fldChar w:fldCharType="end"/>
          </w:r>
        </w:p>
        <w:p>
          <w:pPr>
            <w:pStyle w:val="6"/>
            <w:tabs>
              <w:tab w:val="right" w:leader="dot" w:pos="8306"/>
            </w:tabs>
          </w:pPr>
          <w:r>
            <w:fldChar w:fldCharType="begin"/>
          </w:r>
          <w:r>
            <w:instrText xml:space="preserve"> HYPERLINK \l _Toc25561 </w:instrText>
          </w:r>
          <w:r>
            <w:fldChar w:fldCharType="separate"/>
          </w:r>
          <w:r>
            <w:rPr>
              <w:rFonts w:hint="eastAsia" w:ascii="仿宋" w:hAnsi="仿宋" w:eastAsia="仿宋" w:cs="仿宋"/>
              <w:szCs w:val="32"/>
              <w:lang w:val="en-US" w:eastAsia="zh-CN"/>
            </w:rPr>
            <w:t>2.1.3.获取函证平台登录账号</w:t>
          </w:r>
          <w:r>
            <w:tab/>
          </w:r>
          <w:r>
            <w:fldChar w:fldCharType="begin"/>
          </w:r>
          <w:r>
            <w:instrText xml:space="preserve"> PAGEREF _Toc25561 \h </w:instrText>
          </w:r>
          <w:r>
            <w:fldChar w:fldCharType="separate"/>
          </w:r>
          <w:r>
            <w:t>5</w:t>
          </w:r>
          <w:r>
            <w:fldChar w:fldCharType="end"/>
          </w:r>
          <w:r>
            <w:fldChar w:fldCharType="end"/>
          </w:r>
        </w:p>
        <w:p>
          <w:pPr>
            <w:pStyle w:val="6"/>
            <w:tabs>
              <w:tab w:val="right" w:leader="dot" w:pos="8306"/>
            </w:tabs>
          </w:pPr>
          <w:r>
            <w:fldChar w:fldCharType="begin"/>
          </w:r>
          <w:r>
            <w:instrText xml:space="preserve"> HYPERLINK \l _Toc13804 </w:instrText>
          </w:r>
          <w:r>
            <w:fldChar w:fldCharType="separate"/>
          </w:r>
          <w:r>
            <w:rPr>
              <w:rFonts w:hint="eastAsia" w:ascii="仿宋" w:hAnsi="仿宋" w:eastAsia="仿宋" w:cs="仿宋"/>
              <w:szCs w:val="32"/>
              <w:lang w:val="en-US" w:eastAsia="zh-CN"/>
            </w:rPr>
            <w:t>2.1.4.获取函证平台登录密码</w:t>
          </w:r>
          <w:r>
            <w:tab/>
          </w:r>
          <w:r>
            <w:fldChar w:fldCharType="begin"/>
          </w:r>
          <w:r>
            <w:instrText xml:space="preserve"> PAGEREF _Toc13804 \h </w:instrText>
          </w:r>
          <w:r>
            <w:fldChar w:fldCharType="separate"/>
          </w:r>
          <w:r>
            <w:t>5</w:t>
          </w:r>
          <w:r>
            <w:fldChar w:fldCharType="end"/>
          </w:r>
          <w:r>
            <w:fldChar w:fldCharType="end"/>
          </w:r>
        </w:p>
        <w:p>
          <w:pPr>
            <w:pStyle w:val="6"/>
            <w:tabs>
              <w:tab w:val="right" w:leader="dot" w:pos="8306"/>
            </w:tabs>
          </w:pPr>
          <w:r>
            <w:fldChar w:fldCharType="begin"/>
          </w:r>
          <w:r>
            <w:instrText xml:space="preserve"> HYPERLINK \l _Toc19131 </w:instrText>
          </w:r>
          <w:r>
            <w:fldChar w:fldCharType="separate"/>
          </w:r>
          <w:r>
            <w:rPr>
              <w:rFonts w:hint="eastAsia" w:ascii="仿宋" w:hAnsi="仿宋" w:eastAsia="仿宋" w:cs="仿宋"/>
              <w:szCs w:val="32"/>
              <w:lang w:val="en-US" w:eastAsia="zh-CN"/>
            </w:rPr>
            <w:t>2.1.5.注意事项</w:t>
          </w:r>
          <w:r>
            <w:tab/>
          </w:r>
          <w:r>
            <w:fldChar w:fldCharType="begin"/>
          </w:r>
          <w:r>
            <w:instrText xml:space="preserve"> PAGEREF _Toc19131 \h </w:instrText>
          </w:r>
          <w:r>
            <w:fldChar w:fldCharType="separate"/>
          </w:r>
          <w:r>
            <w:t>5</w:t>
          </w:r>
          <w:r>
            <w:fldChar w:fldCharType="end"/>
          </w:r>
          <w:r>
            <w:fldChar w:fldCharType="end"/>
          </w:r>
        </w:p>
        <w:p>
          <w:pPr>
            <w:pStyle w:val="10"/>
            <w:tabs>
              <w:tab w:val="right" w:leader="dot" w:pos="8306"/>
            </w:tabs>
          </w:pPr>
          <w:r>
            <w:fldChar w:fldCharType="begin"/>
          </w:r>
          <w:r>
            <w:instrText xml:space="preserve"> HYPERLINK \l _Toc3557 </w:instrText>
          </w:r>
          <w:r>
            <w:fldChar w:fldCharType="separate"/>
          </w:r>
          <w:r>
            <w:rPr>
              <w:rFonts w:hint="eastAsia" w:ascii="楷体" w:hAnsi="楷体" w:eastAsia="楷体" w:cs="楷体"/>
              <w:szCs w:val="32"/>
              <w:lang w:val="en-US" w:eastAsia="zh-CN"/>
            </w:rPr>
            <w:t>2.2.查询及变更授权状态</w:t>
          </w:r>
          <w:r>
            <w:tab/>
          </w:r>
          <w:r>
            <w:fldChar w:fldCharType="begin"/>
          </w:r>
          <w:r>
            <w:instrText xml:space="preserve"> PAGEREF _Toc3557 \h </w:instrText>
          </w:r>
          <w:r>
            <w:fldChar w:fldCharType="separate"/>
          </w:r>
          <w:r>
            <w:t>6</w:t>
          </w:r>
          <w:r>
            <w:fldChar w:fldCharType="end"/>
          </w:r>
          <w:r>
            <w:fldChar w:fldCharType="end"/>
          </w:r>
        </w:p>
        <w:p>
          <w:pPr>
            <w:pStyle w:val="6"/>
            <w:tabs>
              <w:tab w:val="right" w:leader="dot" w:pos="8306"/>
            </w:tabs>
          </w:pPr>
          <w:r>
            <w:fldChar w:fldCharType="begin"/>
          </w:r>
          <w:r>
            <w:instrText xml:space="preserve"> HYPERLINK \l _Toc6040 </w:instrText>
          </w:r>
          <w:r>
            <w:fldChar w:fldCharType="separate"/>
          </w:r>
          <w:r>
            <w:rPr>
              <w:rFonts w:hint="eastAsia" w:ascii="仿宋" w:hAnsi="仿宋" w:eastAsia="仿宋" w:cs="仿宋"/>
              <w:szCs w:val="32"/>
              <w:lang w:val="en-US" w:eastAsia="zh-CN"/>
            </w:rPr>
            <w:t>2.2.1.功能介绍</w:t>
          </w:r>
          <w:r>
            <w:tab/>
          </w:r>
          <w:r>
            <w:fldChar w:fldCharType="begin"/>
          </w:r>
          <w:r>
            <w:instrText xml:space="preserve"> PAGEREF _Toc6040 \h </w:instrText>
          </w:r>
          <w:r>
            <w:fldChar w:fldCharType="separate"/>
          </w:r>
          <w:r>
            <w:t>6</w:t>
          </w:r>
          <w:r>
            <w:fldChar w:fldCharType="end"/>
          </w:r>
          <w:r>
            <w:fldChar w:fldCharType="end"/>
          </w:r>
        </w:p>
        <w:p>
          <w:pPr>
            <w:pStyle w:val="6"/>
            <w:tabs>
              <w:tab w:val="right" w:leader="dot" w:pos="8306"/>
            </w:tabs>
          </w:pPr>
          <w:r>
            <w:fldChar w:fldCharType="begin"/>
          </w:r>
          <w:r>
            <w:instrText xml:space="preserve"> HYPERLINK \l _Toc14621 </w:instrText>
          </w:r>
          <w:r>
            <w:fldChar w:fldCharType="separate"/>
          </w:r>
          <w:r>
            <w:rPr>
              <w:rFonts w:hint="eastAsia" w:ascii="仿宋" w:hAnsi="仿宋" w:eastAsia="仿宋" w:cs="仿宋"/>
              <w:szCs w:val="32"/>
              <w:lang w:val="en-US" w:eastAsia="zh-CN"/>
            </w:rPr>
            <w:t>2.2.2.函证账号使用限制</w:t>
          </w:r>
          <w:r>
            <w:tab/>
          </w:r>
          <w:r>
            <w:fldChar w:fldCharType="begin"/>
          </w:r>
          <w:r>
            <w:instrText xml:space="preserve"> PAGEREF _Toc14621 \h </w:instrText>
          </w:r>
          <w:r>
            <w:fldChar w:fldCharType="separate"/>
          </w:r>
          <w:r>
            <w:t>6</w:t>
          </w:r>
          <w:r>
            <w:fldChar w:fldCharType="end"/>
          </w:r>
          <w:r>
            <w:fldChar w:fldCharType="end"/>
          </w:r>
        </w:p>
        <w:p>
          <w:pPr>
            <w:pStyle w:val="6"/>
            <w:tabs>
              <w:tab w:val="right" w:leader="dot" w:pos="8306"/>
            </w:tabs>
          </w:pPr>
          <w:r>
            <w:fldChar w:fldCharType="begin"/>
          </w:r>
          <w:r>
            <w:instrText xml:space="preserve"> HYPERLINK \l _Toc12322 </w:instrText>
          </w:r>
          <w:r>
            <w:fldChar w:fldCharType="separate"/>
          </w:r>
          <w:r>
            <w:rPr>
              <w:rFonts w:hint="eastAsia" w:ascii="仿宋" w:hAnsi="仿宋" w:eastAsia="仿宋" w:cs="仿宋"/>
              <w:szCs w:val="32"/>
              <w:lang w:val="en-US" w:eastAsia="zh-CN"/>
            </w:rPr>
            <w:t>2.2.3.作废账号</w:t>
          </w:r>
          <w:r>
            <w:tab/>
          </w:r>
          <w:r>
            <w:fldChar w:fldCharType="begin"/>
          </w:r>
          <w:r>
            <w:instrText xml:space="preserve"> PAGEREF _Toc12322 \h </w:instrText>
          </w:r>
          <w:r>
            <w:fldChar w:fldCharType="separate"/>
          </w:r>
          <w:r>
            <w:t>6</w:t>
          </w:r>
          <w:r>
            <w:fldChar w:fldCharType="end"/>
          </w:r>
          <w:r>
            <w:fldChar w:fldCharType="end"/>
          </w:r>
        </w:p>
        <w:p>
          <w:pPr>
            <w:pStyle w:val="6"/>
            <w:tabs>
              <w:tab w:val="right" w:leader="dot" w:pos="8306"/>
            </w:tabs>
          </w:pPr>
          <w:r>
            <w:fldChar w:fldCharType="begin"/>
          </w:r>
          <w:r>
            <w:instrText xml:space="preserve"> HYPERLINK \l _Toc12811 </w:instrText>
          </w:r>
          <w:r>
            <w:fldChar w:fldCharType="separate"/>
          </w:r>
          <w:r>
            <w:rPr>
              <w:rFonts w:hint="eastAsia" w:ascii="仿宋" w:hAnsi="仿宋" w:eastAsia="仿宋" w:cs="仿宋"/>
              <w:szCs w:val="32"/>
              <w:lang w:val="en-US" w:eastAsia="zh-CN"/>
            </w:rPr>
            <w:t>2.2.4.重发账号</w:t>
          </w:r>
          <w:r>
            <w:tab/>
          </w:r>
          <w:r>
            <w:fldChar w:fldCharType="begin"/>
          </w:r>
          <w:r>
            <w:instrText xml:space="preserve"> PAGEREF _Toc12811 \h </w:instrText>
          </w:r>
          <w:r>
            <w:fldChar w:fldCharType="separate"/>
          </w:r>
          <w:r>
            <w:t>7</w:t>
          </w:r>
          <w:r>
            <w:fldChar w:fldCharType="end"/>
          </w:r>
          <w:r>
            <w:fldChar w:fldCharType="end"/>
          </w:r>
        </w:p>
        <w:p>
          <w:pPr>
            <w:pStyle w:val="6"/>
            <w:tabs>
              <w:tab w:val="right" w:leader="dot" w:pos="8306"/>
            </w:tabs>
          </w:pPr>
          <w:r>
            <w:fldChar w:fldCharType="begin"/>
          </w:r>
          <w:r>
            <w:instrText xml:space="preserve"> HYPERLINK \l _Toc19032 </w:instrText>
          </w:r>
          <w:r>
            <w:fldChar w:fldCharType="separate"/>
          </w:r>
          <w:r>
            <w:rPr>
              <w:rFonts w:hint="eastAsia" w:ascii="仿宋" w:hAnsi="仿宋" w:eastAsia="仿宋" w:cs="仿宋"/>
              <w:szCs w:val="32"/>
              <w:lang w:val="en-US" w:eastAsia="zh-CN"/>
            </w:rPr>
            <w:t>2.2.5.注意事项</w:t>
          </w:r>
          <w:r>
            <w:tab/>
          </w:r>
          <w:r>
            <w:fldChar w:fldCharType="begin"/>
          </w:r>
          <w:r>
            <w:instrText xml:space="preserve"> PAGEREF _Toc19032 \h </w:instrText>
          </w:r>
          <w:r>
            <w:fldChar w:fldCharType="separate"/>
          </w:r>
          <w:r>
            <w:t>7</w:t>
          </w:r>
          <w:r>
            <w:fldChar w:fldCharType="end"/>
          </w:r>
          <w:r>
            <w:fldChar w:fldCharType="end"/>
          </w:r>
        </w:p>
        <w:p>
          <w:pPr>
            <w:pStyle w:val="9"/>
            <w:tabs>
              <w:tab w:val="right" w:leader="dot" w:pos="8306"/>
            </w:tabs>
          </w:pPr>
          <w:r>
            <w:fldChar w:fldCharType="begin"/>
          </w:r>
          <w:r>
            <w:instrText xml:space="preserve"> HYPERLINK \l _Toc28296 </w:instrText>
          </w:r>
          <w:r>
            <w:fldChar w:fldCharType="separate"/>
          </w:r>
          <w:r>
            <w:rPr>
              <w:rFonts w:hint="eastAsia" w:ascii="黑体" w:hAnsi="黑体" w:eastAsia="黑体" w:cs="黑体"/>
              <w:bCs w:val="0"/>
              <w:lang w:val="en-US" w:eastAsia="zh-CN"/>
            </w:rPr>
            <w:t>3.函证平台使用（审计机构部分）</w:t>
          </w:r>
          <w:r>
            <w:tab/>
          </w:r>
          <w:r>
            <w:fldChar w:fldCharType="begin"/>
          </w:r>
          <w:r>
            <w:instrText xml:space="preserve"> PAGEREF _Toc28296 \h </w:instrText>
          </w:r>
          <w:r>
            <w:fldChar w:fldCharType="separate"/>
          </w:r>
          <w:r>
            <w:t>7</w:t>
          </w:r>
          <w:r>
            <w:fldChar w:fldCharType="end"/>
          </w:r>
          <w:r>
            <w:fldChar w:fldCharType="end"/>
          </w:r>
        </w:p>
        <w:p>
          <w:pPr>
            <w:pStyle w:val="10"/>
            <w:tabs>
              <w:tab w:val="right" w:leader="dot" w:pos="8306"/>
            </w:tabs>
          </w:pPr>
          <w:r>
            <w:fldChar w:fldCharType="begin"/>
          </w:r>
          <w:r>
            <w:instrText xml:space="preserve"> HYPERLINK \l _Toc9504 </w:instrText>
          </w:r>
          <w:r>
            <w:fldChar w:fldCharType="separate"/>
          </w:r>
          <w:r>
            <w:rPr>
              <w:rFonts w:hint="eastAsia" w:ascii="楷体" w:hAnsi="楷体" w:eastAsia="楷体" w:cs="楷体"/>
              <w:szCs w:val="32"/>
              <w:lang w:val="en-US" w:eastAsia="zh-CN"/>
            </w:rPr>
            <w:t>3.1.功能介绍</w:t>
          </w:r>
          <w:r>
            <w:tab/>
          </w:r>
          <w:r>
            <w:fldChar w:fldCharType="begin"/>
          </w:r>
          <w:r>
            <w:instrText xml:space="preserve"> PAGEREF _Toc9504 \h </w:instrText>
          </w:r>
          <w:r>
            <w:fldChar w:fldCharType="separate"/>
          </w:r>
          <w:r>
            <w:t>7</w:t>
          </w:r>
          <w:r>
            <w:fldChar w:fldCharType="end"/>
          </w:r>
          <w:r>
            <w:fldChar w:fldCharType="end"/>
          </w:r>
        </w:p>
        <w:p>
          <w:pPr>
            <w:pStyle w:val="10"/>
            <w:tabs>
              <w:tab w:val="right" w:leader="dot" w:pos="8306"/>
            </w:tabs>
          </w:pPr>
          <w:r>
            <w:fldChar w:fldCharType="begin"/>
          </w:r>
          <w:r>
            <w:instrText xml:space="preserve"> HYPERLINK \l _Toc6286 </w:instrText>
          </w:r>
          <w:r>
            <w:fldChar w:fldCharType="separate"/>
          </w:r>
          <w:r>
            <w:rPr>
              <w:rFonts w:hint="eastAsia" w:ascii="楷体" w:hAnsi="楷体" w:eastAsia="楷体" w:cs="楷体"/>
              <w:szCs w:val="32"/>
              <w:lang w:val="en-US" w:eastAsia="zh-CN"/>
            </w:rPr>
            <w:t>3.2.操作步骤</w:t>
          </w:r>
          <w:r>
            <w:tab/>
          </w:r>
          <w:r>
            <w:fldChar w:fldCharType="begin"/>
          </w:r>
          <w:r>
            <w:instrText xml:space="preserve"> PAGEREF _Toc6286 \h </w:instrText>
          </w:r>
          <w:r>
            <w:fldChar w:fldCharType="separate"/>
          </w:r>
          <w:r>
            <w:t>8</w:t>
          </w:r>
          <w:r>
            <w:fldChar w:fldCharType="end"/>
          </w:r>
          <w:r>
            <w:fldChar w:fldCharType="end"/>
          </w:r>
        </w:p>
        <w:p>
          <w:pPr>
            <w:pStyle w:val="6"/>
            <w:tabs>
              <w:tab w:val="right" w:leader="dot" w:pos="8306"/>
            </w:tabs>
          </w:pPr>
          <w:r>
            <w:fldChar w:fldCharType="begin"/>
          </w:r>
          <w:r>
            <w:instrText xml:space="preserve"> HYPERLINK \l _Toc13970 </w:instrText>
          </w:r>
          <w:r>
            <w:fldChar w:fldCharType="separate"/>
          </w:r>
          <w:r>
            <w:rPr>
              <w:rFonts w:hint="eastAsia" w:ascii="仿宋" w:hAnsi="仿宋" w:eastAsia="仿宋" w:cs="仿宋"/>
              <w:szCs w:val="32"/>
              <w:lang w:val="en-US" w:eastAsia="zh-CN"/>
            </w:rPr>
            <w:t>3.2.1.登录函证平台</w:t>
          </w:r>
          <w:r>
            <w:tab/>
          </w:r>
          <w:r>
            <w:fldChar w:fldCharType="begin"/>
          </w:r>
          <w:r>
            <w:instrText xml:space="preserve"> PAGEREF _Toc13970 \h </w:instrText>
          </w:r>
          <w:r>
            <w:fldChar w:fldCharType="separate"/>
          </w:r>
          <w:r>
            <w:t>8</w:t>
          </w:r>
          <w:r>
            <w:fldChar w:fldCharType="end"/>
          </w:r>
          <w:r>
            <w:fldChar w:fldCharType="end"/>
          </w:r>
        </w:p>
        <w:p>
          <w:pPr>
            <w:pStyle w:val="6"/>
            <w:tabs>
              <w:tab w:val="right" w:leader="dot" w:pos="8306"/>
            </w:tabs>
          </w:pPr>
          <w:r>
            <w:fldChar w:fldCharType="begin"/>
          </w:r>
          <w:r>
            <w:instrText xml:space="preserve"> HYPERLINK \l _Toc31186 </w:instrText>
          </w:r>
          <w:r>
            <w:fldChar w:fldCharType="separate"/>
          </w:r>
          <w:r>
            <w:rPr>
              <w:rFonts w:hint="eastAsia" w:ascii="仿宋" w:hAnsi="仿宋" w:eastAsia="仿宋" w:cs="仿宋"/>
              <w:szCs w:val="32"/>
              <w:lang w:val="en-US" w:eastAsia="zh-CN"/>
            </w:rPr>
            <w:t>3.2.2.函证信息确认</w:t>
          </w:r>
          <w:r>
            <w:tab/>
          </w:r>
          <w:r>
            <w:fldChar w:fldCharType="begin"/>
          </w:r>
          <w:r>
            <w:instrText xml:space="preserve"> PAGEREF _Toc31186 \h </w:instrText>
          </w:r>
          <w:r>
            <w:fldChar w:fldCharType="separate"/>
          </w:r>
          <w:r>
            <w:t>8</w:t>
          </w:r>
          <w:r>
            <w:fldChar w:fldCharType="end"/>
          </w:r>
          <w:r>
            <w:fldChar w:fldCharType="end"/>
          </w:r>
        </w:p>
        <w:p>
          <w:pPr>
            <w:pStyle w:val="6"/>
            <w:tabs>
              <w:tab w:val="right" w:leader="dot" w:pos="8306"/>
            </w:tabs>
          </w:pPr>
          <w:r>
            <w:fldChar w:fldCharType="begin"/>
          </w:r>
          <w:r>
            <w:instrText xml:space="preserve"> HYPERLINK \l _Toc1437 </w:instrText>
          </w:r>
          <w:r>
            <w:fldChar w:fldCharType="separate"/>
          </w:r>
          <w:r>
            <w:rPr>
              <w:rFonts w:hint="eastAsia" w:ascii="仿宋" w:hAnsi="仿宋" w:eastAsia="仿宋" w:cs="仿宋"/>
              <w:szCs w:val="32"/>
              <w:lang w:val="en-US" w:eastAsia="zh-CN"/>
            </w:rPr>
            <w:t>3.2.3.函证过程</w:t>
          </w:r>
          <w:r>
            <w:tab/>
          </w:r>
          <w:r>
            <w:fldChar w:fldCharType="begin"/>
          </w:r>
          <w:r>
            <w:instrText xml:space="preserve"> PAGEREF _Toc1437 \h </w:instrText>
          </w:r>
          <w:r>
            <w:fldChar w:fldCharType="separate"/>
          </w:r>
          <w:r>
            <w:t>8</w:t>
          </w:r>
          <w:r>
            <w:fldChar w:fldCharType="end"/>
          </w:r>
          <w:r>
            <w:fldChar w:fldCharType="end"/>
          </w:r>
        </w:p>
        <w:p>
          <w:pPr>
            <w:pStyle w:val="6"/>
            <w:tabs>
              <w:tab w:val="right" w:leader="dot" w:pos="8306"/>
            </w:tabs>
          </w:pPr>
          <w:r>
            <w:fldChar w:fldCharType="begin"/>
          </w:r>
          <w:r>
            <w:instrText xml:space="preserve"> HYPERLINK \l _Toc6477 </w:instrText>
          </w:r>
          <w:r>
            <w:fldChar w:fldCharType="separate"/>
          </w:r>
          <w:r>
            <w:rPr>
              <w:rFonts w:hint="eastAsia" w:ascii="仿宋" w:hAnsi="仿宋" w:eastAsia="仿宋" w:cs="仿宋"/>
              <w:szCs w:val="32"/>
              <w:lang w:val="en-US" w:eastAsia="zh-CN"/>
            </w:rPr>
            <w:t>3.2.4.再次函证</w:t>
          </w:r>
          <w:r>
            <w:tab/>
          </w:r>
          <w:r>
            <w:fldChar w:fldCharType="begin"/>
          </w:r>
          <w:r>
            <w:instrText xml:space="preserve"> PAGEREF _Toc6477 \h </w:instrText>
          </w:r>
          <w:r>
            <w:fldChar w:fldCharType="separate"/>
          </w:r>
          <w:r>
            <w:t>9</w:t>
          </w:r>
          <w:r>
            <w:fldChar w:fldCharType="end"/>
          </w:r>
          <w:r>
            <w:fldChar w:fldCharType="end"/>
          </w:r>
        </w:p>
        <w:p>
          <w:pPr>
            <w:pStyle w:val="6"/>
            <w:tabs>
              <w:tab w:val="right" w:leader="dot" w:pos="8306"/>
            </w:tabs>
          </w:pPr>
          <w:r>
            <w:fldChar w:fldCharType="begin"/>
          </w:r>
          <w:r>
            <w:instrText xml:space="preserve"> HYPERLINK \l _Toc20985 </w:instrText>
          </w:r>
          <w:r>
            <w:fldChar w:fldCharType="separate"/>
          </w:r>
          <w:r>
            <w:rPr>
              <w:rFonts w:hint="eastAsia" w:ascii="仿宋" w:hAnsi="仿宋" w:eastAsia="仿宋" w:cs="仿宋"/>
              <w:szCs w:val="32"/>
              <w:lang w:val="en-US" w:eastAsia="zh-CN"/>
            </w:rPr>
            <w:t>3.2.5.下载函证</w:t>
          </w:r>
          <w:r>
            <w:tab/>
          </w:r>
          <w:r>
            <w:fldChar w:fldCharType="begin"/>
          </w:r>
          <w:r>
            <w:instrText xml:space="preserve"> PAGEREF _Toc20985 \h </w:instrText>
          </w:r>
          <w:r>
            <w:fldChar w:fldCharType="separate"/>
          </w:r>
          <w:r>
            <w:t>10</w:t>
          </w:r>
          <w:r>
            <w:fldChar w:fldCharType="end"/>
          </w:r>
          <w:r>
            <w:fldChar w:fldCharType="end"/>
          </w:r>
        </w:p>
        <w:p>
          <w:pPr>
            <w:pStyle w:val="6"/>
            <w:tabs>
              <w:tab w:val="right" w:leader="dot" w:pos="8306"/>
            </w:tabs>
          </w:pPr>
          <w:r>
            <w:fldChar w:fldCharType="begin"/>
          </w:r>
          <w:r>
            <w:instrText xml:space="preserve"> HYPERLINK \l _Toc16881 </w:instrText>
          </w:r>
          <w:r>
            <w:fldChar w:fldCharType="separate"/>
          </w:r>
          <w:r>
            <w:rPr>
              <w:rFonts w:hint="eastAsia" w:ascii="仿宋" w:hAnsi="仿宋" w:eastAsia="仿宋" w:cs="仿宋"/>
              <w:szCs w:val="32"/>
              <w:lang w:val="en-US" w:eastAsia="zh-CN"/>
            </w:rPr>
            <w:t>3.2.6.查询函证结果</w:t>
          </w:r>
          <w:r>
            <w:tab/>
          </w:r>
          <w:r>
            <w:fldChar w:fldCharType="begin"/>
          </w:r>
          <w:r>
            <w:instrText xml:space="preserve"> PAGEREF _Toc16881 \h </w:instrText>
          </w:r>
          <w:r>
            <w:fldChar w:fldCharType="separate"/>
          </w:r>
          <w:r>
            <w:t>11</w:t>
          </w:r>
          <w:r>
            <w:fldChar w:fldCharType="end"/>
          </w:r>
          <w:r>
            <w:fldChar w:fldCharType="end"/>
          </w:r>
        </w:p>
        <w:p>
          <w:pPr>
            <w:pStyle w:val="10"/>
            <w:tabs>
              <w:tab w:val="right" w:leader="dot" w:pos="8306"/>
            </w:tabs>
          </w:pPr>
          <w:r>
            <w:fldChar w:fldCharType="begin"/>
          </w:r>
          <w:r>
            <w:instrText xml:space="preserve"> HYPERLINK \l _Toc1152 </w:instrText>
          </w:r>
          <w:r>
            <w:fldChar w:fldCharType="separate"/>
          </w:r>
          <w:r>
            <w:rPr>
              <w:rFonts w:hint="eastAsia" w:ascii="楷体" w:hAnsi="楷体" w:eastAsia="楷体" w:cs="楷体"/>
              <w:szCs w:val="32"/>
              <w:lang w:val="en-US" w:eastAsia="zh-CN"/>
            </w:rPr>
            <w:t>3.3.注意事项</w:t>
          </w:r>
          <w:r>
            <w:tab/>
          </w:r>
          <w:r>
            <w:fldChar w:fldCharType="begin"/>
          </w:r>
          <w:r>
            <w:instrText xml:space="preserve"> PAGEREF _Toc1152 \h </w:instrText>
          </w:r>
          <w:r>
            <w:fldChar w:fldCharType="separate"/>
          </w:r>
          <w:r>
            <w:t>12</w:t>
          </w:r>
          <w:r>
            <w:fldChar w:fldCharType="end"/>
          </w:r>
          <w:r>
            <w:fldChar w:fldCharType="end"/>
          </w:r>
        </w:p>
        <w:p>
          <w:pPr>
            <w:pStyle w:val="9"/>
            <w:tabs>
              <w:tab w:val="right" w:leader="dot" w:pos="8306"/>
            </w:tabs>
          </w:pPr>
          <w:r>
            <w:fldChar w:fldCharType="begin"/>
          </w:r>
          <w:r>
            <w:instrText xml:space="preserve"> HYPERLINK \l _Toc9245 </w:instrText>
          </w:r>
          <w:r>
            <w:fldChar w:fldCharType="separate"/>
          </w:r>
          <w:r>
            <w:rPr>
              <w:rFonts w:hint="eastAsia" w:ascii="黑体" w:hAnsi="黑体" w:eastAsia="黑体" w:cs="黑体"/>
              <w:bCs w:val="0"/>
              <w:lang w:val="en-US" w:eastAsia="zh-CN"/>
            </w:rPr>
            <w:t>4.备注</w:t>
          </w:r>
          <w:r>
            <w:tab/>
          </w:r>
          <w:r>
            <w:fldChar w:fldCharType="begin"/>
          </w:r>
          <w:r>
            <w:instrText xml:space="preserve"> PAGEREF _Toc9245 \h </w:instrText>
          </w:r>
          <w:r>
            <w:fldChar w:fldCharType="separate"/>
          </w:r>
          <w:r>
            <w:t>13</w:t>
          </w:r>
          <w:r>
            <w:fldChar w:fldCharType="end"/>
          </w:r>
          <w:r>
            <w:fldChar w:fldCharType="end"/>
          </w:r>
        </w:p>
        <w:p>
          <w:pPr>
            <w:spacing w:before="0" w:beforeLines="0" w:after="0" w:afterLines="0" w:line="240" w:lineRule="auto"/>
            <w:ind w:left="0" w:leftChars="0" w:right="0" w:rightChars="0" w:firstLine="0" w:firstLineChars="0"/>
            <w:jc w:val="center"/>
          </w:pPr>
          <w:r>
            <w:fldChar w:fldCharType="end"/>
          </w:r>
        </w:p>
      </w:sdtContent>
    </w:sdt>
    <w:p>
      <w:pPr>
        <w:rPr>
          <w:rFonts w:hint="eastAsia" w:ascii="黑体" w:hAnsi="黑体" w:eastAsia="黑体" w:cs="黑体"/>
          <w:b w:val="0"/>
          <w:bCs w:val="0"/>
          <w:lang w:val="en-US" w:eastAsia="zh-CN"/>
        </w:rPr>
      </w:pPr>
      <w:r>
        <w:rPr>
          <w:rFonts w:hint="eastAsia" w:ascii="黑体" w:hAnsi="黑体" w:eastAsia="黑体" w:cs="黑体"/>
          <w:b w:val="0"/>
          <w:bCs w:val="0"/>
          <w:lang w:val="en-US" w:eastAsia="zh-CN"/>
        </w:rPr>
        <w:br w:type="page"/>
      </w:r>
    </w:p>
    <w:p>
      <w:pPr>
        <w:pStyle w:val="2"/>
        <w:keepNext/>
        <w:keepLines w:val="0"/>
        <w:pageBreakBefore w:val="0"/>
        <w:widowControl w:val="0"/>
        <w:numPr>
          <w:ilvl w:val="0"/>
          <w:numId w:val="0"/>
        </w:numPr>
        <w:kinsoku/>
        <w:wordWrap/>
        <w:overflowPunct/>
        <w:topLinePunct w:val="0"/>
        <w:autoSpaceDE/>
        <w:autoSpaceDN/>
        <w:bidi w:val="0"/>
        <w:adjustRightInd/>
        <w:snapToGrid/>
        <w:spacing w:after="0"/>
        <w:ind w:leftChars="0" w:firstLine="640" w:firstLineChars="200"/>
        <w:textAlignment w:val="auto"/>
        <w:rPr>
          <w:rFonts w:hint="eastAsia" w:ascii="黑体" w:hAnsi="黑体" w:eastAsia="黑体" w:cs="黑体"/>
          <w:b w:val="0"/>
          <w:bCs w:val="0"/>
          <w:lang w:eastAsia="zh-CN"/>
        </w:rPr>
      </w:pPr>
      <w:bookmarkStart w:id="3" w:name="_Toc29962"/>
      <w:r>
        <w:rPr>
          <w:rFonts w:hint="eastAsia" w:ascii="黑体" w:hAnsi="黑体" w:eastAsia="黑体" w:cs="黑体"/>
          <w:b w:val="0"/>
          <w:bCs w:val="0"/>
          <w:lang w:val="en-US" w:eastAsia="zh-CN"/>
        </w:rPr>
        <w:t>1.</w:t>
      </w:r>
      <w:r>
        <w:rPr>
          <w:rFonts w:hint="eastAsia" w:ascii="黑体" w:hAnsi="黑体" w:eastAsia="黑体" w:cs="黑体"/>
          <w:b w:val="0"/>
          <w:bCs w:val="0"/>
        </w:rPr>
        <w:t>引言</w:t>
      </w:r>
      <w:bookmarkEnd w:id="3"/>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本手册</w:t>
      </w:r>
      <w:r>
        <w:rPr>
          <w:rFonts w:hint="eastAsia" w:ascii="仿宋" w:hAnsi="仿宋" w:eastAsia="仿宋" w:cs="仿宋"/>
          <w:sz w:val="32"/>
          <w:szCs w:val="32"/>
          <w:lang w:val="en-US" w:eastAsia="zh-CN"/>
        </w:rPr>
        <w:t>主要面向期货公司及审计机构，介绍如何使用电子函证平台完成函证工作。电子函证平台的业务办理流程图如下。</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object>
          <v:shape id="_x0000_i1025" o:spt="75" type="#_x0000_t75" style="height:393.75pt;width:410.25pt;" o:ole="t" filled="f" o:preferrelative="t" stroked="f" coordsize="21600,21600">
            <v:path/>
            <v:fill on="f" focussize="0,0"/>
            <v:stroke on="f"/>
            <v:imagedata r:id="rId7" o:title=""/>
            <o:lock v:ext="edit" aspectratio="f"/>
            <w10:wrap type="none"/>
            <w10:anchorlock/>
          </v:shape>
          <o:OLEObject Type="Embed" ProgID="Visio.Drawing.11" ShapeID="_x0000_i1025" DrawAspect="Content" ObjectID="_1468075725" r:id="rId6">
            <o:LockedField>false</o:LockedField>
          </o:OLEObject>
        </w:object>
      </w:r>
    </w:p>
    <w:p>
      <w:pPr>
        <w:pStyle w:val="2"/>
        <w:keepNext/>
        <w:keepLines w:val="0"/>
        <w:pageBreakBefore w:val="0"/>
        <w:widowControl w:val="0"/>
        <w:numPr>
          <w:ilvl w:val="0"/>
          <w:numId w:val="0"/>
        </w:numPr>
        <w:kinsoku/>
        <w:wordWrap/>
        <w:overflowPunct/>
        <w:topLinePunct w:val="0"/>
        <w:autoSpaceDE/>
        <w:autoSpaceDN/>
        <w:bidi w:val="0"/>
        <w:adjustRightInd/>
        <w:snapToGrid/>
        <w:spacing w:after="0"/>
        <w:ind w:firstLine="640" w:firstLineChars="200"/>
        <w:textAlignment w:val="auto"/>
        <w:rPr>
          <w:rFonts w:hint="eastAsia"/>
          <w:lang w:val="en-US" w:eastAsia="zh-CN"/>
        </w:rPr>
      </w:pPr>
      <w:bookmarkStart w:id="4" w:name="_Toc256000006"/>
      <w:bookmarkStart w:id="5" w:name="scroll-bookmark-8"/>
      <w:bookmarkStart w:id="6" w:name="_Toc7478"/>
      <w:r>
        <w:rPr>
          <w:rFonts w:hint="eastAsia" w:ascii="黑体" w:hAnsi="黑体" w:eastAsia="黑体" w:cs="黑体"/>
          <w:b w:val="0"/>
          <w:bCs w:val="0"/>
          <w:lang w:val="en-US" w:eastAsia="zh-CN"/>
        </w:rPr>
        <w:t>2.函证授权管理</w:t>
      </w:r>
      <w:bookmarkEnd w:id="4"/>
      <w:bookmarkEnd w:id="5"/>
      <w:r>
        <w:rPr>
          <w:rFonts w:hint="eastAsia" w:ascii="黑体" w:hAnsi="黑体" w:eastAsia="黑体" w:cs="黑体"/>
          <w:b w:val="0"/>
          <w:bCs w:val="0"/>
          <w:lang w:val="en-US" w:eastAsia="zh-CN"/>
        </w:rPr>
        <w:t>（期货公司部分）</w:t>
      </w:r>
      <w:bookmarkEnd w:id="6"/>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该部分主要介绍期货公司如何通过会员服务系统为审计机构生成登录电子函证平台的账号密码，以及如何查询审计机构的函证情况。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default" w:ascii="楷体" w:hAnsi="楷体" w:eastAsia="楷体" w:cs="楷体"/>
          <w:sz w:val="32"/>
          <w:szCs w:val="32"/>
          <w:lang w:val="en-US" w:eastAsia="zh-CN"/>
        </w:rPr>
      </w:pPr>
      <w:bookmarkStart w:id="7" w:name="_Toc11412"/>
      <w:r>
        <w:rPr>
          <w:rFonts w:hint="eastAsia" w:ascii="楷体" w:hAnsi="楷体" w:eastAsia="楷体" w:cs="楷体"/>
          <w:sz w:val="32"/>
          <w:szCs w:val="32"/>
          <w:lang w:val="en-US" w:eastAsia="zh-CN"/>
        </w:rPr>
        <w:t>2.1新增授权及登录账号密码获取</w:t>
      </w:r>
      <w:bookmarkEnd w:id="7"/>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2"/>
        <w:rPr>
          <w:rFonts w:hint="eastAsia" w:ascii="仿宋" w:hAnsi="仿宋" w:eastAsia="仿宋" w:cs="仿宋"/>
          <w:sz w:val="32"/>
          <w:szCs w:val="32"/>
          <w:lang w:val="en-US" w:eastAsia="zh-CN"/>
        </w:rPr>
      </w:pPr>
      <w:bookmarkStart w:id="8" w:name="scroll-bookmark-14"/>
      <w:bookmarkStart w:id="9" w:name="_Toc256000012"/>
      <w:bookmarkStart w:id="10" w:name="_Toc10310"/>
      <w:r>
        <w:rPr>
          <w:rFonts w:hint="eastAsia" w:ascii="仿宋" w:hAnsi="仿宋" w:eastAsia="仿宋" w:cs="仿宋"/>
          <w:sz w:val="32"/>
          <w:szCs w:val="32"/>
          <w:lang w:val="en-US" w:eastAsia="zh-CN"/>
        </w:rPr>
        <w:t>2.1.1.功能介绍</w:t>
      </w:r>
      <w:bookmarkEnd w:id="8"/>
      <w:bookmarkEnd w:id="9"/>
      <w:bookmarkEnd w:id="10"/>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期货公司可通过新增授权功能，为审计机构生成登录电子函证平台的账号密码。</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2"/>
        <w:rPr>
          <w:rFonts w:hint="default" w:ascii="仿宋" w:hAnsi="仿宋" w:eastAsia="仿宋" w:cs="仿宋"/>
          <w:sz w:val="32"/>
          <w:szCs w:val="32"/>
          <w:lang w:val="en-US" w:eastAsia="zh-CN"/>
        </w:rPr>
      </w:pPr>
      <w:bookmarkStart w:id="11" w:name="_Toc13183"/>
      <w:r>
        <w:rPr>
          <w:rFonts w:hint="eastAsia" w:ascii="仿宋" w:hAnsi="仿宋" w:eastAsia="仿宋" w:cs="仿宋"/>
          <w:sz w:val="32"/>
          <w:szCs w:val="32"/>
          <w:lang w:val="en-US" w:eastAsia="zh-CN"/>
        </w:rPr>
        <w:t>2.1.2.新增授权</w:t>
      </w:r>
      <w:bookmarkEnd w:id="11"/>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由期货公司登录会员服务系统，打开会员服务的【电子函证】下的【函证授权管理】界面，并点击新增授权。</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仿宋" w:hAnsi="仿宋" w:eastAsia="仿宋" w:cs="仿宋"/>
          <w:sz w:val="32"/>
          <w:szCs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543560</wp:posOffset>
                </wp:positionV>
                <wp:extent cx="410845" cy="180975"/>
                <wp:effectExtent l="6350" t="6350" r="14605" b="15875"/>
                <wp:wrapNone/>
                <wp:docPr id="1" name="矩形 1"/>
                <wp:cNvGraphicFramePr/>
                <a:graphic xmlns:a="http://schemas.openxmlformats.org/drawingml/2006/main">
                  <a:graphicData uri="http://schemas.microsoft.com/office/word/2010/wordprocessingShape">
                    <wps:wsp>
                      <wps:cNvSpPr/>
                      <wps:spPr>
                        <a:xfrm>
                          <a:off x="1440180" y="7401560"/>
                          <a:ext cx="410845" cy="1809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5pt;margin-top:42.8pt;height:14.25pt;width:32.35pt;z-index:251660288;v-text-anchor:middle;mso-width-relative:page;mso-height-relative:page;" filled="f" stroked="t" coordsize="21600,21600" o:gfxdata="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Ksr3QjUAAAABwEAAA8AAAAAAAAAAQAgAAAAIgAAAGRycy9kb3ducmV2&#10;LnhtbFBLAQIUABQAAAAIAIdO4kDlRjKtcgIAANYEAAAOAAAAAAAAAAEAIAAAACMBAABkcnMvZTJv&#10;RG9jLnhtbFBLBQYAAAAABgAGAFkBAAAHBgAAAAA=&#10;">
                <v:fill on="f" focussize="0,0"/>
                <v:stroke weight="1pt" color="#FF0000 [3204]" miterlimit="8" joinstyle="miter"/>
                <v:imagedata o:title=""/>
                <o:lock v:ext="edit" aspectratio="f"/>
              </v:rect>
            </w:pict>
          </mc:Fallback>
        </mc:AlternateContent>
      </w:r>
      <w:r>
        <w:rPr>
          <w:rFonts w:hint="eastAsia" w:ascii="仿宋" w:hAnsi="仿宋" w:eastAsia="仿宋" w:cs="仿宋"/>
          <w:sz w:val="32"/>
          <w:szCs w:val="32"/>
        </w:rPr>
        <w:drawing>
          <wp:inline distT="0" distB="0" distL="114300" distR="114300">
            <wp:extent cx="5267960" cy="681990"/>
            <wp:effectExtent l="0" t="0" r="2540" b="3810"/>
            <wp:docPr id="47"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0"/>
                    <pic:cNvPicPr>
                      <a:picLocks noChangeAspect="1"/>
                    </pic:cNvPicPr>
                  </pic:nvPicPr>
                  <pic:blipFill>
                    <a:blip r:embed="rId8"/>
                    <a:stretch>
                      <a:fillRect/>
                    </a:stretch>
                  </pic:blipFill>
                  <pic:spPr>
                    <a:xfrm>
                      <a:off x="0" y="0"/>
                      <a:ext cx="5267960" cy="68199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进入授权界面后，期货公司需录入审计机构的基本信息以及函证信息。</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b/>
          <w:bCs/>
          <w:color w:val="FF0000"/>
          <w:sz w:val="32"/>
          <w:szCs w:val="32"/>
          <w:lang w:val="en-US" w:eastAsia="zh-CN"/>
        </w:rPr>
      </w:pPr>
      <w:r>
        <w:rPr>
          <w:rFonts w:hint="eastAsia" w:ascii="仿宋" w:hAnsi="仿宋" w:eastAsia="仿宋" w:cs="仿宋"/>
          <w:sz w:val="32"/>
          <w:szCs w:val="32"/>
          <w:lang w:val="en-US" w:eastAsia="zh-CN"/>
        </w:rPr>
        <w:t>审计机构的基本信息包括审计机构名称、经办人姓名、经办人手机号。其中</w:t>
      </w:r>
      <w:r>
        <w:rPr>
          <w:rFonts w:hint="eastAsia" w:ascii="仿宋" w:hAnsi="仿宋" w:eastAsia="仿宋" w:cs="仿宋"/>
          <w:b/>
          <w:bCs/>
          <w:color w:val="FF0000"/>
          <w:sz w:val="32"/>
          <w:szCs w:val="32"/>
          <w:lang w:val="en-US" w:eastAsia="zh-CN"/>
        </w:rPr>
        <w:t>审计机构的名称及经办人姓名将展示在最终函证文件的抬头，经办人手机号将用于接收电子函证平台的账号。</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函证信息包括函证时点和函证项目。函证时点可选择2020年12月31日及之后的任意日期。函证项目可多选，</w:t>
      </w:r>
      <w:r>
        <w:rPr>
          <w:rFonts w:hint="eastAsia" w:ascii="仿宋" w:hAnsi="仿宋" w:eastAsia="仿宋" w:cs="仿宋"/>
          <w:b/>
          <w:bCs/>
          <w:color w:val="FF0000"/>
          <w:sz w:val="32"/>
          <w:szCs w:val="32"/>
          <w:lang w:val="en-US" w:eastAsia="zh-CN"/>
        </w:rPr>
        <w:t>项目口径可参考页面下方备注</w:t>
      </w:r>
      <w:r>
        <w:rPr>
          <w:rFonts w:hint="eastAsia" w:ascii="仿宋" w:hAnsi="仿宋" w:eastAsia="仿宋" w:cs="仿宋"/>
          <w:sz w:val="32"/>
          <w:szCs w:val="32"/>
          <w:lang w:val="en-US" w:eastAsia="zh-CN"/>
        </w:rPr>
        <w:t>。若需函证多个时点的金额，可点击下图中的【新增函证】，新增函证时点，并再次选择函证项目。</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完成上述信息填写后，</w:t>
      </w:r>
      <w:r>
        <w:rPr>
          <w:rFonts w:hint="eastAsia" w:ascii="仿宋" w:hAnsi="仿宋" w:eastAsia="仿宋" w:cs="仿宋"/>
          <w:b/>
          <w:bCs/>
          <w:color w:val="FF0000"/>
          <w:sz w:val="32"/>
          <w:szCs w:val="32"/>
          <w:lang w:val="en-US" w:eastAsia="zh-CN"/>
        </w:rPr>
        <w:t>期货公司可点击函证信息右侧的预览函证，查看函证项目在郑商所账面的金额</w:t>
      </w:r>
      <w:r>
        <w:rPr>
          <w:rFonts w:hint="eastAsia" w:ascii="仿宋" w:hAnsi="仿宋" w:eastAsia="仿宋" w:cs="仿宋"/>
          <w:sz w:val="32"/>
          <w:szCs w:val="32"/>
          <w:lang w:val="en-US" w:eastAsia="zh-CN"/>
        </w:rPr>
        <w:t>，确保双方对函证项目的统计口径理解一致。确认后可点击页面下方的提交完成函证授权。</w:t>
      </w:r>
    </w:p>
    <w:p>
      <w:pPr>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pPr>
      <w:r>
        <w:rPr>
          <w:sz w:val="32"/>
        </w:rPr>
        <mc:AlternateContent>
          <mc:Choice Requires="wps">
            <w:drawing>
              <wp:anchor distT="0" distB="0" distL="114300" distR="114300" simplePos="0" relativeHeight="251666432" behindDoc="0" locked="0" layoutInCell="1" allowOverlap="1">
                <wp:simplePos x="0" y="0"/>
                <wp:positionH relativeFrom="column">
                  <wp:posOffset>4845050</wp:posOffset>
                </wp:positionH>
                <wp:positionV relativeFrom="paragraph">
                  <wp:posOffset>73660</wp:posOffset>
                </wp:positionV>
                <wp:extent cx="441325" cy="215265"/>
                <wp:effectExtent l="6350" t="6350" r="9525" b="6985"/>
                <wp:wrapNone/>
                <wp:docPr id="6" name="矩形 6"/>
                <wp:cNvGraphicFramePr/>
                <a:graphic xmlns:a="http://schemas.openxmlformats.org/drawingml/2006/main">
                  <a:graphicData uri="http://schemas.microsoft.com/office/word/2010/wordprocessingShape">
                    <wps:wsp>
                      <wps:cNvSpPr/>
                      <wps:spPr>
                        <a:xfrm>
                          <a:off x="5861685" y="981075"/>
                          <a:ext cx="441325" cy="21526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1.5pt;margin-top:5.8pt;height:16.95pt;width:34.75pt;z-index:251666432;v-text-anchor:middle;mso-width-relative:page;mso-height-relative:page;" filled="f" stroked="t" coordsize="21600,21600" o:gfxdata="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qIg9m1gAAAAkBAAAPAAAAAAAAAAEAIAAAACIAAABkcnMv&#10;ZG93bnJldi54bWxQSwECFAAUAAAACACHTuJAGuBKwHcCAADVBAAADgAAAAAAAAABACAAAAAlAQAA&#10;ZHJzL2Uyb0RvYy54bWxQSwUGAAAAAAYABgBZAQAADgYAAAAA&#10;">
                <v:fill on="f" focussize="0,0"/>
                <v:stroke weight="1pt" color="#FF0000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allowOverlap="1">
                <wp:simplePos x="0" y="0"/>
                <wp:positionH relativeFrom="column">
                  <wp:posOffset>4658360</wp:posOffset>
                </wp:positionH>
                <wp:positionV relativeFrom="paragraph">
                  <wp:posOffset>296545</wp:posOffset>
                </wp:positionV>
                <wp:extent cx="342265" cy="102235"/>
                <wp:effectExtent l="6350" t="6350" r="6985" b="12065"/>
                <wp:wrapNone/>
                <wp:docPr id="7" name="矩形 7"/>
                <wp:cNvGraphicFramePr/>
                <a:graphic xmlns:a="http://schemas.openxmlformats.org/drawingml/2006/main">
                  <a:graphicData uri="http://schemas.microsoft.com/office/word/2010/wordprocessingShape">
                    <wps:wsp>
                      <wps:cNvSpPr/>
                      <wps:spPr>
                        <a:xfrm>
                          <a:off x="0" y="0"/>
                          <a:ext cx="342265" cy="10223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6.8pt;margin-top:23.35pt;height:8.05pt;width:26.95pt;z-index:251667456;v-text-anchor:middle;mso-width-relative:page;mso-height-relative:page;" filled="f" stroked="t" coordsize="21600,21600" o:gfxdata="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FNpSBdcAAAAJAQAADwAAAAAAAAABACAAAAAiAAAAZHJzL2Rvd25yZXYueG1s&#10;UEsBAhQAFAAAAAgAh07iQMqhd0ZrAgAAygQAAA4AAAAAAAAAAQAgAAAAJgEAAGRycy9lMm9Eb2Mu&#10;eG1sUEsFBgAAAAAGAAYAWQEAAAMGAAAAAA==&#10;">
                <v:fill on="f" focussize="0,0"/>
                <v:stroke weight="1pt" color="#FF0000 [3204]" miterlimit="8" joinstyle="miter"/>
                <v:imagedata o:title=""/>
                <o:lock v:ext="edit" aspectratio="f"/>
              </v:rect>
            </w:pict>
          </mc:Fallback>
        </mc:AlternateContent>
      </w:r>
      <w:r>
        <w:rPr>
          <w:rFonts w:hint="eastAsia" w:ascii="仿宋" w:hAnsi="仿宋" w:eastAsia="仿宋" w:cs="仿宋"/>
          <w:sz w:val="32"/>
          <w:szCs w:val="32"/>
        </w:rPr>
        <w:drawing>
          <wp:inline distT="0" distB="0" distL="114300" distR="114300">
            <wp:extent cx="5264785" cy="1667510"/>
            <wp:effectExtent l="0" t="0" r="5715"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5264785" cy="166751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2"/>
        <w:rPr>
          <w:rFonts w:hint="default" w:ascii="仿宋" w:hAnsi="仿宋" w:eastAsia="仿宋" w:cs="仿宋"/>
          <w:sz w:val="32"/>
          <w:szCs w:val="32"/>
          <w:lang w:val="en-US" w:eastAsia="zh-CN"/>
        </w:rPr>
      </w:pPr>
      <w:bookmarkStart w:id="12" w:name="_Toc25561"/>
      <w:r>
        <w:rPr>
          <w:rFonts w:hint="eastAsia" w:ascii="仿宋" w:hAnsi="仿宋" w:eastAsia="仿宋" w:cs="仿宋"/>
          <w:sz w:val="32"/>
          <w:szCs w:val="32"/>
          <w:lang w:val="en-US" w:eastAsia="zh-CN"/>
        </w:rPr>
        <w:t>2.1.3.获取函证平台登录账号</w:t>
      </w:r>
      <w:bookmarkEnd w:id="12"/>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提交函证授权申请后，审计机构经办人将收到郑商所发送的短信，短信内容如下图，包含函证时点、函证平台网址及登录账号。</w:t>
      </w:r>
    </w:p>
    <w:p>
      <w:pPr>
        <w:keepNext w:val="0"/>
        <w:keepLines w:val="0"/>
        <w:pageBreakBefore w:val="0"/>
        <w:widowControl w:val="0"/>
        <w:kinsoku/>
        <w:wordWrap/>
        <w:overflowPunct/>
        <w:topLinePunct w:val="0"/>
        <w:autoSpaceDE/>
        <w:autoSpaceDN/>
        <w:bidi w:val="0"/>
        <w:adjustRightInd/>
        <w:snapToGrid/>
        <w:jc w:val="center"/>
        <w:textAlignment w:val="auto"/>
      </w:pPr>
      <w:r>
        <w:drawing>
          <wp:inline distT="0" distB="0" distL="114300" distR="114300">
            <wp:extent cx="1705610" cy="1568450"/>
            <wp:effectExtent l="0" t="0" r="2540" b="0"/>
            <wp:docPr id="1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pic:cNvPicPr>
                      <a:picLocks noChangeAspect="1"/>
                    </pic:cNvPicPr>
                  </pic:nvPicPr>
                  <pic:blipFill>
                    <a:blip r:embed="rId10"/>
                    <a:stretch>
                      <a:fillRect/>
                    </a:stretch>
                  </pic:blipFill>
                  <pic:spPr>
                    <a:xfrm>
                      <a:off x="0" y="0"/>
                      <a:ext cx="1705610" cy="15684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2"/>
        <w:rPr>
          <w:rFonts w:hint="eastAsia" w:ascii="仿宋" w:hAnsi="仿宋" w:eastAsia="仿宋" w:cs="仿宋"/>
          <w:sz w:val="32"/>
          <w:szCs w:val="32"/>
          <w:lang w:val="en-US" w:eastAsia="zh-CN"/>
        </w:rPr>
      </w:pPr>
      <w:bookmarkStart w:id="13" w:name="_Toc13804"/>
      <w:r>
        <w:rPr>
          <w:rFonts w:hint="eastAsia" w:ascii="仿宋" w:hAnsi="仿宋" w:eastAsia="仿宋" w:cs="仿宋"/>
          <w:sz w:val="32"/>
          <w:szCs w:val="32"/>
          <w:lang w:val="en-US" w:eastAsia="zh-CN"/>
        </w:rPr>
        <w:t>2.1.4.获取函证平台登录密码</w:t>
      </w:r>
      <w:bookmarkEnd w:id="13"/>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仿宋" w:hAnsi="仿宋" w:eastAsia="仿宋" w:cs="仿宋"/>
          <w:color w:val="FF0000"/>
          <w:sz w:val="32"/>
          <w:szCs w:val="32"/>
          <w:lang w:val="en-US" w:eastAsia="zh-CN"/>
        </w:rPr>
      </w:pPr>
      <w:r>
        <w:rPr>
          <w:rFonts w:hint="eastAsia" w:ascii="仿宋" w:hAnsi="仿宋" w:eastAsia="仿宋" w:cs="仿宋"/>
          <w:sz w:val="32"/>
          <w:szCs w:val="32"/>
          <w:lang w:val="en-US" w:eastAsia="zh-CN"/>
        </w:rPr>
        <w:t>期货公司返回【函证授权管理】界面后，将看到函证授权列表新增一条授权信息。点击最右侧操作的【密码】选项，将出现该项函证对应的函证平台登录密码，</w:t>
      </w:r>
      <w:r>
        <w:rPr>
          <w:rFonts w:hint="eastAsia" w:ascii="仿宋" w:hAnsi="仿宋" w:eastAsia="仿宋" w:cs="仿宋"/>
          <w:b/>
          <w:bCs/>
          <w:color w:val="FF0000"/>
          <w:sz w:val="32"/>
          <w:szCs w:val="32"/>
          <w:lang w:val="en-US" w:eastAsia="zh-CN"/>
        </w:rPr>
        <w:t>期货公司需将密码及时告知审计机构经办人。</w:t>
      </w:r>
    </w:p>
    <w:p>
      <w:pPr>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drawing>
          <wp:inline distT="0" distB="0" distL="114300" distR="114300">
            <wp:extent cx="5272405" cy="787400"/>
            <wp:effectExtent l="0" t="0" r="4445" b="0"/>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pic:cNvPicPr>
                  </pic:nvPicPr>
                  <pic:blipFill>
                    <a:blip r:embed="rId11"/>
                    <a:stretch>
                      <a:fillRect/>
                    </a:stretch>
                  </pic:blipFill>
                  <pic:spPr>
                    <a:xfrm>
                      <a:off x="0" y="0"/>
                      <a:ext cx="5272405" cy="7874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2"/>
        <w:rPr>
          <w:rFonts w:hint="default" w:ascii="仿宋" w:hAnsi="仿宋" w:eastAsia="仿宋" w:cs="仿宋"/>
          <w:sz w:val="32"/>
          <w:szCs w:val="32"/>
          <w:lang w:val="en-US" w:eastAsia="zh-CN"/>
        </w:rPr>
      </w:pPr>
      <w:bookmarkStart w:id="14" w:name="_Toc19131"/>
      <w:r>
        <w:rPr>
          <w:rFonts w:hint="eastAsia" w:ascii="仿宋" w:hAnsi="仿宋" w:eastAsia="仿宋" w:cs="仿宋"/>
          <w:sz w:val="32"/>
          <w:szCs w:val="32"/>
          <w:lang w:val="en-US" w:eastAsia="zh-CN"/>
        </w:rPr>
        <w:t>2.1.5.注意事项</w:t>
      </w:r>
      <w:bookmarkEnd w:id="14"/>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一是若多家审计机构均需对同一家期货公司进行函证，则期货公司需要逐一对每一家审计机构授权。</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二是每次新增授权最多可函证5个时点。</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三是若授权多个函证时点，审计机构将收到多条短信，每个函证时点均产生一个登录账号，相应的，期货公司将查询到多条授权信息以及多个登录密码。</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eastAsia" w:ascii="楷体" w:hAnsi="楷体" w:eastAsia="楷体" w:cs="楷体"/>
          <w:sz w:val="32"/>
          <w:szCs w:val="32"/>
          <w:lang w:val="en-US" w:eastAsia="zh-CN"/>
        </w:rPr>
      </w:pPr>
      <w:bookmarkStart w:id="15" w:name="_Toc3557"/>
      <w:r>
        <w:rPr>
          <w:rFonts w:hint="eastAsia" w:ascii="楷体" w:hAnsi="楷体" w:eastAsia="楷体" w:cs="楷体"/>
          <w:sz w:val="32"/>
          <w:szCs w:val="32"/>
          <w:lang w:val="en-US" w:eastAsia="zh-CN"/>
        </w:rPr>
        <w:t>2.2.查询及变更授权状态</w:t>
      </w:r>
      <w:bookmarkEnd w:id="15"/>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2"/>
        <w:rPr>
          <w:rFonts w:hint="eastAsia" w:ascii="仿宋" w:hAnsi="仿宋" w:eastAsia="仿宋" w:cs="仿宋"/>
          <w:sz w:val="32"/>
          <w:szCs w:val="32"/>
          <w:lang w:val="en-US" w:eastAsia="zh-CN"/>
        </w:rPr>
      </w:pPr>
      <w:bookmarkStart w:id="16" w:name="_Toc6040"/>
      <w:r>
        <w:rPr>
          <w:rFonts w:hint="eastAsia" w:ascii="仿宋" w:hAnsi="仿宋" w:eastAsia="仿宋" w:cs="仿宋"/>
          <w:sz w:val="32"/>
          <w:szCs w:val="32"/>
          <w:lang w:val="en-US" w:eastAsia="zh-CN"/>
        </w:rPr>
        <w:t>2.2.1.功能介绍</w:t>
      </w:r>
      <w:bookmarkEnd w:id="16"/>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期货公司可通过查询及变更授权状态，了解审计机构当前的函证情况或进行变更操作。</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2"/>
        <w:rPr>
          <w:rFonts w:hint="eastAsia" w:ascii="仿宋" w:hAnsi="仿宋" w:eastAsia="仿宋" w:cs="仿宋"/>
          <w:sz w:val="32"/>
          <w:szCs w:val="32"/>
          <w:lang w:val="en-US" w:eastAsia="zh-CN"/>
        </w:rPr>
      </w:pPr>
      <w:bookmarkStart w:id="17" w:name="_Toc14621"/>
      <w:r>
        <w:rPr>
          <w:rFonts w:hint="eastAsia" w:ascii="仿宋" w:hAnsi="仿宋" w:eastAsia="仿宋" w:cs="仿宋"/>
          <w:sz w:val="32"/>
          <w:szCs w:val="32"/>
          <w:lang w:val="en-US" w:eastAsia="zh-CN"/>
        </w:rPr>
        <w:t>2.2.2.函证账号使用限制</w:t>
      </w:r>
      <w:bookmarkEnd w:id="17"/>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时间限制：审计机构需在收到函证短信的12小时内完成此次函证。函证次数限制：审计机构在每次获得授权后拥有3次函证机会。超过时间或函证次数后，若审计机构还有函证需求，期货公司需再次对审计机构授权。</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期货公司可在【函证授权管理】界面的授权列表中查看审计机构的函证次数及账号剩余使用时间。</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5267325" cy="786765"/>
            <wp:effectExtent l="0" t="0" r="3175" b="635"/>
            <wp:docPr id="2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7"/>
                    <pic:cNvPicPr>
                      <a:picLocks noChangeAspect="1"/>
                    </pic:cNvPicPr>
                  </pic:nvPicPr>
                  <pic:blipFill>
                    <a:blip r:embed="rId12"/>
                    <a:stretch>
                      <a:fillRect/>
                    </a:stretch>
                  </pic:blipFill>
                  <pic:spPr>
                    <a:xfrm>
                      <a:off x="0" y="0"/>
                      <a:ext cx="5267325" cy="78676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2"/>
        <w:rPr>
          <w:rFonts w:hint="default" w:ascii="仿宋" w:hAnsi="仿宋" w:eastAsia="仿宋" w:cs="仿宋"/>
          <w:sz w:val="32"/>
          <w:szCs w:val="32"/>
          <w:lang w:val="en-US" w:eastAsia="zh-CN"/>
        </w:rPr>
      </w:pPr>
      <w:bookmarkStart w:id="18" w:name="_Toc12322"/>
      <w:r>
        <w:rPr>
          <w:rFonts w:hint="eastAsia" w:ascii="仿宋" w:hAnsi="仿宋" w:eastAsia="仿宋" w:cs="仿宋"/>
          <w:sz w:val="32"/>
          <w:szCs w:val="32"/>
          <w:lang w:val="en-US" w:eastAsia="zh-CN"/>
        </w:rPr>
        <w:t>2.2.3.作废账号</w:t>
      </w:r>
      <w:bookmarkEnd w:id="18"/>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函证授权未过期时，期货公司可在【函证授权管理】界面点击【作废】操作作废已授权账号。</w:t>
      </w:r>
    </w:p>
    <w:p>
      <w:pPr>
        <w:keepNext w:val="0"/>
        <w:keepLines w:val="0"/>
        <w:pageBreakBefore w:val="0"/>
        <w:widowControl w:val="0"/>
        <w:kinsoku/>
        <w:wordWrap/>
        <w:overflowPunct/>
        <w:topLinePunct w:val="0"/>
        <w:autoSpaceDE/>
        <w:autoSpaceDN/>
        <w:bidi w:val="0"/>
        <w:adjustRightInd/>
        <w:snapToGrid/>
        <w:textAlignment w:val="auto"/>
      </w:pPr>
      <w:r>
        <w:rPr>
          <w:sz w:val="21"/>
        </w:rPr>
        <mc:AlternateContent>
          <mc:Choice Requires="wps">
            <w:drawing>
              <wp:anchor distT="0" distB="0" distL="114300" distR="114300" simplePos="0" relativeHeight="251661312" behindDoc="0" locked="0" layoutInCell="1" allowOverlap="1">
                <wp:simplePos x="0" y="0"/>
                <wp:positionH relativeFrom="column">
                  <wp:posOffset>4773295</wp:posOffset>
                </wp:positionH>
                <wp:positionV relativeFrom="paragraph">
                  <wp:posOffset>650875</wp:posOffset>
                </wp:positionV>
                <wp:extent cx="158750" cy="140970"/>
                <wp:effectExtent l="6350" t="6350" r="6350" b="11430"/>
                <wp:wrapNone/>
                <wp:docPr id="23" name="矩形 23"/>
                <wp:cNvGraphicFramePr/>
                <a:graphic xmlns:a="http://schemas.openxmlformats.org/drawingml/2006/main">
                  <a:graphicData uri="http://schemas.microsoft.com/office/word/2010/wordprocessingShape">
                    <wps:wsp>
                      <wps:cNvSpPr/>
                      <wps:spPr>
                        <a:xfrm>
                          <a:off x="6175375" y="6320155"/>
                          <a:ext cx="158750" cy="14097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5.85pt;margin-top:51.25pt;height:11.1pt;width:12.5pt;z-index:251661312;v-text-anchor:middle;mso-width-relative:page;mso-height-relative:page;" filled="f" stroked="t" coordsize="21600,21600" o:gfxdata="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IiCaWtYAAAALAQAADwAAAAAAAAABACAAAAAiAAAAZHJz&#10;L2Rvd25yZXYueG1sUEsBAhQAFAAAAAgAh07iQBsJWtV4AgAA2AQAAA4AAAAAAAAAAQAgAAAAJQEA&#10;AGRycy9lMm9Eb2MueG1sUEsFBgAAAAAGAAYAWQEAAA8GAAAAAA==&#10;">
                <v:fill on="f" focussize="0,0"/>
                <v:stroke weight="1pt" color="#FF0000 [3204]" miterlimit="8" joinstyle="miter"/>
                <v:imagedata o:title=""/>
                <o:lock v:ext="edit" aspectratio="f"/>
              </v:rect>
            </w:pict>
          </mc:Fallback>
        </mc:AlternateContent>
      </w:r>
      <w:r>
        <w:drawing>
          <wp:inline distT="0" distB="0" distL="114300" distR="114300">
            <wp:extent cx="5267325" cy="786765"/>
            <wp:effectExtent l="0" t="0" r="3175" b="635"/>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pic:cNvPicPr>
                  </pic:nvPicPr>
                  <pic:blipFill>
                    <a:blip r:embed="rId12"/>
                    <a:stretch>
                      <a:fillRect/>
                    </a:stretch>
                  </pic:blipFill>
                  <pic:spPr>
                    <a:xfrm>
                      <a:off x="0" y="0"/>
                      <a:ext cx="5267325" cy="78676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2"/>
        <w:rPr>
          <w:rFonts w:hint="default" w:ascii="仿宋" w:hAnsi="仿宋" w:eastAsia="仿宋" w:cs="仿宋"/>
          <w:sz w:val="32"/>
          <w:szCs w:val="32"/>
          <w:lang w:val="en-US" w:eastAsia="zh-CN"/>
        </w:rPr>
      </w:pPr>
      <w:bookmarkStart w:id="19" w:name="_Toc12811"/>
      <w:r>
        <w:rPr>
          <w:rFonts w:hint="eastAsia" w:ascii="仿宋" w:hAnsi="仿宋" w:eastAsia="仿宋" w:cs="仿宋"/>
          <w:sz w:val="32"/>
          <w:szCs w:val="32"/>
          <w:lang w:val="en-US" w:eastAsia="zh-CN"/>
        </w:rPr>
        <w:t>2.2.4.重发账号</w:t>
      </w:r>
      <w:bookmarkEnd w:id="19"/>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函证授权未过期时，若因审计机构未收到短信等原因需要重发该授权，期货公司可在【函证授权管理】界面点击【重发】操作。</w:t>
      </w:r>
    </w:p>
    <w:p>
      <w:pPr>
        <w:keepNext w:val="0"/>
        <w:keepLines w:val="0"/>
        <w:pageBreakBefore w:val="0"/>
        <w:widowControl w:val="0"/>
        <w:kinsoku/>
        <w:wordWrap/>
        <w:overflowPunct/>
        <w:topLinePunct w:val="0"/>
        <w:autoSpaceDE/>
        <w:autoSpaceDN/>
        <w:bidi w:val="0"/>
        <w:adjustRightInd/>
        <w:snapToGrid/>
        <w:textAlignment w:val="auto"/>
      </w:pPr>
      <w:r>
        <w:rPr>
          <w:sz w:val="21"/>
        </w:rPr>
        <mc:AlternateContent>
          <mc:Choice Requires="wps">
            <w:drawing>
              <wp:anchor distT="0" distB="0" distL="114300" distR="114300" simplePos="0" relativeHeight="251662336" behindDoc="0" locked="0" layoutInCell="1" allowOverlap="1">
                <wp:simplePos x="0" y="0"/>
                <wp:positionH relativeFrom="column">
                  <wp:posOffset>4917440</wp:posOffset>
                </wp:positionH>
                <wp:positionV relativeFrom="paragraph">
                  <wp:posOffset>659765</wp:posOffset>
                </wp:positionV>
                <wp:extent cx="121920" cy="127635"/>
                <wp:effectExtent l="6350" t="6350" r="11430" b="12065"/>
                <wp:wrapNone/>
                <wp:docPr id="25" name="矩形 25"/>
                <wp:cNvGraphicFramePr/>
                <a:graphic xmlns:a="http://schemas.openxmlformats.org/drawingml/2006/main">
                  <a:graphicData uri="http://schemas.microsoft.com/office/word/2010/wordprocessingShape">
                    <wps:wsp>
                      <wps:cNvSpPr/>
                      <wps:spPr>
                        <a:xfrm>
                          <a:off x="0" y="0"/>
                          <a:ext cx="121920" cy="12763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7.2pt;margin-top:51.95pt;height:10.05pt;width:9.6pt;z-index:251662336;v-text-anchor:middle;mso-width-relative:page;mso-height-relative:page;" filled="f" stroked="t" coordsize="21600,21600" o:gfxdata="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u6uRH1wAAAAsBAAAPAAAAAAAAAAEAIAAAACIAAABkcnMvZG93bnJldi54bWxQSwEC&#10;FAAUAAAACACHTuJA+EC6k2cCAADMBAAADgAAAAAAAAABACAAAAAmAQAAZHJzL2Uyb0RvYy54bWxQ&#10;SwUGAAAAAAYABgBZAQAA/wUAAAAA&#10;">
                <v:fill on="f" focussize="0,0"/>
                <v:stroke weight="1pt" color="#FF0000 [3204]" miterlimit="8" joinstyle="miter"/>
                <v:imagedata o:title=""/>
                <o:lock v:ext="edit" aspectratio="f"/>
              </v:rect>
            </w:pict>
          </mc:Fallback>
        </mc:AlternateContent>
      </w:r>
      <w:r>
        <w:drawing>
          <wp:inline distT="0" distB="0" distL="114300" distR="114300">
            <wp:extent cx="5267325" cy="786765"/>
            <wp:effectExtent l="0" t="0" r="3175" b="635"/>
            <wp:docPr id="2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7"/>
                    <pic:cNvPicPr>
                      <a:picLocks noChangeAspect="1"/>
                    </pic:cNvPicPr>
                  </pic:nvPicPr>
                  <pic:blipFill>
                    <a:blip r:embed="rId12"/>
                    <a:stretch>
                      <a:fillRect/>
                    </a:stretch>
                  </pic:blipFill>
                  <pic:spPr>
                    <a:xfrm>
                      <a:off x="0" y="0"/>
                      <a:ext cx="5267325" cy="78676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点击重发选项后会弹出提示，账号有效期内最多可重发3次账号，且每次账号重发需间隔最短为10分钟。</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3943350" cy="20193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3"/>
                    <a:stretch>
                      <a:fillRect/>
                    </a:stretch>
                  </pic:blipFill>
                  <pic:spPr>
                    <a:xfrm>
                      <a:off x="0" y="0"/>
                      <a:ext cx="3943350" cy="20193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2"/>
        <w:rPr>
          <w:rFonts w:hint="eastAsia" w:ascii="仿宋" w:hAnsi="仿宋" w:eastAsia="仿宋" w:cs="仿宋"/>
          <w:sz w:val="32"/>
          <w:szCs w:val="32"/>
          <w:lang w:val="en-US" w:eastAsia="zh-CN"/>
        </w:rPr>
      </w:pPr>
      <w:bookmarkStart w:id="20" w:name="_Toc19032"/>
      <w:r>
        <w:rPr>
          <w:rFonts w:hint="eastAsia" w:ascii="仿宋" w:hAnsi="仿宋" w:eastAsia="仿宋" w:cs="仿宋"/>
          <w:sz w:val="32"/>
          <w:szCs w:val="32"/>
          <w:lang w:val="en-US" w:eastAsia="zh-CN"/>
        </w:rPr>
        <w:t>2.2.5.注意事项</w:t>
      </w:r>
      <w:bookmarkEnd w:id="20"/>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若在账号有效期内向同一个经办人手机号授权函证同一时点，上次授权产生的账号将自动过期。</w:t>
      </w:r>
    </w:p>
    <w:p>
      <w:pPr>
        <w:pStyle w:val="2"/>
        <w:keepNext/>
        <w:keepLines w:val="0"/>
        <w:pageBreakBefore w:val="0"/>
        <w:widowControl w:val="0"/>
        <w:numPr>
          <w:ilvl w:val="0"/>
          <w:numId w:val="0"/>
        </w:numPr>
        <w:kinsoku/>
        <w:wordWrap/>
        <w:overflowPunct/>
        <w:topLinePunct w:val="0"/>
        <w:autoSpaceDE/>
        <w:autoSpaceDN/>
        <w:bidi w:val="0"/>
        <w:adjustRightInd/>
        <w:snapToGrid/>
        <w:spacing w:after="0"/>
        <w:ind w:left="0" w:leftChars="0" w:firstLine="640" w:firstLineChars="200"/>
        <w:textAlignment w:val="auto"/>
        <w:rPr>
          <w:rFonts w:hint="eastAsia" w:ascii="黑体" w:hAnsi="黑体" w:eastAsia="黑体" w:cs="黑体"/>
          <w:b w:val="0"/>
          <w:bCs w:val="0"/>
          <w:lang w:val="en-US" w:eastAsia="zh-CN"/>
        </w:rPr>
      </w:pPr>
      <w:bookmarkStart w:id="21" w:name="_Toc28296"/>
      <w:r>
        <w:rPr>
          <w:rFonts w:hint="eastAsia" w:ascii="黑体" w:hAnsi="黑体" w:eastAsia="黑体" w:cs="黑体"/>
          <w:b w:val="0"/>
          <w:bCs w:val="0"/>
          <w:lang w:val="en-US" w:eastAsia="zh-CN"/>
        </w:rPr>
        <w:t>3.函证平台使用（审计机构部分）</w:t>
      </w:r>
      <w:bookmarkEnd w:id="21"/>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eastAsia" w:ascii="楷体" w:hAnsi="楷体" w:eastAsia="楷体" w:cs="楷体"/>
          <w:sz w:val="32"/>
          <w:szCs w:val="32"/>
          <w:lang w:val="en-US" w:eastAsia="zh-CN"/>
        </w:rPr>
      </w:pPr>
      <w:bookmarkStart w:id="22" w:name="_Toc9504"/>
      <w:r>
        <w:rPr>
          <w:rFonts w:hint="eastAsia" w:ascii="楷体" w:hAnsi="楷体" w:eastAsia="楷体" w:cs="楷体"/>
          <w:sz w:val="32"/>
          <w:szCs w:val="32"/>
          <w:lang w:val="en-US" w:eastAsia="zh-CN"/>
        </w:rPr>
        <w:t>3.1.功能介绍</w:t>
      </w:r>
      <w:bookmarkEnd w:id="22"/>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该部分主要介绍审计机构如何通过函证平台函证已授权时点的项目金额，并自行下载加盖郑商所电子章的询证函。</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default" w:ascii="楷体" w:hAnsi="楷体" w:eastAsia="楷体" w:cs="楷体"/>
          <w:sz w:val="32"/>
          <w:szCs w:val="32"/>
          <w:lang w:val="en-US" w:eastAsia="zh-CN"/>
        </w:rPr>
      </w:pPr>
      <w:bookmarkStart w:id="23" w:name="_Toc6286"/>
      <w:r>
        <w:rPr>
          <w:rFonts w:hint="eastAsia" w:ascii="楷体" w:hAnsi="楷体" w:eastAsia="楷体" w:cs="楷体"/>
          <w:sz w:val="32"/>
          <w:szCs w:val="32"/>
          <w:lang w:val="en-US" w:eastAsia="zh-CN"/>
        </w:rPr>
        <w:t>3.2.操作步骤</w:t>
      </w:r>
      <w:bookmarkEnd w:id="23"/>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2"/>
        <w:rPr>
          <w:rFonts w:hint="eastAsia" w:ascii="仿宋" w:hAnsi="仿宋" w:eastAsia="仿宋" w:cs="仿宋"/>
          <w:sz w:val="32"/>
          <w:szCs w:val="32"/>
          <w:lang w:val="en-US" w:eastAsia="zh-CN"/>
        </w:rPr>
      </w:pPr>
      <w:bookmarkStart w:id="24" w:name="_Toc13970"/>
      <w:r>
        <w:rPr>
          <w:rFonts w:hint="eastAsia" w:ascii="仿宋" w:hAnsi="仿宋" w:eastAsia="仿宋" w:cs="仿宋"/>
          <w:sz w:val="32"/>
          <w:szCs w:val="32"/>
          <w:lang w:val="en-US" w:eastAsia="zh-CN"/>
        </w:rPr>
        <w:t>3.2.1.登录函证平台</w:t>
      </w:r>
      <w:bookmarkEnd w:id="24"/>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审计机构可在互联网输入网址：</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"https://open.czce.com.cn/huo" </w:instrText>
      </w:r>
      <w:r>
        <w:rPr>
          <w:rFonts w:hint="eastAsia" w:ascii="仿宋" w:hAnsi="仿宋" w:eastAsia="仿宋" w:cs="仿宋"/>
          <w:sz w:val="32"/>
          <w:szCs w:val="32"/>
          <w:lang w:val="en-US" w:eastAsia="zh-CN"/>
        </w:rPr>
        <w:fldChar w:fldCharType="separate"/>
      </w:r>
      <w:r>
        <w:rPr>
          <w:rStyle w:val="14"/>
          <w:rFonts w:hint="eastAsia" w:ascii="仿宋" w:hAnsi="仿宋" w:eastAsia="仿宋" w:cs="仿宋"/>
          <w:sz w:val="32"/>
          <w:szCs w:val="32"/>
          <w:lang w:val="en-US" w:eastAsia="zh-CN"/>
        </w:rPr>
        <w:t>https://open.czce.com.cn/</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或登录郑商所官网，点击【交易所服务】-【会员服务】-【电子函证平台】模块进入电子函证平台，并在登录界面输入授权短信中显示的账号、期货公司告知的密码，以及相应的验证码，登录电子函证平台。</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2"/>
        <w:rPr>
          <w:rFonts w:hint="default" w:ascii="仿宋" w:hAnsi="仿宋" w:eastAsia="仿宋" w:cs="仿宋"/>
          <w:sz w:val="32"/>
          <w:szCs w:val="32"/>
          <w:lang w:val="en-US" w:eastAsia="zh-CN"/>
        </w:rPr>
      </w:pPr>
      <w:bookmarkStart w:id="25" w:name="_Toc31186"/>
      <w:r>
        <w:rPr>
          <w:rFonts w:hint="eastAsia" w:ascii="仿宋" w:hAnsi="仿宋" w:eastAsia="仿宋" w:cs="仿宋"/>
          <w:sz w:val="32"/>
          <w:szCs w:val="32"/>
          <w:lang w:val="en-US" w:eastAsia="zh-CN"/>
        </w:rPr>
        <w:t>3.2.2.函证信息确认</w:t>
      </w:r>
      <w:bookmarkEnd w:id="25"/>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登录电子函证平台后，系统将进入函证信息确认模块。审计机构需选择函证对象类型为期货公司，并输入函证对象编号（即期货公司在郑商所的4位会员号），点击页面下方的【提交】，进入函证生成页面。</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lang w:eastAsia="zh-CN"/>
        </w:rPr>
      </w:pPr>
      <w:r>
        <w:rPr>
          <w:lang w:eastAsia="zh-CN"/>
        </w:rPr>
        <w:drawing>
          <wp:inline distT="0" distB="0" distL="0" distR="0">
            <wp:extent cx="5166995" cy="2643505"/>
            <wp:effectExtent l="0" t="0" r="1905" b="4445"/>
            <wp:docPr id="100002" name="图片 100002" descr="_scroll_external/attachments/image2023-6-29_18-32-23-21782451a0ff59b4d6b82e32a2a4318697e80004149b421d313e2ba708a387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descr="_scroll_external/attachments/image2023-6-29_18-32-23-21782451a0ff59b4d6b82e32a2a4318697e80004149b421d313e2ba708a38796.png"/>
                    <pic:cNvPicPr>
                      <a:picLocks noChangeAspect="1"/>
                    </pic:cNvPicPr>
                  </pic:nvPicPr>
                  <pic:blipFill>
                    <a:blip r:embed="rId14"/>
                    <a:stretch>
                      <a:fillRect/>
                    </a:stretch>
                  </pic:blipFill>
                  <pic:spPr>
                    <a:xfrm>
                      <a:off x="0" y="0"/>
                      <a:ext cx="5166995" cy="264350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2"/>
        <w:rPr>
          <w:rFonts w:hint="eastAsia" w:ascii="仿宋" w:hAnsi="仿宋" w:eastAsia="仿宋" w:cs="仿宋"/>
          <w:sz w:val="32"/>
          <w:szCs w:val="32"/>
          <w:lang w:val="en-US" w:eastAsia="zh-CN"/>
        </w:rPr>
      </w:pPr>
      <w:bookmarkStart w:id="26" w:name="_Toc1437"/>
      <w:r>
        <w:rPr>
          <w:rFonts w:hint="eastAsia" w:ascii="仿宋" w:hAnsi="仿宋" w:eastAsia="仿宋" w:cs="仿宋"/>
          <w:sz w:val="32"/>
          <w:szCs w:val="32"/>
          <w:lang w:val="en-US" w:eastAsia="zh-CN"/>
        </w:rPr>
        <w:t>3.2.3.函证过程</w:t>
      </w:r>
      <w:bookmarkEnd w:id="26"/>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审计机构应根据期货公司提供的账面金额填写函证信息，填写完成后点击页面下方的【提交函证】选项。</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lang w:eastAsia="zh-CN"/>
        </w:rPr>
      </w:pPr>
      <w:r>
        <w:rPr>
          <w:lang w:eastAsia="zh-CN"/>
        </w:rPr>
        <w:drawing>
          <wp:inline distT="0" distB="0" distL="0" distR="0">
            <wp:extent cx="5395595" cy="2937510"/>
            <wp:effectExtent l="0" t="0" r="1905" b="2540"/>
            <wp:docPr id="100016" name="图片 100016" descr="_scroll_external/attachments/image2023-6-29_18-58-52-bd6103f9983681386efe98c095e1dc2123ca5a6713ac5566bbbee3c0c7e7f7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_scroll_external/attachments/image2023-6-29_18-58-52-bd6103f9983681386efe98c095e1dc2123ca5a6713ac5566bbbee3c0c7e7f7e2.png"/>
                    <pic:cNvPicPr>
                      <a:picLocks noChangeAspect="1"/>
                    </pic:cNvPicPr>
                  </pic:nvPicPr>
                  <pic:blipFill>
                    <a:blip r:embed="rId15"/>
                    <a:stretch>
                      <a:fillRect/>
                    </a:stretch>
                  </pic:blipFill>
                  <pic:spPr>
                    <a:xfrm>
                      <a:off x="0" y="0"/>
                      <a:ext cx="5395595" cy="2937952"/>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提交后，系统将自动比对期货公司账面金额与郑商所账面金额是否一致，并在核对结果栏显示对比结果。</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lang w:val="en-US" w:eastAsia="zh-CN"/>
        </w:rPr>
      </w:pPr>
      <w:r>
        <w:rPr>
          <w:lang w:eastAsia="zh-CN"/>
        </w:rPr>
        <w:drawing>
          <wp:inline distT="0" distB="0" distL="0" distR="0">
            <wp:extent cx="5395595" cy="2893695"/>
            <wp:effectExtent l="0" t="0" r="1905" b="1905"/>
            <wp:docPr id="100020" name="图片 100020" descr="_scroll_external/attachments/image2023-6-29_19-3-37-eb096ce4a9418e0b6da0cb8a9ff28b1403b8217e58923ecf4b901f0dee94d9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descr="_scroll_external/attachments/image2023-6-29_19-3-37-eb096ce4a9418e0b6da0cb8a9ff28b1403b8217e58923ecf4b901f0dee94d977.png"/>
                    <pic:cNvPicPr>
                      <a:picLocks noChangeAspect="1"/>
                    </pic:cNvPicPr>
                  </pic:nvPicPr>
                  <pic:blipFill>
                    <a:blip r:embed="rId16"/>
                    <a:stretch>
                      <a:fillRect/>
                    </a:stretch>
                  </pic:blipFill>
                  <pic:spPr>
                    <a:xfrm>
                      <a:off x="0" y="0"/>
                      <a:ext cx="5395595" cy="2893878"/>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2"/>
        <w:rPr>
          <w:rFonts w:hint="eastAsia" w:ascii="仿宋" w:hAnsi="仿宋" w:eastAsia="仿宋" w:cs="仿宋"/>
          <w:sz w:val="32"/>
          <w:szCs w:val="32"/>
          <w:lang w:val="en-US" w:eastAsia="zh-CN"/>
        </w:rPr>
      </w:pPr>
      <w:bookmarkStart w:id="27" w:name="_Toc6477"/>
      <w:r>
        <w:rPr>
          <w:rFonts w:hint="eastAsia" w:ascii="仿宋" w:hAnsi="仿宋" w:eastAsia="仿宋" w:cs="仿宋"/>
          <w:sz w:val="32"/>
          <w:szCs w:val="32"/>
          <w:lang w:val="en-US" w:eastAsia="zh-CN"/>
        </w:rPr>
        <w:t>3.2.4.再次函证</w:t>
      </w:r>
      <w:bookmarkEnd w:id="27"/>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若审计机构录入了错误的期货公司账面金额，可点击右侧的【再次函证】选项。</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lang w:eastAsia="zh-CN"/>
        </w:rPr>
      </w:pPr>
      <w:r>
        <w:rPr>
          <w:sz w:val="21"/>
        </w:rPr>
        <mc:AlternateContent>
          <mc:Choice Requires="wps">
            <w:drawing>
              <wp:anchor distT="0" distB="0" distL="114300" distR="114300" simplePos="0" relativeHeight="251663360" behindDoc="0" locked="0" layoutInCell="1" allowOverlap="1">
                <wp:simplePos x="0" y="0"/>
                <wp:positionH relativeFrom="column">
                  <wp:posOffset>4597400</wp:posOffset>
                </wp:positionH>
                <wp:positionV relativeFrom="paragraph">
                  <wp:posOffset>811530</wp:posOffset>
                </wp:positionV>
                <wp:extent cx="396875" cy="259715"/>
                <wp:effectExtent l="6350" t="6350" r="9525" b="6985"/>
                <wp:wrapNone/>
                <wp:docPr id="28" name="矩形 28"/>
                <wp:cNvGraphicFramePr/>
                <a:graphic xmlns:a="http://schemas.openxmlformats.org/drawingml/2006/main">
                  <a:graphicData uri="http://schemas.microsoft.com/office/word/2010/wordprocessingShape">
                    <wps:wsp>
                      <wps:cNvSpPr/>
                      <wps:spPr>
                        <a:xfrm>
                          <a:off x="5740400" y="5490210"/>
                          <a:ext cx="396875" cy="25971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2pt;margin-top:63.9pt;height:20.45pt;width:31.25pt;z-index:251663360;v-text-anchor:middle;mso-width-relative:page;mso-height-relative:page;" filled="f" stroked="t" coordsize="21600,21600" o:gfxdata="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EjNsW/XAAAACwEAAA8AAAAAAAAAAQAgAAAAIgAAAGRy&#10;cy9kb3ducmV2LnhtbFBLAQIUABQAAAAIAIdO4kDBV4boeAIAANgEAAAOAAAAAAAAAAEAIAAAACYB&#10;AABkcnMvZTJvRG9jLnhtbFBLBQYAAAAABgAGAFkBAAAQBgAAAAA=&#10;">
                <v:fill on="f" focussize="0,0"/>
                <v:stroke weight="1pt" color="#FF0000 [3204]" miterlimit="8" joinstyle="miter"/>
                <v:imagedata o:title=""/>
                <o:lock v:ext="edit" aspectratio="f"/>
              </v:rect>
            </w:pict>
          </mc:Fallback>
        </mc:AlternateContent>
      </w:r>
      <w:r>
        <w:rPr>
          <w:lang w:eastAsia="zh-CN"/>
        </w:rPr>
        <w:drawing>
          <wp:inline distT="0" distB="0" distL="0" distR="0">
            <wp:extent cx="5395595" cy="2893695"/>
            <wp:effectExtent l="0" t="0" r="1905" b="1905"/>
            <wp:docPr id="27" name="图片 27" descr="_scroll_external/attachments/image2023-6-29_19-3-37-eb096ce4a9418e0b6da0cb8a9ff28b1403b8217e58923ecf4b901f0dee94d9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_scroll_external/attachments/image2023-6-29_19-3-37-eb096ce4a9418e0b6da0cb8a9ff28b1403b8217e58923ecf4b901f0dee94d977.png"/>
                    <pic:cNvPicPr>
                      <a:picLocks noChangeAspect="1"/>
                    </pic:cNvPicPr>
                  </pic:nvPicPr>
                  <pic:blipFill>
                    <a:blip r:embed="rId16"/>
                    <a:stretch>
                      <a:fillRect/>
                    </a:stretch>
                  </pic:blipFill>
                  <pic:spPr>
                    <a:xfrm>
                      <a:off x="0" y="0"/>
                      <a:ext cx="5395595" cy="2893878"/>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点击后将在页面下方出现函证信息2，审计机构可在函证信息2中再次填写期货公司相应项目的账面金额，并点击页面下方的提交函证选项进行比对。</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lang w:eastAsia="zh-CN"/>
        </w:rPr>
      </w:pPr>
      <w:r>
        <w:rPr>
          <w:lang w:eastAsia="zh-CN"/>
        </w:rPr>
        <w:drawing>
          <wp:inline distT="0" distB="0" distL="0" distR="0">
            <wp:extent cx="5395595" cy="2736215"/>
            <wp:effectExtent l="0" t="0" r="1905" b="635"/>
            <wp:docPr id="100022" name="图片 100022" descr="_scroll_external/attachments/image2023-6-29_19-8-13-1ca19a0d46b840845914fc66277ea34e859880b0652bc47ece1fe5d39b29fe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图片 100022" descr="_scroll_external/attachments/image2023-6-29_19-8-13-1ca19a0d46b840845914fc66277ea34e859880b0652bc47ece1fe5d39b29fe5b.png"/>
                    <pic:cNvPicPr>
                      <a:picLocks noChangeAspect="1"/>
                    </pic:cNvPicPr>
                  </pic:nvPicPr>
                  <pic:blipFill>
                    <a:blip r:embed="rId17"/>
                    <a:stretch>
                      <a:fillRect/>
                    </a:stretch>
                  </pic:blipFill>
                  <pic:spPr>
                    <a:xfrm>
                      <a:off x="0" y="0"/>
                      <a:ext cx="5395595" cy="2736554"/>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2"/>
        <w:rPr>
          <w:rFonts w:hint="eastAsia" w:ascii="仿宋" w:hAnsi="仿宋" w:eastAsia="仿宋" w:cs="仿宋"/>
          <w:sz w:val="32"/>
          <w:szCs w:val="32"/>
          <w:lang w:val="en-US" w:eastAsia="zh-CN"/>
        </w:rPr>
      </w:pPr>
      <w:bookmarkStart w:id="28" w:name="_Toc20985"/>
      <w:r>
        <w:rPr>
          <w:rFonts w:hint="eastAsia" w:ascii="仿宋" w:hAnsi="仿宋" w:eastAsia="仿宋" w:cs="仿宋"/>
          <w:sz w:val="32"/>
          <w:szCs w:val="32"/>
          <w:lang w:val="en-US" w:eastAsia="zh-CN"/>
        </w:rPr>
        <w:t>3.2.5.下载函证</w:t>
      </w:r>
      <w:bookmarkEnd w:id="28"/>
    </w:p>
    <w:p>
      <w:pPr>
        <w:keepNext w:val="0"/>
        <w:keepLines w:val="0"/>
        <w:pageBreakBefore w:val="0"/>
        <w:widowControl w:val="0"/>
        <w:numPr>
          <w:ilvl w:val="0"/>
          <w:numId w:val="0"/>
        </w:numPr>
        <w:kinsoku/>
        <w:wordWrap/>
        <w:overflowPunct/>
        <w:topLinePunct w:val="0"/>
        <w:autoSpaceDE/>
        <w:autoSpaceDN/>
        <w:bidi w:val="0"/>
        <w:adjustRightInd/>
        <w:snapToGrid/>
        <w:ind w:leftChars="0" w:firstLine="643" w:firstLineChars="200"/>
        <w:jc w:val="both"/>
        <w:textAlignment w:val="auto"/>
        <w:rPr>
          <w:rFonts w:hint="eastAsia" w:ascii="仿宋" w:hAnsi="仿宋" w:eastAsia="仿宋" w:cs="仿宋"/>
          <w:b/>
          <w:bCs/>
          <w:color w:val="FF0000"/>
          <w:sz w:val="32"/>
          <w:szCs w:val="32"/>
          <w:lang w:val="en-US" w:eastAsia="zh-CN"/>
        </w:rPr>
      </w:pPr>
      <w:r>
        <w:rPr>
          <w:rFonts w:hint="eastAsia" w:ascii="仿宋" w:hAnsi="仿宋" w:eastAsia="仿宋" w:cs="仿宋"/>
          <w:b/>
          <w:bCs/>
          <w:color w:val="FF0000"/>
          <w:sz w:val="32"/>
          <w:szCs w:val="32"/>
          <w:lang w:val="en-US" w:eastAsia="zh-CN"/>
        </w:rPr>
        <w:t>审计机构完成函证，请及时点击相应函证信息右侧的【下载函证结果】选项。</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lang w:eastAsia="zh-CN"/>
        </w:rPr>
      </w:pPr>
      <w:r>
        <w:rPr>
          <w:sz w:val="21"/>
        </w:rPr>
        <mc:AlternateContent>
          <mc:Choice Requires="wps">
            <w:drawing>
              <wp:anchor distT="0" distB="0" distL="114300" distR="114300" simplePos="0" relativeHeight="251664384" behindDoc="0" locked="0" layoutInCell="1" allowOverlap="1">
                <wp:simplePos x="0" y="0"/>
                <wp:positionH relativeFrom="column">
                  <wp:posOffset>4983480</wp:posOffset>
                </wp:positionH>
                <wp:positionV relativeFrom="paragraph">
                  <wp:posOffset>833755</wp:posOffset>
                </wp:positionV>
                <wp:extent cx="441960" cy="238125"/>
                <wp:effectExtent l="6350" t="6350" r="8890" b="9525"/>
                <wp:wrapNone/>
                <wp:docPr id="30" name="矩形 30"/>
                <wp:cNvGraphicFramePr/>
                <a:graphic xmlns:a="http://schemas.openxmlformats.org/drawingml/2006/main">
                  <a:graphicData uri="http://schemas.microsoft.com/office/word/2010/wordprocessingShape">
                    <wps:wsp>
                      <wps:cNvSpPr/>
                      <wps:spPr>
                        <a:xfrm>
                          <a:off x="6383655" y="5702935"/>
                          <a:ext cx="441960" cy="2381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2.4pt;margin-top:65.65pt;height:18.75pt;width:34.8pt;z-index:251664384;v-text-anchor:middle;mso-width-relative:page;mso-height-relative:page;" filled="f" stroked="t" coordsize="21600,21600" o:gfxdata="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SSQX1wAAAAsBAAAPAAAAAAAAAAEAIAAAACIAAABk&#10;cnMvZG93bnJldi54bWxQSwECFAAUAAAACACHTuJAFq4+b3kCAADYBAAADgAAAAAAAAABACAAAAAm&#10;AQAAZHJzL2Uyb0RvYy54bWxQSwUGAAAAAAYABgBZAQAAEQYAAAAA&#10;">
                <v:fill on="f" focussize="0,0"/>
                <v:stroke weight="1pt" color="#FF0000 [3204]" miterlimit="8" joinstyle="miter"/>
                <v:imagedata o:title=""/>
                <o:lock v:ext="edit" aspectratio="f"/>
              </v:rect>
            </w:pict>
          </mc:Fallback>
        </mc:AlternateContent>
      </w:r>
      <w:r>
        <w:rPr>
          <w:lang w:eastAsia="zh-CN"/>
        </w:rPr>
        <w:drawing>
          <wp:inline distT="0" distB="0" distL="0" distR="0">
            <wp:extent cx="5395595" cy="2893695"/>
            <wp:effectExtent l="0" t="0" r="1905" b="1905"/>
            <wp:docPr id="29" name="图片 29" descr="_scroll_external/attachments/image2023-6-29_19-3-37-eb096ce4a9418e0b6da0cb8a9ff28b1403b8217e58923ecf4b901f0dee94d9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_scroll_external/attachments/image2023-6-29_19-3-37-eb096ce4a9418e0b6da0cb8a9ff28b1403b8217e58923ecf4b901f0dee94d977.png"/>
                    <pic:cNvPicPr>
                      <a:picLocks noChangeAspect="1"/>
                    </pic:cNvPicPr>
                  </pic:nvPicPr>
                  <pic:blipFill>
                    <a:blip r:embed="rId16"/>
                    <a:stretch>
                      <a:fillRect/>
                    </a:stretch>
                  </pic:blipFill>
                  <pic:spPr>
                    <a:xfrm>
                      <a:off x="0" y="0"/>
                      <a:ext cx="5395595" cy="2893878"/>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下载后可获得如下图的PDF版本询证函，审计机构可根据需要自行打印。</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2"/>
          <w:szCs w:val="32"/>
        </w:rPr>
      </w:pPr>
      <w:r>
        <w:drawing>
          <wp:inline distT="0" distB="0" distL="114300" distR="114300">
            <wp:extent cx="3272790" cy="4001135"/>
            <wp:effectExtent l="0" t="0" r="3810" b="571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8"/>
                    <a:stretch>
                      <a:fillRect/>
                    </a:stretch>
                  </pic:blipFill>
                  <pic:spPr>
                    <a:xfrm>
                      <a:off x="0" y="0"/>
                      <a:ext cx="3272790" cy="400113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2"/>
        <w:rPr>
          <w:rFonts w:hint="eastAsia" w:ascii="仿宋" w:hAnsi="仿宋" w:eastAsia="仿宋" w:cs="仿宋"/>
          <w:sz w:val="32"/>
          <w:szCs w:val="32"/>
          <w:lang w:val="en-US" w:eastAsia="zh-CN"/>
        </w:rPr>
      </w:pPr>
      <w:bookmarkStart w:id="29" w:name="_Toc16881"/>
      <w:r>
        <w:rPr>
          <w:rFonts w:hint="eastAsia" w:ascii="仿宋" w:hAnsi="仿宋" w:eastAsia="仿宋" w:cs="仿宋"/>
          <w:sz w:val="32"/>
          <w:szCs w:val="32"/>
          <w:lang w:val="en-US" w:eastAsia="zh-CN"/>
        </w:rPr>
        <w:t>3.2.6.查询函证结果</w:t>
      </w:r>
      <w:bookmarkEnd w:id="29"/>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default" w:ascii="仿宋" w:hAnsi="仿宋" w:eastAsia="仿宋" w:cs="仿宋"/>
          <w:sz w:val="32"/>
          <w:szCs w:val="32"/>
          <w:lang w:val="en-US"/>
        </w:rPr>
      </w:pPr>
      <w:r>
        <w:rPr>
          <w:rFonts w:hint="eastAsia" w:ascii="仿宋" w:hAnsi="仿宋" w:eastAsia="仿宋" w:cs="仿宋"/>
          <w:sz w:val="32"/>
          <w:szCs w:val="32"/>
          <w:lang w:val="en-US" w:eastAsia="zh-CN"/>
        </w:rPr>
        <w:t>若审计机构在账号有效期内想再次查看或下载之前的函证结果，可再次登录函证平台，进入【函证信息确认】页面，选择函证对象类型并录入期货公司编号，选择【历史函证记录查询】选项。</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lang w:eastAsia="zh-CN"/>
        </w:rPr>
      </w:pPr>
      <w:r>
        <w:rPr>
          <w:sz w:val="21"/>
        </w:rPr>
        <mc:AlternateContent>
          <mc:Choice Requires="wps">
            <w:drawing>
              <wp:anchor distT="0" distB="0" distL="114300" distR="114300" simplePos="0" relativeHeight="251665408" behindDoc="0" locked="0" layoutInCell="1" allowOverlap="1">
                <wp:simplePos x="0" y="0"/>
                <wp:positionH relativeFrom="column">
                  <wp:posOffset>3919220</wp:posOffset>
                </wp:positionH>
                <wp:positionV relativeFrom="paragraph">
                  <wp:posOffset>497840</wp:posOffset>
                </wp:positionV>
                <wp:extent cx="641985" cy="185420"/>
                <wp:effectExtent l="6350" t="6350" r="12065" b="11430"/>
                <wp:wrapNone/>
                <wp:docPr id="33" name="矩形 33"/>
                <wp:cNvGraphicFramePr/>
                <a:graphic xmlns:a="http://schemas.openxmlformats.org/drawingml/2006/main">
                  <a:graphicData uri="http://schemas.microsoft.com/office/word/2010/wordprocessingShape">
                    <wps:wsp>
                      <wps:cNvSpPr/>
                      <wps:spPr>
                        <a:xfrm>
                          <a:off x="5062220" y="1412240"/>
                          <a:ext cx="641985" cy="18542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8.6pt;margin-top:39.2pt;height:14.6pt;width:50.55pt;z-index:251665408;v-text-anchor:middle;mso-width-relative:page;mso-height-relative:page;" filled="f" stroked="t" coordsize="21600,21600" o:gfxdata="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We9astYAAAAKAQAADwAAAAAAAAABACAAAAAiAAAAZHJz&#10;L2Rvd25yZXYueG1sUEsBAhQAFAAAAAgAh07iQIYsd2l4AgAA2AQAAA4AAAAAAAAAAQAgAAAAJQEA&#10;AGRycy9lMm9Eb2MueG1sUEsFBgAAAAAGAAYAWQEAAA8GAAAAAA==&#10;">
                <v:fill on="f" focussize="0,0"/>
                <v:stroke weight="1pt" color="#FF0000 [3204]" miterlimit="8" joinstyle="miter"/>
                <v:imagedata o:title=""/>
                <o:lock v:ext="edit" aspectratio="f"/>
              </v:rect>
            </w:pict>
          </mc:Fallback>
        </mc:AlternateContent>
      </w:r>
      <w:r>
        <w:rPr>
          <w:lang w:eastAsia="zh-CN"/>
        </w:rPr>
        <w:drawing>
          <wp:inline distT="0" distB="0" distL="0" distR="0">
            <wp:extent cx="5166995" cy="2643505"/>
            <wp:effectExtent l="0" t="0" r="1905" b="4445"/>
            <wp:docPr id="32" name="图片 32" descr="_scroll_external/attachments/image2023-6-29_18-32-23-21782451a0ff59b4d6b82e32a2a4318697e80004149b421d313e2ba708a387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_scroll_external/attachments/image2023-6-29_18-32-23-21782451a0ff59b4d6b82e32a2a4318697e80004149b421d313e2ba708a38796.png"/>
                    <pic:cNvPicPr>
                      <a:picLocks noChangeAspect="1"/>
                    </pic:cNvPicPr>
                  </pic:nvPicPr>
                  <pic:blipFill>
                    <a:blip r:embed="rId14"/>
                    <a:stretch>
                      <a:fillRect/>
                    </a:stretch>
                  </pic:blipFill>
                  <pic:spPr>
                    <a:xfrm>
                      <a:off x="0" y="0"/>
                      <a:ext cx="5166995" cy="264350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审计机构可在函证生成记录中查看该账号全部函证情况，并点击右侧下载函证结果。</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5271135" cy="1376680"/>
            <wp:effectExtent l="0" t="0" r="5715" b="1270"/>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19"/>
                    <a:stretch>
                      <a:fillRect/>
                    </a:stretch>
                  </pic:blipFill>
                  <pic:spPr>
                    <a:xfrm>
                      <a:off x="0" y="0"/>
                      <a:ext cx="5271135" cy="1376680"/>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eastAsia" w:ascii="楷体" w:hAnsi="楷体" w:eastAsia="楷体" w:cs="楷体"/>
          <w:sz w:val="32"/>
          <w:szCs w:val="32"/>
          <w:lang w:val="en-US" w:eastAsia="zh-CN"/>
        </w:rPr>
      </w:pPr>
      <w:bookmarkStart w:id="30" w:name="_Toc1152"/>
      <w:r>
        <w:rPr>
          <w:rFonts w:hint="eastAsia" w:ascii="楷体" w:hAnsi="楷体" w:eastAsia="楷体" w:cs="楷体"/>
          <w:sz w:val="32"/>
          <w:szCs w:val="32"/>
          <w:lang w:val="en-US" w:eastAsia="zh-CN"/>
        </w:rPr>
        <w:t>3.3.注意事项</w:t>
      </w:r>
      <w:bookmarkEnd w:id="30"/>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一是审计机构在函证信息确认界面最多可尝试输入10次函证对象信息，超过次数后该账号将自动作废。</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二是审计机构使用同一账号最多可函证3次金额，超过3次后无法再次函证。</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仿宋" w:hAnsi="仿宋" w:eastAsia="仿宋" w:cs="仿宋"/>
          <w:b/>
          <w:bCs/>
          <w:color w:val="FF0000"/>
          <w:sz w:val="32"/>
          <w:szCs w:val="32"/>
          <w:lang w:val="en-US" w:eastAsia="zh-CN"/>
        </w:rPr>
      </w:pPr>
      <w:r>
        <w:rPr>
          <w:rFonts w:hint="eastAsia" w:ascii="仿宋" w:hAnsi="仿宋" w:eastAsia="仿宋" w:cs="仿宋"/>
          <w:sz w:val="32"/>
          <w:szCs w:val="32"/>
          <w:lang w:val="en-US" w:eastAsia="zh-CN"/>
        </w:rPr>
        <w:t>三是</w:t>
      </w:r>
      <w:r>
        <w:rPr>
          <w:rFonts w:hint="eastAsia" w:ascii="仿宋" w:hAnsi="仿宋" w:eastAsia="仿宋" w:cs="仿宋"/>
          <w:b/>
          <w:bCs/>
          <w:color w:val="FF0000"/>
          <w:sz w:val="32"/>
          <w:szCs w:val="32"/>
          <w:lang w:val="en-US" w:eastAsia="zh-CN"/>
        </w:rPr>
        <w:t>函证生成记录只能在账号有效期内查询，审计机构应及时下载函证结果。</w:t>
      </w:r>
    </w:p>
    <w:p>
      <w:pPr>
        <w:pStyle w:val="2"/>
        <w:keepNext/>
        <w:keepLines w:val="0"/>
        <w:pageBreakBefore w:val="0"/>
        <w:widowControl w:val="0"/>
        <w:numPr>
          <w:ilvl w:val="0"/>
          <w:numId w:val="0"/>
        </w:numPr>
        <w:kinsoku/>
        <w:wordWrap/>
        <w:overflowPunct/>
        <w:topLinePunct w:val="0"/>
        <w:autoSpaceDE/>
        <w:autoSpaceDN/>
        <w:bidi w:val="0"/>
        <w:adjustRightInd/>
        <w:snapToGrid/>
        <w:spacing w:after="0"/>
        <w:ind w:left="0" w:leftChars="0" w:firstLine="640" w:firstLineChars="200"/>
        <w:textAlignment w:val="auto"/>
        <w:rPr>
          <w:rFonts w:hint="default" w:ascii="黑体" w:hAnsi="黑体" w:eastAsia="黑体" w:cs="黑体"/>
          <w:b w:val="0"/>
          <w:bCs w:val="0"/>
          <w:lang w:val="en-US" w:eastAsia="zh-CN"/>
        </w:rPr>
      </w:pPr>
      <w:bookmarkStart w:id="31" w:name="_Toc9245"/>
      <w:r>
        <w:rPr>
          <w:rFonts w:hint="eastAsia" w:ascii="黑体" w:hAnsi="黑体" w:eastAsia="黑体" w:cs="黑体"/>
          <w:b w:val="0"/>
          <w:bCs w:val="0"/>
          <w:lang w:val="en-US" w:eastAsia="zh-CN"/>
        </w:rPr>
        <w:t>4.备注</w:t>
      </w:r>
      <w:bookmarkEnd w:id="31"/>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期货公司及审计机构若对电子函证平台功能使用或函证项目金额存在疑问，可联系郑商所结算部。其中，若对会员资格费金额存在疑问，请联系郑商所财务部。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结算部联系方式：0371-65613170</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财务部联系方式：0371-65610913</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Grande">
    <w:altName w:val="Arial"/>
    <w:panose1 w:val="00000000000000000000"/>
    <w:charset w:val="00"/>
    <w:family w:val="auto"/>
    <w:pitch w:val="default"/>
    <w:sig w:usb0="00000000" w:usb1="00000000" w:usb2="00000000" w:usb3="00000000" w:csb0="000001B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hint="eastAsia" w:eastAsiaTheme="minorEastAsia"/>
        <w:lang w:eastAsia="zh-CN"/>
      </w:rPr>
    </w:pPr>
    <w:r>
      <w:rPr>
        <w:rFonts w:hint="eastAsia" w:eastAsiaTheme="minorEastAsia"/>
        <w:lang w:eastAsia="zh-CN"/>
      </w:rPr>
      <w:drawing>
        <wp:inline distT="0" distB="0" distL="114300" distR="114300">
          <wp:extent cx="1432560" cy="297180"/>
          <wp:effectExtent l="0" t="0" r="2540" b="1270"/>
          <wp:docPr id="2" name="图片 2" descr="5f483583b54ec9e53cbbe243b9be8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f483583b54ec9e53cbbe243b9be8fc"/>
                  <pic:cNvPicPr>
                    <a:picLocks noChangeAspect="1"/>
                  </pic:cNvPicPr>
                </pic:nvPicPr>
                <pic:blipFill>
                  <a:blip r:embed="rId1"/>
                  <a:stretch>
                    <a:fillRect/>
                  </a:stretch>
                </pic:blipFill>
                <pic:spPr>
                  <a:xfrm>
                    <a:off x="0" y="0"/>
                    <a:ext cx="1432560" cy="2971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iNmViMDQwZmI5NzFlYjA4MDdiOTQ5YTQ5ZWI3OGQifQ=="/>
  </w:docVars>
  <w:rsids>
    <w:rsidRoot w:val="748126F8"/>
    <w:rsid w:val="005B146F"/>
    <w:rsid w:val="0429414A"/>
    <w:rsid w:val="04BF00FB"/>
    <w:rsid w:val="04F207BE"/>
    <w:rsid w:val="069F74A7"/>
    <w:rsid w:val="08CA7AE1"/>
    <w:rsid w:val="090E418D"/>
    <w:rsid w:val="0DEB5B03"/>
    <w:rsid w:val="0E6E2053"/>
    <w:rsid w:val="10332645"/>
    <w:rsid w:val="12785DA3"/>
    <w:rsid w:val="135C60D2"/>
    <w:rsid w:val="13D80675"/>
    <w:rsid w:val="144F0735"/>
    <w:rsid w:val="14AD29AC"/>
    <w:rsid w:val="14F574FE"/>
    <w:rsid w:val="15804434"/>
    <w:rsid w:val="17120CAB"/>
    <w:rsid w:val="18076BB3"/>
    <w:rsid w:val="18AA3420"/>
    <w:rsid w:val="19446127"/>
    <w:rsid w:val="1BBD6F96"/>
    <w:rsid w:val="1D1452FB"/>
    <w:rsid w:val="1D6F146C"/>
    <w:rsid w:val="1E7D17E0"/>
    <w:rsid w:val="1F63395A"/>
    <w:rsid w:val="20797166"/>
    <w:rsid w:val="22586EE2"/>
    <w:rsid w:val="225C5D19"/>
    <w:rsid w:val="228B2D0B"/>
    <w:rsid w:val="23233540"/>
    <w:rsid w:val="233E5CCC"/>
    <w:rsid w:val="236825B5"/>
    <w:rsid w:val="23DD616D"/>
    <w:rsid w:val="24236E6E"/>
    <w:rsid w:val="24F45643"/>
    <w:rsid w:val="251C79A7"/>
    <w:rsid w:val="254F0090"/>
    <w:rsid w:val="25582686"/>
    <w:rsid w:val="2578476F"/>
    <w:rsid w:val="27357BB9"/>
    <w:rsid w:val="27B4424C"/>
    <w:rsid w:val="28340036"/>
    <w:rsid w:val="28450C2F"/>
    <w:rsid w:val="284C4274"/>
    <w:rsid w:val="28EA3B9D"/>
    <w:rsid w:val="28F029D4"/>
    <w:rsid w:val="296D7F1C"/>
    <w:rsid w:val="29D83679"/>
    <w:rsid w:val="29DD7D14"/>
    <w:rsid w:val="2AAC3F6A"/>
    <w:rsid w:val="2B7B1C5D"/>
    <w:rsid w:val="2BE74F38"/>
    <w:rsid w:val="2DA73ADB"/>
    <w:rsid w:val="2DB57F53"/>
    <w:rsid w:val="2EDB38AA"/>
    <w:rsid w:val="2EE20B6E"/>
    <w:rsid w:val="2FEC3625"/>
    <w:rsid w:val="309C41EF"/>
    <w:rsid w:val="3188021E"/>
    <w:rsid w:val="3210747A"/>
    <w:rsid w:val="326048D0"/>
    <w:rsid w:val="32F81EA0"/>
    <w:rsid w:val="33D5497F"/>
    <w:rsid w:val="34E04C65"/>
    <w:rsid w:val="35970805"/>
    <w:rsid w:val="37172005"/>
    <w:rsid w:val="37522446"/>
    <w:rsid w:val="37551F5C"/>
    <w:rsid w:val="38F905C8"/>
    <w:rsid w:val="3A7C0B02"/>
    <w:rsid w:val="3B882730"/>
    <w:rsid w:val="3D840F77"/>
    <w:rsid w:val="3E8A3CC3"/>
    <w:rsid w:val="3ED64864"/>
    <w:rsid w:val="3FE04264"/>
    <w:rsid w:val="41565EE0"/>
    <w:rsid w:val="421C0C3E"/>
    <w:rsid w:val="42B02652"/>
    <w:rsid w:val="42E95ABB"/>
    <w:rsid w:val="433458C1"/>
    <w:rsid w:val="438140AB"/>
    <w:rsid w:val="43C46056"/>
    <w:rsid w:val="44044DD9"/>
    <w:rsid w:val="444E0CA5"/>
    <w:rsid w:val="4524104B"/>
    <w:rsid w:val="45642083"/>
    <w:rsid w:val="461D67BC"/>
    <w:rsid w:val="476962C5"/>
    <w:rsid w:val="479052EF"/>
    <w:rsid w:val="47CC4F2D"/>
    <w:rsid w:val="490B5D6D"/>
    <w:rsid w:val="4A387368"/>
    <w:rsid w:val="4BC632FA"/>
    <w:rsid w:val="4CE100AE"/>
    <w:rsid w:val="4D6E6EC8"/>
    <w:rsid w:val="4E2C2BB2"/>
    <w:rsid w:val="500879A1"/>
    <w:rsid w:val="5186648C"/>
    <w:rsid w:val="51B878C3"/>
    <w:rsid w:val="521E1F12"/>
    <w:rsid w:val="53A86840"/>
    <w:rsid w:val="54682994"/>
    <w:rsid w:val="559D4117"/>
    <w:rsid w:val="55D35636"/>
    <w:rsid w:val="570141C5"/>
    <w:rsid w:val="58950399"/>
    <w:rsid w:val="58C50C10"/>
    <w:rsid w:val="59FD3604"/>
    <w:rsid w:val="5A030539"/>
    <w:rsid w:val="5B3A6C4E"/>
    <w:rsid w:val="5B3E2122"/>
    <w:rsid w:val="5CE56CE7"/>
    <w:rsid w:val="5D582262"/>
    <w:rsid w:val="5D7605D0"/>
    <w:rsid w:val="5D83140B"/>
    <w:rsid w:val="5F986F39"/>
    <w:rsid w:val="60065D4D"/>
    <w:rsid w:val="60201B64"/>
    <w:rsid w:val="60AF1347"/>
    <w:rsid w:val="60B00540"/>
    <w:rsid w:val="62DD3BA4"/>
    <w:rsid w:val="638C426D"/>
    <w:rsid w:val="674A39B4"/>
    <w:rsid w:val="674A40AB"/>
    <w:rsid w:val="67D040F5"/>
    <w:rsid w:val="69436B44"/>
    <w:rsid w:val="69925B79"/>
    <w:rsid w:val="69CD55C3"/>
    <w:rsid w:val="6A041E8D"/>
    <w:rsid w:val="6AAB26AA"/>
    <w:rsid w:val="6AEB2B29"/>
    <w:rsid w:val="6AEB5D0F"/>
    <w:rsid w:val="6B955850"/>
    <w:rsid w:val="6CE618F0"/>
    <w:rsid w:val="6D101720"/>
    <w:rsid w:val="703A67A3"/>
    <w:rsid w:val="708307AF"/>
    <w:rsid w:val="70CB19B9"/>
    <w:rsid w:val="710D1233"/>
    <w:rsid w:val="713E3D5E"/>
    <w:rsid w:val="71B8529D"/>
    <w:rsid w:val="72846302"/>
    <w:rsid w:val="739A374B"/>
    <w:rsid w:val="74343FBF"/>
    <w:rsid w:val="745D155C"/>
    <w:rsid w:val="748126F8"/>
    <w:rsid w:val="75917C98"/>
    <w:rsid w:val="765E5B8F"/>
    <w:rsid w:val="770B4568"/>
    <w:rsid w:val="775B04EB"/>
    <w:rsid w:val="794F7842"/>
    <w:rsid w:val="79DA44D1"/>
    <w:rsid w:val="7A941129"/>
    <w:rsid w:val="7B475186"/>
    <w:rsid w:val="7CC26904"/>
    <w:rsid w:val="7DA10D7A"/>
    <w:rsid w:val="7DD04B9E"/>
    <w:rsid w:val="7E4E741A"/>
    <w:rsid w:val="7E8835EA"/>
    <w:rsid w:val="7E891392"/>
    <w:rsid w:val="7EB23176"/>
    <w:rsid w:val="7F6B662C"/>
    <w:rsid w:val="7F8058BE"/>
    <w:rsid w:val="7FE05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numPr>
        <w:ilvl w:val="0"/>
        <w:numId w:val="1"/>
      </w:numPr>
      <w:tabs>
        <w:tab w:val="left" w:pos="0"/>
        <w:tab w:val="left" w:pos="567"/>
      </w:tabs>
      <w:spacing w:after="240"/>
      <w:ind w:left="431" w:hanging="431"/>
      <w:outlineLvl w:val="0"/>
    </w:pPr>
    <w:rPr>
      <w:rFonts w:cs="Arial"/>
      <w:b/>
      <w:bCs/>
      <w:color w:val="404040"/>
      <w:kern w:val="32"/>
      <w:sz w:val="32"/>
      <w:szCs w:val="32"/>
    </w:rPr>
  </w:style>
  <w:style w:type="paragraph" w:styleId="3">
    <w:name w:val="heading 2"/>
    <w:basedOn w:val="1"/>
    <w:next w:val="1"/>
    <w:qFormat/>
    <w:uiPriority w:val="0"/>
    <w:pPr>
      <w:keepNext/>
      <w:numPr>
        <w:ilvl w:val="1"/>
        <w:numId w:val="1"/>
      </w:numPr>
      <w:tabs>
        <w:tab w:val="left" w:pos="567"/>
      </w:tabs>
      <w:spacing w:before="480" w:after="240"/>
      <w:outlineLvl w:val="1"/>
    </w:pPr>
    <w:rPr>
      <w:rFonts w:cs="Arial"/>
      <w:b/>
      <w:bCs/>
      <w:color w:val="404040"/>
      <w:sz w:val="28"/>
      <w:szCs w:val="28"/>
    </w:rPr>
  </w:style>
  <w:style w:type="paragraph" w:styleId="4">
    <w:name w:val="heading 3"/>
    <w:basedOn w:val="1"/>
    <w:next w:val="1"/>
    <w:qFormat/>
    <w:uiPriority w:val="0"/>
    <w:pPr>
      <w:keepNext/>
      <w:numPr>
        <w:ilvl w:val="2"/>
        <w:numId w:val="1"/>
      </w:numPr>
      <w:tabs>
        <w:tab w:val="left" w:pos="567"/>
      </w:tabs>
      <w:spacing w:before="360"/>
      <w:outlineLvl w:val="2"/>
    </w:pPr>
    <w:rPr>
      <w:rFonts w:cs="Arial"/>
      <w:b/>
      <w:bCs/>
      <w:color w:val="595959"/>
      <w:sz w:val="26"/>
      <w:szCs w:val="26"/>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Document Map"/>
    <w:basedOn w:val="1"/>
    <w:qFormat/>
    <w:uiPriority w:val="0"/>
    <w:pPr>
      <w:spacing w:after="0"/>
    </w:pPr>
    <w:rPr>
      <w:rFonts w:ascii="Lucida Grande" w:hAnsi="Lucida Grande"/>
    </w:rPr>
  </w:style>
  <w:style w:type="paragraph" w:styleId="6">
    <w:name w:val="toc 3"/>
    <w:basedOn w:val="1"/>
    <w:next w:val="1"/>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iPriority w:val="0"/>
  </w:style>
  <w:style w:type="paragraph" w:styleId="10">
    <w:name w:val="toc 2"/>
    <w:basedOn w:val="1"/>
    <w:next w:val="1"/>
    <w:uiPriority w:val="0"/>
    <w:pPr>
      <w:ind w:left="420" w:leftChars="200"/>
    </w:pPr>
  </w:style>
  <w:style w:type="paragraph" w:styleId="11">
    <w:name w:val="Title"/>
    <w:basedOn w:val="1"/>
    <w:qFormat/>
    <w:uiPriority w:val="0"/>
    <w:pPr>
      <w:spacing w:before="120"/>
      <w:jc w:val="center"/>
      <w:outlineLvl w:val="0"/>
    </w:pPr>
    <w:rPr>
      <w:rFonts w:cs="Arial"/>
      <w:b/>
      <w:bCs/>
      <w:color w:val="404040"/>
      <w:kern w:val="28"/>
      <w:sz w:val="48"/>
      <w:szCs w:val="32"/>
    </w:rPr>
  </w:style>
  <w:style w:type="character" w:styleId="14">
    <w:name w:val="Hyperlink"/>
    <w:basedOn w:val="13"/>
    <w:qFormat/>
    <w:uiPriority w:val="0"/>
    <w:rPr>
      <w:color w:val="0000FF"/>
      <w:u w:val="single"/>
    </w:rPr>
  </w:style>
  <w:style w:type="paragraph" w:customStyle="1" w:styleId="15">
    <w:name w:val="Subline Header"/>
    <w:basedOn w:val="11"/>
    <w:qFormat/>
    <w:uiPriority w:val="0"/>
    <w:rPr>
      <w:b w:val="0"/>
      <w:bCs w:val="0"/>
      <w:color w:val="A6A6A6"/>
      <w:sz w:val="28"/>
      <w:shd w:val="clear" w:color="auto" w:fill="FFFFFF"/>
    </w:rPr>
  </w:style>
  <w:style w:type="paragraph" w:customStyle="1" w:styleId="16">
    <w:name w:val="WPSOffice手动目录 1"/>
    <w:qFormat/>
    <w:uiPriority w:val="0"/>
    <w:pPr>
      <w:ind w:leftChars="0"/>
    </w:pPr>
    <w:rPr>
      <w:rFonts w:asciiTheme="minorHAnsi" w:hAnsiTheme="minorHAnsi" w:eastAsiaTheme="minorEastAsia" w:cstheme="minorBidi"/>
      <w:sz w:val="20"/>
      <w:szCs w:val="20"/>
    </w:rPr>
  </w:style>
  <w:style w:type="paragraph" w:customStyle="1" w:styleId="17">
    <w:name w:val="WPSOffice手动目录 2"/>
    <w:qFormat/>
    <w:uiPriority w:val="0"/>
    <w:pPr>
      <w:ind w:leftChars="200"/>
    </w:pPr>
    <w:rPr>
      <w:rFonts w:asciiTheme="minorHAnsi" w:hAnsiTheme="minorHAnsi" w:eastAsiaTheme="minorEastAsia" w:cstheme="minorBidi"/>
      <w:sz w:val="20"/>
      <w:szCs w:val="20"/>
    </w:rPr>
  </w:style>
  <w:style w:type="paragraph" w:customStyle="1" w:styleId="18">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465</Words>
  <Characters>471</Characters>
  <Lines>0</Lines>
  <Paragraphs>0</Paragraphs>
  <TotalTime>3</TotalTime>
  <ScaleCrop>false</ScaleCrop>
  <LinksUpToDate>false</LinksUpToDate>
  <CharactersWithSpaces>506</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2023-08-26T08:49:00Z</dcterms:created>
  <dc:creator>Huiji</dc:creator>
  <cp:lastModifiedBy>紫蓝星</cp:lastModifiedBy>
  <dcterms:modified xsi:type="dcterms:W3CDTF">2023-09-01T07:51:47Z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4C7D0068623944C48A260125D75846E9_11</vt:lpwstr>
  </property>
</Properties>
</file>