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3" w:beforeLines="100" w:after="313" w:afterLines="100"/>
        <w:jc w:val="left"/>
        <w:outlineLvl w:val="0"/>
        <w:rPr>
          <w:rFonts w:hint="eastAsia" w:ascii="黑体" w:hAnsi="黑体" w:eastAsia="黑体" w:cs="黑体"/>
          <w:b w:val="0"/>
          <w:bCs/>
          <w:sz w:val="32"/>
          <w:szCs w:val="32"/>
          <w:lang w:eastAsia="zh-CN"/>
        </w:rPr>
      </w:pPr>
      <w:bookmarkStart w:id="0" w:name="_GoBack"/>
      <w:bookmarkEnd w:id="0"/>
      <w:r>
        <w:rPr>
          <w:rFonts w:hint="eastAsia" w:ascii="黑体" w:hAnsi="黑体" w:eastAsia="黑体" w:cs="黑体"/>
          <w:b w:val="0"/>
          <w:bCs/>
          <w:sz w:val="32"/>
          <w:szCs w:val="32"/>
          <w:lang w:eastAsia="zh-CN"/>
        </w:rPr>
        <w:t>附</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件</w:t>
      </w:r>
    </w:p>
    <w:p>
      <w:pPr>
        <w:spacing w:before="313" w:beforeLines="100" w:after="313" w:afterLines="100"/>
        <w:jc w:val="center"/>
        <w:outlineLvl w:val="0"/>
        <w:rPr>
          <w:rFonts w:hint="eastAsia" w:ascii="方正小标宋简体" w:hAnsi="方正小标宋简体" w:eastAsia="方正小标宋简体" w:cs="方正小标宋简体"/>
          <w:b w:val="0"/>
          <w:bCs/>
          <w:sz w:val="44"/>
          <w:szCs w:val="36"/>
        </w:rPr>
      </w:pPr>
      <w:r>
        <w:rPr>
          <w:rFonts w:hint="eastAsia" w:ascii="方正小标宋简体" w:hAnsi="方正小标宋简体" w:eastAsia="方正小标宋简体" w:cs="方正小标宋简体"/>
          <w:b w:val="0"/>
          <w:bCs/>
          <w:sz w:val="44"/>
          <w:szCs w:val="36"/>
          <w:lang w:eastAsia="zh-CN"/>
        </w:rPr>
        <w:t>郑州商品交易所干制红枣期货车（船）板交收业务指引</w:t>
      </w:r>
    </w:p>
    <w:p>
      <w:pPr>
        <w:spacing w:before="156" w:beforeLines="50" w:after="156" w:afterLines="50"/>
        <w:jc w:val="center"/>
        <w:outlineLvl w:val="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第一章 总则</w:t>
      </w:r>
    </w:p>
    <w:p>
      <w:pPr>
        <w:pStyle w:val="12"/>
        <w:numPr>
          <w:ilvl w:val="0"/>
          <w:numId w:val="1"/>
        </w:numPr>
        <w:spacing w:line="240" w:lineRule="auto"/>
        <w:ind w:left="-10" w:leftChars="0" w:firstLine="640" w:firstLineChars="0"/>
        <w:rPr>
          <w:rFonts w:hint="eastAsia" w:ascii="仿宋" w:hAnsi="仿宋" w:eastAsia="仿宋" w:cs="仿宋"/>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 xml:space="preserve"> </w:t>
      </w:r>
      <w:r>
        <w:rPr>
          <w:rFonts w:hint="eastAsia" w:ascii="仿宋" w:hAnsi="仿宋" w:eastAsia="仿宋" w:cs="仿宋"/>
          <w:color w:val="auto"/>
          <w:sz w:val="32"/>
          <w:szCs w:val="32"/>
          <w:highlight w:val="none"/>
          <w:lang w:val="en-US" w:eastAsia="zh-CN"/>
        </w:rPr>
        <w:t>为了促进郑州商品交易所（以下简称交易所）干制红枣（以下简称红枣）期货车（船）板交收工作有序开展，切实保障交收客户合法权益，根据《郑州商品交易所期货交割管理办法》《郑州商品交易所干制红枣期货业务细则》等有关规定，制定本指引。</w:t>
      </w:r>
    </w:p>
    <w:p>
      <w:pPr>
        <w:pStyle w:val="12"/>
        <w:numPr>
          <w:ilvl w:val="0"/>
          <w:numId w:val="1"/>
        </w:numPr>
        <w:ind w:left="-10" w:leftChars="0" w:firstLine="640" w:firstLine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pacing w:val="-5"/>
          <w:sz w:val="32"/>
          <w:szCs w:val="32"/>
          <w:highlight w:val="none"/>
          <w:lang w:val="en-US" w:eastAsia="zh-CN"/>
        </w:rPr>
        <w:t xml:space="preserve"> </w:t>
      </w:r>
      <w:r>
        <w:rPr>
          <w:rFonts w:hint="eastAsia" w:ascii="仿宋" w:hAnsi="仿宋" w:eastAsia="仿宋" w:cs="仿宋"/>
          <w:color w:val="auto"/>
          <w:sz w:val="32"/>
          <w:szCs w:val="32"/>
          <w:highlight w:val="none"/>
        </w:rPr>
        <w:t>指定</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车（船）板交割服务机构（以下简称</w:t>
      </w:r>
      <w:r>
        <w:rPr>
          <w:rFonts w:hint="eastAsia" w:ascii="仿宋" w:hAnsi="仿宋" w:eastAsia="仿宋" w:cs="仿宋"/>
          <w:color w:val="auto"/>
          <w:sz w:val="32"/>
          <w:szCs w:val="32"/>
          <w:highlight w:val="none"/>
          <w:lang w:eastAsia="zh-CN"/>
        </w:rPr>
        <w:t>交割服务机构</w:t>
      </w:r>
      <w:r>
        <w:rPr>
          <w:rFonts w:hint="eastAsia" w:ascii="仿宋" w:hAnsi="仿宋" w:eastAsia="仿宋" w:cs="仿宋"/>
          <w:color w:val="auto"/>
          <w:sz w:val="32"/>
          <w:szCs w:val="32"/>
          <w:highlight w:val="none"/>
        </w:rPr>
        <w:t>）、指定</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质检机构（以下简称质检机构）</w:t>
      </w:r>
      <w:r>
        <w:rPr>
          <w:rFonts w:hint="eastAsia" w:ascii="仿宋" w:hAnsi="仿宋" w:eastAsia="仿宋" w:cs="仿宋"/>
          <w:color w:val="auto"/>
          <w:sz w:val="32"/>
          <w:szCs w:val="32"/>
          <w:highlight w:val="none"/>
          <w:lang w:eastAsia="zh-CN"/>
        </w:rPr>
        <w:t>、会员、交割买卖双方及其工作人员等红枣交收参与主体</w:t>
      </w:r>
      <w:r>
        <w:rPr>
          <w:rFonts w:hint="eastAsia" w:ascii="仿宋" w:hAnsi="仿宋" w:eastAsia="仿宋" w:cs="仿宋"/>
          <w:color w:val="auto"/>
          <w:sz w:val="32"/>
          <w:szCs w:val="32"/>
          <w:highlight w:val="none"/>
        </w:rPr>
        <w:t>应当</w:t>
      </w:r>
      <w:r>
        <w:rPr>
          <w:rFonts w:hint="eastAsia" w:ascii="仿宋" w:hAnsi="仿宋" w:eastAsia="仿宋" w:cs="仿宋"/>
          <w:color w:val="auto"/>
          <w:sz w:val="32"/>
          <w:szCs w:val="32"/>
          <w:highlight w:val="none"/>
          <w:lang w:eastAsia="zh-CN"/>
        </w:rPr>
        <w:t>遵守</w:t>
      </w:r>
      <w:r>
        <w:rPr>
          <w:rFonts w:hint="eastAsia" w:ascii="仿宋" w:hAnsi="仿宋" w:eastAsia="仿宋" w:cs="仿宋"/>
          <w:color w:val="auto"/>
          <w:sz w:val="32"/>
          <w:szCs w:val="32"/>
          <w:highlight w:val="none"/>
        </w:rPr>
        <w:t>本指引</w:t>
      </w:r>
      <w:r>
        <w:rPr>
          <w:rFonts w:hint="eastAsia" w:ascii="仿宋" w:hAnsi="仿宋" w:eastAsia="仿宋" w:cs="仿宋"/>
          <w:color w:val="auto"/>
          <w:sz w:val="32"/>
          <w:szCs w:val="32"/>
          <w:highlight w:val="none"/>
          <w:lang w:eastAsia="zh-CN"/>
        </w:rPr>
        <w:t>规定</w:t>
      </w:r>
      <w:r>
        <w:rPr>
          <w:rFonts w:hint="eastAsia" w:ascii="仿宋" w:hAnsi="仿宋" w:eastAsia="仿宋" w:cs="仿宋"/>
          <w:color w:val="auto"/>
          <w:sz w:val="32"/>
          <w:szCs w:val="32"/>
          <w:highlight w:val="none"/>
        </w:rPr>
        <w:t>，依规开展</w:t>
      </w:r>
      <w:r>
        <w:rPr>
          <w:rFonts w:hint="eastAsia" w:ascii="仿宋" w:hAnsi="仿宋" w:eastAsia="仿宋" w:cs="仿宋"/>
          <w:color w:val="auto"/>
          <w:sz w:val="32"/>
          <w:szCs w:val="32"/>
          <w:highlight w:val="none"/>
          <w:lang w:val="en-US" w:eastAsia="zh-CN"/>
        </w:rPr>
        <w:t>红枣</w:t>
      </w:r>
      <w:r>
        <w:rPr>
          <w:rFonts w:hint="eastAsia" w:ascii="仿宋" w:hAnsi="仿宋" w:eastAsia="仿宋" w:cs="仿宋"/>
          <w:color w:val="auto"/>
          <w:sz w:val="32"/>
          <w:szCs w:val="32"/>
          <w:highlight w:val="none"/>
        </w:rPr>
        <w:t>期货交收工作，确保</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rPr>
        <w:t>工作有序进行。</w:t>
      </w:r>
    </w:p>
    <w:p>
      <w:pPr>
        <w:pStyle w:val="12"/>
        <w:numPr>
          <w:ilvl w:val="0"/>
          <w:numId w:val="0"/>
        </w:numPr>
        <w:ind w:left="0" w:leftChars="0" w:firstLine="0" w:firstLineChars="0"/>
        <w:jc w:val="center"/>
        <w:outlineLvl w:val="0"/>
        <w:rPr>
          <w:rFonts w:hint="default" w:ascii="宋体" w:hAnsi="宋体" w:eastAsia="仿宋" w:cs="宋体"/>
          <w:color w:val="auto"/>
          <w:sz w:val="32"/>
          <w:szCs w:val="32"/>
          <w:highlight w:val="none"/>
          <w:lang w:val="en-US" w:eastAsia="zh-CN"/>
        </w:rPr>
      </w:pPr>
      <w:r>
        <w:rPr>
          <w:rFonts w:hint="eastAsia" w:ascii="仿宋" w:hAnsi="仿宋" w:eastAsia="仿宋" w:cs="Times New Roman"/>
          <w:b/>
          <w:color w:val="auto"/>
          <w:sz w:val="32"/>
          <w:szCs w:val="32"/>
          <w:highlight w:val="none"/>
          <w:lang w:val="en-US" w:eastAsia="zh-CN"/>
        </w:rPr>
        <w:t xml:space="preserve">第二章 </w:t>
      </w:r>
      <w:r>
        <w:rPr>
          <w:rFonts w:hint="default" w:ascii="Times New Roman" w:hAnsi="Times New Roman" w:eastAsia="仿宋"/>
          <w:color w:val="auto"/>
          <w:sz w:val="32"/>
          <w:szCs w:val="32"/>
          <w:highlight w:val="none"/>
          <w:lang w:val="en-US" w:eastAsia="zh-CN"/>
        </w:rPr>
        <w:t xml:space="preserve"> </w:t>
      </w:r>
      <w:r>
        <w:rPr>
          <w:rFonts w:hint="default" w:ascii="Times New Roman" w:hAnsi="Times New Roman" w:eastAsia="仿宋"/>
          <w:b/>
          <w:color w:val="auto"/>
          <w:sz w:val="32"/>
          <w:szCs w:val="32"/>
          <w:highlight w:val="none"/>
          <w:lang w:val="en-US" w:eastAsia="zh-CN"/>
        </w:rPr>
        <w:t>交割</w:t>
      </w:r>
      <w:r>
        <w:rPr>
          <w:rFonts w:hint="default" w:ascii="Times New Roman" w:hAnsi="Times New Roman" w:eastAsia="仿宋"/>
          <w:b/>
          <w:color w:val="auto"/>
          <w:sz w:val="32"/>
          <w:szCs w:val="32"/>
          <w:highlight w:val="none"/>
          <w:lang w:eastAsia="zh-CN"/>
        </w:rPr>
        <w:t>服务机构</w:t>
      </w:r>
    </w:p>
    <w:p>
      <w:pPr>
        <w:pStyle w:val="12"/>
        <w:numPr>
          <w:ilvl w:val="0"/>
          <w:numId w:val="1"/>
        </w:numPr>
        <w:ind w:left="-10" w:leftChars="0" w:firstLine="640" w:firstLineChars="0"/>
        <w:rPr>
          <w:rFonts w:hint="eastAsia" w:ascii="仿宋" w:hAnsi="仿宋" w:eastAsia="仿宋" w:cs="仿宋"/>
          <w:color w:val="auto"/>
          <w:sz w:val="32"/>
          <w:szCs w:val="32"/>
          <w:highlight w:val="none"/>
        </w:rPr>
      </w:pPr>
      <w:r>
        <w:rPr>
          <w:rFonts w:hint="eastAsia" w:ascii="Times New Roman" w:hAnsi="Times New Roman" w:eastAsia="黑体" w:cs="Times New Roman"/>
          <w:color w:val="auto"/>
          <w:kern w:val="0"/>
          <w:sz w:val="28"/>
          <w:szCs w:val="28"/>
          <w:highlight w:val="none"/>
          <w:lang w:val="en-US" w:eastAsia="zh-CN" w:bidi="ar-SA"/>
        </w:rPr>
        <w:t xml:space="preserve"> </w:t>
      </w:r>
      <w:r>
        <w:rPr>
          <w:rFonts w:hint="eastAsia" w:ascii="仿宋" w:hAnsi="仿宋" w:eastAsia="仿宋" w:cs="仿宋"/>
          <w:color w:val="auto"/>
          <w:sz w:val="32"/>
          <w:szCs w:val="32"/>
          <w:highlight w:val="none"/>
          <w:lang w:val="en-US" w:eastAsia="zh-CN"/>
        </w:rPr>
        <w:t>交割服务机构应当在经营场所的显著位置公示期货业务信息，包括但不限于：</w:t>
      </w:r>
      <w:r>
        <w:rPr>
          <w:rFonts w:hint="default" w:ascii="Times New Roman" w:hAnsi="Times New Roman" w:eastAsia="仿宋"/>
          <w:color w:val="auto"/>
          <w:sz w:val="32"/>
          <w:szCs w:val="32"/>
          <w:highlight w:val="none"/>
        </w:rPr>
        <w:t>业务</w:t>
      </w:r>
      <w:r>
        <w:rPr>
          <w:rFonts w:ascii="Times New Roman" w:hAnsi="Times New Roman" w:eastAsia="仿宋"/>
          <w:color w:val="auto"/>
          <w:sz w:val="32"/>
          <w:szCs w:val="32"/>
          <w:highlight w:val="none"/>
        </w:rPr>
        <w:t>流程、</w:t>
      </w:r>
      <w:r>
        <w:rPr>
          <w:rFonts w:hint="default" w:ascii="Times New Roman" w:hAnsi="Times New Roman" w:eastAsia="仿宋"/>
          <w:color w:val="auto"/>
          <w:sz w:val="32"/>
          <w:szCs w:val="32"/>
          <w:highlight w:val="none"/>
        </w:rPr>
        <w:t>收费标准、联系人及联系方式、投诉电话</w:t>
      </w:r>
      <w:r>
        <w:rPr>
          <w:rFonts w:hint="eastAsia" w:eastAsia="仿宋"/>
          <w:color w:val="auto"/>
          <w:sz w:val="32"/>
          <w:szCs w:val="32"/>
          <w:highlight w:val="none"/>
          <w:lang w:eastAsia="zh-CN"/>
        </w:rPr>
        <w:t>、</w:t>
      </w:r>
      <w:r>
        <w:rPr>
          <w:rFonts w:hint="eastAsia" w:ascii="仿宋" w:hAnsi="仿宋" w:eastAsia="仿宋" w:cs="仿宋"/>
          <w:color w:val="auto"/>
          <w:sz w:val="32"/>
          <w:szCs w:val="32"/>
          <w:highlight w:val="none"/>
          <w:lang w:val="en-US" w:eastAsia="zh-CN"/>
        </w:rPr>
        <w:t>日均最低可交割数量等，</w:t>
      </w:r>
      <w:r>
        <w:rPr>
          <w:rFonts w:hint="eastAsia" w:ascii="Times New Roman" w:hAnsi="Times New Roman" w:eastAsia="仿宋"/>
          <w:color w:val="auto"/>
          <w:sz w:val="32"/>
          <w:szCs w:val="32"/>
          <w:highlight w:val="none"/>
          <w:lang w:eastAsia="zh-CN"/>
        </w:rPr>
        <w:t>并向</w:t>
      </w:r>
      <w:r>
        <w:rPr>
          <w:rFonts w:hint="default" w:ascii="Times New Roman" w:hAnsi="Times New Roman" w:eastAsia="仿宋"/>
          <w:color w:val="auto"/>
          <w:sz w:val="32"/>
          <w:szCs w:val="32"/>
          <w:highlight w:val="none"/>
        </w:rPr>
        <w:t>交易所</w:t>
      </w:r>
      <w:r>
        <w:rPr>
          <w:rFonts w:hint="eastAsia" w:ascii="Times New Roman" w:hAnsi="Times New Roman" w:eastAsia="仿宋"/>
          <w:color w:val="auto"/>
          <w:sz w:val="32"/>
          <w:szCs w:val="32"/>
          <w:highlight w:val="none"/>
          <w:lang w:eastAsia="zh-CN"/>
        </w:rPr>
        <w:t>报备</w:t>
      </w:r>
      <w:r>
        <w:rPr>
          <w:rFonts w:hint="eastAsia" w:ascii="仿宋" w:hAnsi="仿宋" w:eastAsia="仿宋" w:cs="仿宋"/>
          <w:color w:val="auto"/>
          <w:sz w:val="32"/>
          <w:szCs w:val="32"/>
          <w:highlight w:val="none"/>
          <w:lang w:val="en-US" w:eastAsia="zh-CN"/>
        </w:rPr>
        <w:t>。</w:t>
      </w:r>
      <w:r>
        <w:rPr>
          <w:rFonts w:hint="default" w:ascii="Times New Roman" w:hAnsi="Times New Roman" w:eastAsia="仿宋"/>
          <w:color w:val="auto"/>
          <w:sz w:val="32"/>
          <w:szCs w:val="32"/>
          <w:highlight w:val="none"/>
          <w:lang w:eastAsia="zh-CN"/>
        </w:rPr>
        <w:t>相关信息变更的，应</w:t>
      </w:r>
      <w:r>
        <w:rPr>
          <w:rFonts w:hint="eastAsia" w:ascii="Times New Roman" w:hAnsi="Times New Roman" w:eastAsia="仿宋"/>
          <w:color w:val="auto"/>
          <w:sz w:val="32"/>
          <w:szCs w:val="32"/>
          <w:highlight w:val="none"/>
          <w:lang w:eastAsia="zh-CN"/>
        </w:rPr>
        <w:t>当</w:t>
      </w:r>
      <w:r>
        <w:rPr>
          <w:rFonts w:hint="default" w:ascii="Times New Roman" w:hAnsi="Times New Roman" w:eastAsia="仿宋"/>
          <w:color w:val="auto"/>
          <w:sz w:val="32"/>
          <w:szCs w:val="32"/>
          <w:highlight w:val="none"/>
          <w:lang w:eastAsia="zh-CN"/>
        </w:rPr>
        <w:t>在</w:t>
      </w:r>
      <w:r>
        <w:rPr>
          <w:rFonts w:hint="default" w:ascii="Times New Roman" w:hAnsi="Times New Roman" w:eastAsia="仿宋"/>
          <w:color w:val="auto"/>
          <w:sz w:val="32"/>
          <w:szCs w:val="32"/>
          <w:highlight w:val="none"/>
          <w:lang w:val="en-US" w:eastAsia="zh-CN"/>
        </w:rPr>
        <w:t>10个工作日内完成公示信息的调整并向</w:t>
      </w:r>
      <w:r>
        <w:rPr>
          <w:rFonts w:hint="default" w:ascii="Times New Roman" w:hAnsi="Times New Roman" w:eastAsia="仿宋"/>
          <w:color w:val="auto"/>
          <w:sz w:val="32"/>
          <w:szCs w:val="32"/>
          <w:highlight w:val="none"/>
        </w:rPr>
        <w:t>交易所</w:t>
      </w:r>
      <w:r>
        <w:rPr>
          <w:rFonts w:hint="default" w:ascii="Times New Roman" w:hAnsi="Times New Roman" w:eastAsia="仿宋"/>
          <w:color w:val="auto"/>
          <w:sz w:val="32"/>
          <w:szCs w:val="32"/>
          <w:highlight w:val="none"/>
          <w:lang w:val="en-US" w:eastAsia="zh-CN"/>
        </w:rPr>
        <w:t>报备。</w:t>
      </w:r>
    </w:p>
    <w:p>
      <w:pPr>
        <w:pStyle w:val="12"/>
        <w:numPr>
          <w:ilvl w:val="0"/>
          <w:numId w:val="0"/>
        </w:num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交割服务机构期货业务收费标准不得高于交易所公布的收费标准。</w:t>
      </w:r>
    </w:p>
    <w:p>
      <w:pPr>
        <w:pStyle w:val="12"/>
        <w:numPr>
          <w:ilvl w:val="0"/>
          <w:numId w:val="1"/>
        </w:numPr>
        <w:ind w:left="-10" w:leftChars="0" w:firstLine="640" w:firstLineChars="0"/>
        <w:rPr>
          <w:rFonts w:ascii="Times New Roman" w:hAnsi="Times New Roman" w:eastAsia="仿宋"/>
          <w:color w:val="auto"/>
          <w:sz w:val="32"/>
          <w:szCs w:val="32"/>
          <w:highlight w:val="none"/>
        </w:rPr>
      </w:pPr>
      <w:r>
        <w:rPr>
          <w:rFonts w:hint="eastAsia" w:ascii="仿宋" w:hAnsi="仿宋" w:eastAsia="仿宋" w:cs="仿宋"/>
          <w:color w:val="auto"/>
          <w:kern w:val="0"/>
          <w:sz w:val="32"/>
          <w:szCs w:val="32"/>
          <w:highlight w:val="none"/>
          <w:lang w:val="en-US" w:eastAsia="zh-CN" w:bidi="ar-SA"/>
        </w:rPr>
        <w:t xml:space="preserve"> </w:t>
      </w:r>
      <w:r>
        <w:rPr>
          <w:rFonts w:hint="default" w:ascii="Times New Roman" w:hAnsi="Times New Roman" w:eastAsia="仿宋"/>
          <w:color w:val="auto"/>
          <w:sz w:val="32"/>
          <w:szCs w:val="32"/>
          <w:highlight w:val="none"/>
          <w:lang w:eastAsia="zh-CN"/>
        </w:rPr>
        <w:t>交割服务机构应当</w:t>
      </w:r>
      <w:r>
        <w:rPr>
          <w:rFonts w:hint="default" w:ascii="Times New Roman" w:hAnsi="Times New Roman" w:eastAsia="仿宋"/>
          <w:color w:val="auto"/>
          <w:sz w:val="32"/>
          <w:szCs w:val="32"/>
          <w:highlight w:val="none"/>
        </w:rPr>
        <w:t>指定专人</w:t>
      </w:r>
      <w:r>
        <w:rPr>
          <w:rFonts w:hint="eastAsia" w:ascii="Times New Roman" w:hAnsi="Times New Roman" w:eastAsia="仿宋"/>
          <w:color w:val="auto"/>
          <w:sz w:val="32"/>
          <w:szCs w:val="32"/>
          <w:highlight w:val="none"/>
          <w:lang w:eastAsia="zh-CN"/>
        </w:rPr>
        <w:t>负责</w:t>
      </w:r>
      <w:r>
        <w:rPr>
          <w:rFonts w:hint="default" w:ascii="Times New Roman" w:hAnsi="Times New Roman" w:eastAsia="仿宋"/>
          <w:color w:val="auto"/>
          <w:sz w:val="32"/>
          <w:szCs w:val="32"/>
          <w:highlight w:val="none"/>
        </w:rPr>
        <w:t>期货交割业务，</w:t>
      </w:r>
      <w:r>
        <w:rPr>
          <w:rFonts w:hint="default" w:ascii="Times New Roman" w:hAnsi="Times New Roman" w:eastAsia="仿宋"/>
          <w:color w:val="auto"/>
          <w:sz w:val="32"/>
          <w:szCs w:val="32"/>
          <w:highlight w:val="none"/>
          <w:lang w:eastAsia="zh-CN"/>
        </w:rPr>
        <w:t>办理交割预报</w:t>
      </w:r>
      <w:r>
        <w:rPr>
          <w:rFonts w:hint="default" w:ascii="Times New Roman" w:hAnsi="Times New Roman" w:eastAsia="仿宋"/>
          <w:color w:val="auto"/>
          <w:sz w:val="32"/>
          <w:szCs w:val="32"/>
          <w:highlight w:val="none"/>
        </w:rPr>
        <w:t>、</w:t>
      </w:r>
      <w:r>
        <w:rPr>
          <w:rFonts w:hint="default" w:ascii="Times New Roman" w:hAnsi="Times New Roman" w:eastAsia="仿宋"/>
          <w:color w:val="auto"/>
          <w:sz w:val="32"/>
          <w:szCs w:val="32"/>
          <w:highlight w:val="none"/>
          <w:lang w:eastAsia="zh-CN"/>
        </w:rPr>
        <w:t>安排客户交收时间、组织现场交收</w:t>
      </w:r>
      <w:r>
        <w:rPr>
          <w:rFonts w:hint="eastAsia" w:ascii="Times New Roman" w:hAnsi="Times New Roman" w:eastAsia="仿宋"/>
          <w:color w:val="auto"/>
          <w:sz w:val="32"/>
          <w:szCs w:val="32"/>
          <w:highlight w:val="none"/>
          <w:lang w:eastAsia="zh-CN"/>
        </w:rPr>
        <w:t>、收取及清退交收相关费用。</w:t>
      </w:r>
    </w:p>
    <w:p>
      <w:pPr>
        <w:pStyle w:val="12"/>
        <w:numPr>
          <w:ilvl w:val="0"/>
          <w:numId w:val="0"/>
        </w:numPr>
        <w:ind w:left="0" w:firstLine="640" w:firstLineChars="200"/>
        <w:rPr>
          <w:rFonts w:hint="eastAsia" w:ascii="Times New Roman" w:hAnsi="Times New Roman" w:eastAsia="仿宋"/>
          <w:color w:val="auto"/>
          <w:sz w:val="32"/>
          <w:szCs w:val="32"/>
          <w:highlight w:val="none"/>
          <w:lang w:eastAsia="zh-CN"/>
        </w:rPr>
      </w:pPr>
      <w:r>
        <w:rPr>
          <w:rFonts w:hint="eastAsia" w:ascii="Times New Roman" w:hAnsi="Times New Roman" w:eastAsia="仿宋"/>
          <w:color w:val="auto"/>
          <w:sz w:val="32"/>
          <w:szCs w:val="32"/>
          <w:highlight w:val="none"/>
          <w:lang w:eastAsia="zh-CN"/>
        </w:rPr>
        <w:t>交收相关费用应当建立台账，分别专项列明，确保台账与收据一一对应，禁止混淆、挪用。</w:t>
      </w:r>
    </w:p>
    <w:p>
      <w:pPr>
        <w:pStyle w:val="12"/>
        <w:numPr>
          <w:ilvl w:val="0"/>
          <w:numId w:val="0"/>
        </w:numPr>
        <w:ind w:left="0" w:firstLine="640" w:firstLineChars="200"/>
        <w:rPr>
          <w:rFonts w:hint="eastAsia" w:ascii="仿宋" w:hAnsi="仿宋" w:eastAsia="仿宋" w:cs="仿宋"/>
          <w:color w:val="auto"/>
          <w:sz w:val="32"/>
          <w:szCs w:val="32"/>
          <w:highlight w:val="none"/>
          <w:lang w:val="en-US" w:eastAsia="zh-CN"/>
        </w:rPr>
      </w:pPr>
      <w:r>
        <w:rPr>
          <w:rFonts w:hint="eastAsia" w:ascii="Times New Roman" w:hAnsi="Times New Roman" w:eastAsia="仿宋"/>
          <w:color w:val="auto"/>
          <w:sz w:val="32"/>
          <w:szCs w:val="32"/>
          <w:highlight w:val="none"/>
          <w:lang w:eastAsia="zh-CN"/>
        </w:rPr>
        <w:t>交收相关费用包括交割预报定金、</w:t>
      </w:r>
      <w:r>
        <w:rPr>
          <w:rFonts w:hint="eastAsia" w:eastAsia="仿宋"/>
          <w:color w:val="auto"/>
          <w:sz w:val="32"/>
          <w:szCs w:val="32"/>
          <w:highlight w:val="none"/>
          <w:lang w:eastAsia="zh-CN"/>
        </w:rPr>
        <w:t>出入库费、临时储存费以及</w:t>
      </w:r>
      <w:r>
        <w:rPr>
          <w:rFonts w:hint="default" w:ascii="Times New Roman" w:hAnsi="Times New Roman" w:eastAsia="仿宋"/>
          <w:color w:val="auto"/>
          <w:sz w:val="32"/>
          <w:szCs w:val="32"/>
          <w:highlight w:val="none"/>
        </w:rPr>
        <w:t>复检费用</w:t>
      </w:r>
      <w:r>
        <w:rPr>
          <w:rFonts w:hint="eastAsia" w:ascii="Times New Roman" w:hAnsi="Times New Roman" w:eastAsia="仿宋"/>
          <w:color w:val="auto"/>
          <w:sz w:val="32"/>
          <w:szCs w:val="32"/>
          <w:highlight w:val="none"/>
          <w:lang w:eastAsia="zh-CN"/>
        </w:rPr>
        <w:t>押金</w:t>
      </w:r>
      <w:r>
        <w:rPr>
          <w:rFonts w:hint="eastAsia" w:eastAsia="仿宋"/>
          <w:color w:val="auto"/>
          <w:sz w:val="32"/>
          <w:szCs w:val="32"/>
          <w:highlight w:val="none"/>
          <w:lang w:eastAsia="zh-CN"/>
        </w:rPr>
        <w:t>等</w:t>
      </w:r>
      <w:r>
        <w:rPr>
          <w:rFonts w:hint="default" w:ascii="Times New Roman" w:hAnsi="Times New Roman" w:eastAsia="仿宋"/>
          <w:color w:val="auto"/>
          <w:sz w:val="32"/>
          <w:szCs w:val="32"/>
          <w:highlight w:val="none"/>
        </w:rPr>
        <w:t>。</w:t>
      </w:r>
    </w:p>
    <w:p>
      <w:pPr>
        <w:pStyle w:val="12"/>
        <w:numPr>
          <w:ilvl w:val="0"/>
          <w:numId w:val="0"/>
        </w:numPr>
        <w:spacing w:before="156" w:beforeLines="50" w:after="156" w:afterLines="50"/>
        <w:jc w:val="center"/>
        <w:outlineLvl w:val="0"/>
        <w:rPr>
          <w:rFonts w:hint="eastAsia" w:ascii="仿宋" w:hAnsi="仿宋" w:eastAsia="仿宋" w:cs="仿宋"/>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val="en-US" w:eastAsia="zh-CN"/>
        </w:rPr>
        <w:t>三</w:t>
      </w:r>
      <w:r>
        <w:rPr>
          <w:rFonts w:hint="eastAsia" w:ascii="仿宋" w:hAnsi="仿宋" w:eastAsia="仿宋"/>
          <w:b/>
          <w:color w:val="auto"/>
          <w:sz w:val="32"/>
          <w:szCs w:val="32"/>
          <w:highlight w:val="none"/>
        </w:rPr>
        <w:t>章 交收流程</w:t>
      </w:r>
    </w:p>
    <w:p>
      <w:pPr>
        <w:pStyle w:val="12"/>
        <w:numPr>
          <w:ilvl w:val="0"/>
          <w:numId w:val="1"/>
        </w:numPr>
        <w:ind w:left="-10" w:leftChars="0" w:firstLine="640" w:firstLineChars="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lang w:val="en-US" w:eastAsia="zh-CN"/>
        </w:rPr>
        <w:t xml:space="preserve"> 交割服务机构</w:t>
      </w:r>
      <w:r>
        <w:rPr>
          <w:rFonts w:hint="eastAsia" w:ascii="仿宋" w:hAnsi="仿宋" w:eastAsia="仿宋" w:cs="仿宋"/>
          <w:color w:val="auto"/>
          <w:sz w:val="32"/>
          <w:szCs w:val="32"/>
          <w:highlight w:val="none"/>
        </w:rPr>
        <w:t>应</w:t>
      </w:r>
      <w:r>
        <w:rPr>
          <w:rFonts w:hint="eastAsia" w:ascii="仿宋" w:hAnsi="仿宋" w:eastAsia="仿宋" w:cs="仿宋"/>
          <w:color w:val="auto"/>
          <w:sz w:val="32"/>
          <w:szCs w:val="32"/>
          <w:highlight w:val="none"/>
          <w:lang w:eastAsia="zh-CN"/>
        </w:rPr>
        <w:t>当</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val="en-US" w:eastAsia="zh-CN"/>
        </w:rPr>
        <w:t>红枣期货交割</w:t>
      </w:r>
      <w:r>
        <w:rPr>
          <w:rFonts w:hint="eastAsia" w:ascii="仿宋" w:hAnsi="仿宋" w:eastAsia="仿宋" w:cs="仿宋"/>
          <w:color w:val="auto"/>
          <w:sz w:val="32"/>
          <w:szCs w:val="32"/>
          <w:highlight w:val="none"/>
        </w:rPr>
        <w:t>配对后，登录会员服务系统查询配对客户数及配对数量，</w:t>
      </w:r>
      <w:r>
        <w:rPr>
          <w:rFonts w:hint="eastAsia" w:ascii="仿宋" w:hAnsi="仿宋" w:eastAsia="仿宋" w:cs="仿宋"/>
          <w:color w:val="auto"/>
          <w:sz w:val="32"/>
          <w:szCs w:val="32"/>
          <w:highlight w:val="none"/>
          <w:lang w:val="en-US" w:eastAsia="zh-CN"/>
        </w:rPr>
        <w:t>安排客户交收时间并报交易所备案。交割服务机构应当通知客户在规定时间办理货物交收，并</w:t>
      </w:r>
      <w:r>
        <w:rPr>
          <w:rFonts w:hint="eastAsia" w:ascii="仿宋" w:hAnsi="仿宋" w:eastAsia="仿宋" w:cs="仿宋"/>
          <w:color w:val="auto"/>
          <w:sz w:val="32"/>
          <w:szCs w:val="32"/>
          <w:highlight w:val="none"/>
        </w:rPr>
        <w:t>与交收客户签订《</w:t>
      </w:r>
      <w:r>
        <w:rPr>
          <w:rFonts w:hint="eastAsia" w:ascii="仿宋" w:hAnsi="仿宋" w:eastAsia="仿宋" w:cs="仿宋"/>
          <w:color w:val="auto"/>
          <w:sz w:val="32"/>
          <w:szCs w:val="32"/>
          <w:highlight w:val="none"/>
          <w:lang w:val="en-US" w:eastAsia="zh-CN"/>
        </w:rPr>
        <w:t>红枣期货</w:t>
      </w:r>
      <w:r>
        <w:rPr>
          <w:rFonts w:hint="eastAsia" w:ascii="仿宋" w:hAnsi="仿宋" w:eastAsia="仿宋" w:cs="仿宋"/>
          <w:color w:val="auto"/>
          <w:sz w:val="32"/>
          <w:szCs w:val="32"/>
          <w:highlight w:val="none"/>
        </w:rPr>
        <w:t>车（船）板货物交收三方协议书》，约定各方在交割过程中的权利和义务。</w:t>
      </w:r>
    </w:p>
    <w:p>
      <w:pPr>
        <w:pStyle w:val="12"/>
        <w:numPr>
          <w:ilvl w:val="0"/>
          <w:numId w:val="1"/>
        </w:numPr>
        <w:ind w:left="-79" w:firstLine="710" w:firstLineChars="0"/>
        <w:rPr>
          <w:rFonts w:hint="eastAsia" w:ascii="仿宋" w:hAnsi="仿宋" w:eastAsia="仿宋"/>
          <w:color w:val="auto"/>
          <w:sz w:val="32"/>
          <w:szCs w:val="32"/>
          <w:highlight w:val="none"/>
        </w:rPr>
      </w:pPr>
      <w:r>
        <w:rPr>
          <w:rFonts w:hint="eastAsia" w:eastAsia="黑体" w:cs="Times New Roman"/>
          <w:color w:val="auto"/>
          <w:kern w:val="0"/>
          <w:sz w:val="28"/>
          <w:szCs w:val="28"/>
          <w:highlight w:val="none"/>
          <w:lang w:val="en-US" w:eastAsia="zh-CN" w:bidi="ar-SA"/>
        </w:rPr>
        <w:t xml:space="preserve"> </w:t>
      </w:r>
      <w:r>
        <w:rPr>
          <w:rFonts w:hint="default" w:ascii="Times New Roman" w:hAnsi="Times New Roman" w:eastAsia="仿宋"/>
          <w:color w:val="auto"/>
          <w:sz w:val="32"/>
          <w:szCs w:val="32"/>
          <w:highlight w:val="none"/>
        </w:rPr>
        <w:t>交收客户</w:t>
      </w:r>
      <w:r>
        <w:rPr>
          <w:rFonts w:hint="default" w:ascii="Times New Roman" w:hAnsi="Times New Roman" w:eastAsia="仿宋"/>
          <w:color w:val="auto"/>
          <w:sz w:val="32"/>
          <w:szCs w:val="32"/>
          <w:highlight w:val="none"/>
          <w:lang w:eastAsia="zh-CN"/>
        </w:rPr>
        <w:t>到达</w:t>
      </w:r>
      <w:r>
        <w:rPr>
          <w:rFonts w:hint="eastAsia"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lang w:eastAsia="zh-CN"/>
        </w:rPr>
        <w:t>后，应</w:t>
      </w:r>
      <w:r>
        <w:rPr>
          <w:rFonts w:hint="eastAsia" w:ascii="Times New Roman" w:hAnsi="Times New Roman" w:eastAsia="仿宋"/>
          <w:color w:val="auto"/>
          <w:sz w:val="32"/>
          <w:szCs w:val="32"/>
          <w:highlight w:val="none"/>
          <w:lang w:eastAsia="zh-CN"/>
        </w:rPr>
        <w:t>当现场</w:t>
      </w:r>
      <w:r>
        <w:rPr>
          <w:rFonts w:hint="default" w:ascii="Times New Roman" w:hAnsi="Times New Roman" w:eastAsia="仿宋"/>
          <w:color w:val="auto"/>
          <w:sz w:val="32"/>
          <w:szCs w:val="32"/>
          <w:highlight w:val="none"/>
          <w:lang w:eastAsia="zh-CN"/>
        </w:rPr>
        <w:t>提交</w:t>
      </w:r>
      <w:r>
        <w:rPr>
          <w:rFonts w:hint="default" w:ascii="Times New Roman" w:hAnsi="Times New Roman" w:eastAsia="仿宋"/>
          <w:color w:val="auto"/>
          <w:sz w:val="32"/>
          <w:szCs w:val="32"/>
          <w:highlight w:val="none"/>
        </w:rPr>
        <w:t>授权委托书原件、身份证原件及复印件等材料，</w:t>
      </w:r>
      <w:r>
        <w:rPr>
          <w:rFonts w:hint="eastAsia" w:ascii="仿宋" w:hAnsi="仿宋" w:eastAsia="仿宋"/>
          <w:color w:val="auto"/>
          <w:spacing w:val="0"/>
          <w:w w:val="100"/>
          <w:sz w:val="32"/>
          <w:szCs w:val="32"/>
          <w:highlight w:val="none"/>
          <w:lang w:eastAsia="zh-CN"/>
        </w:rPr>
        <w:t>并以</w:t>
      </w:r>
      <w:r>
        <w:rPr>
          <w:rFonts w:hint="eastAsia" w:ascii="仿宋" w:hAnsi="仿宋" w:eastAsia="仿宋"/>
          <w:color w:val="auto"/>
          <w:spacing w:val="0"/>
          <w:w w:val="100"/>
          <w:sz w:val="32"/>
          <w:szCs w:val="32"/>
          <w:highlight w:val="none"/>
        </w:rPr>
        <w:t>签字或加盖公章</w:t>
      </w:r>
      <w:r>
        <w:rPr>
          <w:rFonts w:hint="eastAsia" w:ascii="仿宋" w:hAnsi="仿宋" w:eastAsia="仿宋"/>
          <w:color w:val="auto"/>
          <w:spacing w:val="0"/>
          <w:w w:val="100"/>
          <w:sz w:val="32"/>
          <w:szCs w:val="32"/>
          <w:highlight w:val="none"/>
          <w:lang w:eastAsia="zh-CN"/>
        </w:rPr>
        <w:t>形式签署</w:t>
      </w:r>
      <w:r>
        <w:rPr>
          <w:rFonts w:hint="eastAsia" w:ascii="仿宋" w:hAnsi="仿宋" w:eastAsia="仿宋"/>
          <w:color w:val="auto"/>
          <w:spacing w:val="0"/>
          <w:w w:val="100"/>
          <w:sz w:val="32"/>
          <w:szCs w:val="32"/>
          <w:highlight w:val="none"/>
        </w:rPr>
        <w:t>《</w:t>
      </w:r>
      <w:r>
        <w:rPr>
          <w:rFonts w:hint="eastAsia" w:ascii="仿宋" w:hAnsi="仿宋" w:eastAsia="仿宋"/>
          <w:color w:val="auto"/>
          <w:spacing w:val="0"/>
          <w:w w:val="100"/>
          <w:sz w:val="32"/>
          <w:szCs w:val="32"/>
          <w:highlight w:val="none"/>
          <w:lang w:val="en-US" w:eastAsia="zh-CN"/>
        </w:rPr>
        <w:t>红枣</w:t>
      </w:r>
      <w:r>
        <w:rPr>
          <w:rFonts w:hint="eastAsia" w:ascii="仿宋" w:hAnsi="仿宋" w:eastAsia="仿宋"/>
          <w:color w:val="auto"/>
          <w:spacing w:val="0"/>
          <w:w w:val="100"/>
          <w:sz w:val="32"/>
          <w:szCs w:val="32"/>
          <w:highlight w:val="none"/>
        </w:rPr>
        <w:t>期货交收检验告知书》</w:t>
      </w:r>
      <w:r>
        <w:rPr>
          <w:rFonts w:hint="eastAsia" w:ascii="仿宋" w:hAnsi="仿宋" w:eastAsia="仿宋"/>
          <w:color w:val="auto"/>
          <w:spacing w:val="0"/>
          <w:sz w:val="32"/>
          <w:szCs w:val="32"/>
          <w:highlight w:val="none"/>
        </w:rPr>
        <w:t>。</w:t>
      </w:r>
      <w:r>
        <w:rPr>
          <w:rFonts w:hint="eastAsia" w:ascii="仿宋" w:hAnsi="仿宋" w:eastAsia="仿宋"/>
          <w:color w:val="auto"/>
          <w:spacing w:val="0"/>
          <w:sz w:val="32"/>
          <w:szCs w:val="32"/>
          <w:highlight w:val="none"/>
          <w:lang w:eastAsia="zh-CN"/>
        </w:rPr>
        <w:t>卖方客户应向买方客户提交本批红枣生产厂家出具的《生产加工证明》。</w:t>
      </w:r>
    </w:p>
    <w:p>
      <w:pPr>
        <w:pStyle w:val="12"/>
        <w:numPr>
          <w:ilvl w:val="0"/>
          <w:numId w:val="1"/>
        </w:numPr>
        <w:ind w:left="-10" w:leftChars="0" w:firstLine="640" w:firstLineChars="0"/>
        <w:rPr>
          <w:rFonts w:ascii="仿宋" w:hAnsi="仿宋" w:eastAsia="仿宋"/>
          <w:color w:val="auto"/>
          <w:sz w:val="32"/>
          <w:szCs w:val="32"/>
          <w:highlight w:val="none"/>
        </w:rPr>
      </w:pPr>
      <w:r>
        <w:rPr>
          <w:rFonts w:hint="eastAsia" w:ascii="宋体" w:hAnsi="宋体" w:eastAsia="宋体" w:cs="宋体"/>
          <w:color w:val="auto"/>
          <w:spacing w:val="-5"/>
          <w:sz w:val="32"/>
          <w:szCs w:val="32"/>
          <w:highlight w:val="none"/>
          <w:lang w:val="en-US" w:eastAsia="zh-CN"/>
        </w:rPr>
        <w:t xml:space="preserve"> </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rPr>
        <w:t>应</w:t>
      </w:r>
      <w:r>
        <w:rPr>
          <w:rFonts w:hint="eastAsia" w:ascii="仿宋" w:hAnsi="仿宋" w:eastAsia="仿宋"/>
          <w:color w:val="auto"/>
          <w:sz w:val="32"/>
          <w:szCs w:val="32"/>
          <w:highlight w:val="none"/>
          <w:lang w:eastAsia="zh-CN"/>
        </w:rPr>
        <w:t>当</w:t>
      </w:r>
      <w:r>
        <w:rPr>
          <w:rFonts w:hint="eastAsia" w:ascii="仿宋" w:hAnsi="仿宋" w:eastAsia="仿宋"/>
          <w:color w:val="auto"/>
          <w:sz w:val="32"/>
          <w:szCs w:val="32"/>
          <w:highlight w:val="none"/>
        </w:rPr>
        <w:t>要求交收客户在《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期货货物交收时间确认表》上签字确认抵达</w:t>
      </w:r>
      <w:r>
        <w:rPr>
          <w:rFonts w:hint="eastAsia" w:ascii="仿宋" w:hAnsi="仿宋" w:eastAsia="仿宋"/>
          <w:color w:val="auto"/>
          <w:sz w:val="32"/>
          <w:szCs w:val="32"/>
          <w:highlight w:val="none"/>
          <w:lang w:eastAsia="zh-CN"/>
        </w:rPr>
        <w:t>交割现场</w:t>
      </w:r>
      <w:r>
        <w:rPr>
          <w:rFonts w:hint="eastAsia" w:ascii="仿宋" w:hAnsi="仿宋" w:eastAsia="仿宋"/>
          <w:color w:val="auto"/>
          <w:sz w:val="32"/>
          <w:szCs w:val="32"/>
          <w:highlight w:val="none"/>
        </w:rPr>
        <w:t>的时间，该时间作为滞纳金判罚的依据。如客户未在规定时间到场，</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rPr>
        <w:t>应</w:t>
      </w:r>
      <w:r>
        <w:rPr>
          <w:rFonts w:hint="eastAsia" w:ascii="仿宋" w:hAnsi="仿宋" w:eastAsia="仿宋"/>
          <w:color w:val="auto"/>
          <w:sz w:val="32"/>
          <w:szCs w:val="32"/>
          <w:highlight w:val="none"/>
          <w:lang w:eastAsia="zh-CN"/>
        </w:rPr>
        <w:t>当</w:t>
      </w:r>
      <w:r>
        <w:rPr>
          <w:rFonts w:hint="eastAsia" w:ascii="仿宋" w:hAnsi="仿宋" w:eastAsia="仿宋"/>
          <w:color w:val="auto"/>
          <w:sz w:val="32"/>
          <w:szCs w:val="32"/>
          <w:highlight w:val="none"/>
        </w:rPr>
        <w:t>如实记录相关信息，并提供佐证材料。</w:t>
      </w:r>
    </w:p>
    <w:p>
      <w:pPr>
        <w:pStyle w:val="12"/>
        <w:numPr>
          <w:ilvl w:val="0"/>
          <w:numId w:val="1"/>
        </w:numPr>
        <w:ind w:left="-79" w:firstLine="709" w:firstLineChars="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default" w:ascii="Times New Roman" w:hAnsi="Times New Roman" w:eastAsia="仿宋"/>
          <w:color w:val="auto"/>
          <w:sz w:val="32"/>
          <w:szCs w:val="32"/>
          <w:highlight w:val="none"/>
        </w:rPr>
        <w:t>交收</w:t>
      </w:r>
      <w:r>
        <w:rPr>
          <w:rFonts w:hint="default" w:ascii="Times New Roman" w:hAnsi="Times New Roman" w:eastAsia="仿宋"/>
          <w:color w:val="auto"/>
          <w:sz w:val="32"/>
          <w:szCs w:val="32"/>
          <w:highlight w:val="none"/>
          <w:lang w:eastAsia="zh-CN"/>
        </w:rPr>
        <w:t>客户进入现场人员原则上不超过</w:t>
      </w:r>
      <w:r>
        <w:rPr>
          <w:rFonts w:hint="eastAsia" w:ascii="Times New Roman" w:hAnsi="Times New Roman" w:eastAsia="仿宋"/>
          <w:color w:val="auto"/>
          <w:sz w:val="32"/>
          <w:szCs w:val="32"/>
          <w:highlight w:val="none"/>
          <w:lang w:val="en-US" w:eastAsia="zh-CN"/>
        </w:rPr>
        <w:t>2</w:t>
      </w:r>
      <w:r>
        <w:rPr>
          <w:rFonts w:hint="default" w:ascii="Times New Roman" w:hAnsi="Times New Roman" w:eastAsia="仿宋"/>
          <w:color w:val="auto"/>
          <w:sz w:val="32"/>
          <w:szCs w:val="32"/>
          <w:highlight w:val="none"/>
          <w:lang w:val="en-US" w:eastAsia="zh-CN"/>
        </w:rPr>
        <w:t>名</w:t>
      </w:r>
      <w:r>
        <w:rPr>
          <w:rFonts w:hint="eastAsia" w:ascii="Times New Roman" w:hAnsi="Times New Roman" w:eastAsia="仿宋"/>
          <w:color w:val="auto"/>
          <w:sz w:val="32"/>
          <w:szCs w:val="32"/>
          <w:highlight w:val="none"/>
          <w:lang w:eastAsia="zh-CN"/>
        </w:rPr>
        <w:t>，非交收客户不得进入交割现场。交收过程中，交割服务机构应当对交割现场全程录音录像。</w:t>
      </w:r>
    </w:p>
    <w:p>
      <w:pPr>
        <w:pStyle w:val="12"/>
        <w:numPr>
          <w:ilvl w:val="0"/>
          <w:numId w:val="1"/>
        </w:numPr>
        <w:ind w:left="-79" w:firstLine="709" w:firstLineChars="0"/>
        <w:rPr>
          <w:rFonts w:ascii="仿宋" w:hAnsi="仿宋" w:eastAsia="仿宋"/>
          <w:color w:val="auto"/>
          <w:sz w:val="32"/>
          <w:szCs w:val="32"/>
          <w:highlight w:val="none"/>
        </w:rPr>
      </w:pPr>
      <w:r>
        <w:rPr>
          <w:rFonts w:hint="eastAsia" w:eastAsia="仿宋"/>
          <w:color w:val="auto"/>
          <w:sz w:val="32"/>
          <w:szCs w:val="32"/>
          <w:highlight w:val="none"/>
          <w:lang w:val="en-US" w:eastAsia="zh-CN"/>
        </w:rPr>
        <w:t xml:space="preserve"> </w:t>
      </w:r>
      <w:r>
        <w:rPr>
          <w:rFonts w:hint="default" w:ascii="Times New Roman" w:hAnsi="Times New Roman" w:eastAsia="仿宋"/>
          <w:color w:val="auto"/>
          <w:sz w:val="32"/>
          <w:szCs w:val="32"/>
          <w:highlight w:val="none"/>
        </w:rPr>
        <w:t>交收客户</w:t>
      </w:r>
      <w:r>
        <w:rPr>
          <w:rFonts w:hint="default" w:ascii="Times New Roman" w:hAnsi="Times New Roman" w:eastAsia="仿宋"/>
          <w:color w:val="auto"/>
          <w:sz w:val="32"/>
          <w:szCs w:val="32"/>
          <w:highlight w:val="none"/>
          <w:lang w:eastAsia="zh-CN"/>
        </w:rPr>
        <w:t>可以</w:t>
      </w:r>
      <w:r>
        <w:rPr>
          <w:rFonts w:hint="default" w:ascii="Times New Roman" w:hAnsi="Times New Roman" w:eastAsia="仿宋"/>
          <w:color w:val="auto"/>
          <w:sz w:val="32"/>
          <w:szCs w:val="32"/>
          <w:highlight w:val="none"/>
        </w:rPr>
        <w:t>采取贴标签或者其他合理方式，确定交割货物的存储位置。</w:t>
      </w:r>
      <w:r>
        <w:rPr>
          <w:rFonts w:hint="default" w:ascii="Times New Roman" w:hAnsi="Times New Roman" w:eastAsia="仿宋"/>
          <w:color w:val="auto"/>
          <w:sz w:val="32"/>
          <w:szCs w:val="32"/>
          <w:highlight w:val="none"/>
          <w:lang w:eastAsia="zh-CN"/>
        </w:rPr>
        <w:t>交割服务机构应当配合完成货物标记工作。</w:t>
      </w:r>
    </w:p>
    <w:p>
      <w:pPr>
        <w:pStyle w:val="12"/>
        <w:numPr>
          <w:ilvl w:val="0"/>
          <w:numId w:val="1"/>
        </w:numPr>
        <w:ind w:left="-10" w:leftChars="0" w:firstLine="710" w:firstLineChars="0"/>
        <w:rPr>
          <w:rFonts w:hint="eastAsia"/>
          <w:color w:val="auto"/>
          <w:highlight w:val="none"/>
          <w:lang w:val="en-US" w:eastAsia="zh-CN"/>
        </w:rPr>
      </w:pPr>
      <w:r>
        <w:rPr>
          <w:rFonts w:hint="eastAsia"/>
          <w:color w:val="auto"/>
          <w:highlight w:val="none"/>
          <w:lang w:val="en-US" w:eastAsia="zh-CN"/>
        </w:rPr>
        <w:t xml:space="preserve"> </w:t>
      </w:r>
      <w:r>
        <w:rPr>
          <w:rFonts w:hint="eastAsia" w:ascii="仿宋" w:hAnsi="仿宋" w:eastAsia="仿宋" w:cs="仿宋"/>
          <w:color w:val="auto"/>
          <w:sz w:val="32"/>
          <w:szCs w:val="32"/>
          <w:highlight w:val="none"/>
          <w:lang w:eastAsia="zh-CN"/>
        </w:rPr>
        <w:t>交割服务机构应当具备红枣质量检验能力，对货物进行预检，预检结果告知买卖双方作为参考。</w:t>
      </w:r>
    </w:p>
    <w:p>
      <w:pPr>
        <w:pStyle w:val="12"/>
        <w:numPr>
          <w:ilvl w:val="0"/>
          <w:numId w:val="0"/>
        </w:numPr>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eastAsia="zh-CN"/>
        </w:rPr>
        <w:t>交割服务机构应当</w:t>
      </w:r>
      <w:r>
        <w:rPr>
          <w:rFonts w:hint="eastAsia" w:ascii="仿宋" w:hAnsi="仿宋" w:eastAsia="仿宋"/>
          <w:color w:val="auto"/>
          <w:sz w:val="32"/>
          <w:szCs w:val="32"/>
          <w:highlight w:val="none"/>
        </w:rPr>
        <w:t>协助交收</w:t>
      </w:r>
      <w:r>
        <w:rPr>
          <w:rFonts w:hint="eastAsia" w:ascii="仿宋" w:hAnsi="仿宋" w:eastAsia="仿宋"/>
          <w:color w:val="auto"/>
          <w:sz w:val="32"/>
          <w:szCs w:val="32"/>
          <w:highlight w:val="none"/>
          <w:lang w:val="en-US" w:eastAsia="zh-CN"/>
        </w:rPr>
        <w:t>买方</w:t>
      </w:r>
      <w:r>
        <w:rPr>
          <w:rFonts w:hint="eastAsia" w:ascii="仿宋" w:hAnsi="仿宋" w:eastAsia="仿宋"/>
          <w:color w:val="auto"/>
          <w:sz w:val="32"/>
          <w:szCs w:val="32"/>
          <w:highlight w:val="none"/>
        </w:rPr>
        <w:t>完成</w:t>
      </w:r>
      <w:r>
        <w:rPr>
          <w:rFonts w:hint="eastAsia" w:ascii="仿宋" w:hAnsi="仿宋" w:eastAsia="仿宋"/>
          <w:color w:val="auto"/>
          <w:sz w:val="32"/>
          <w:szCs w:val="32"/>
          <w:highlight w:val="none"/>
          <w:lang w:eastAsia="zh-CN"/>
        </w:rPr>
        <w:t>质量</w:t>
      </w:r>
      <w:r>
        <w:rPr>
          <w:rFonts w:hint="eastAsia" w:ascii="仿宋" w:hAnsi="仿宋" w:eastAsia="仿宋"/>
          <w:color w:val="auto"/>
          <w:sz w:val="32"/>
          <w:szCs w:val="32"/>
          <w:highlight w:val="none"/>
        </w:rPr>
        <w:t>检验</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eastAsia="zh-CN"/>
        </w:rPr>
        <w:t>买方</w:t>
      </w:r>
      <w:r>
        <w:rPr>
          <w:rFonts w:hint="eastAsia" w:ascii="仿宋" w:hAnsi="仿宋" w:eastAsia="仿宋"/>
          <w:color w:val="auto"/>
          <w:sz w:val="32"/>
          <w:szCs w:val="32"/>
          <w:highlight w:val="none"/>
        </w:rPr>
        <w:t>自行</w:t>
      </w:r>
      <w:r>
        <w:rPr>
          <w:rFonts w:ascii="仿宋" w:hAnsi="仿宋" w:eastAsia="仿宋"/>
          <w:color w:val="auto"/>
          <w:sz w:val="32"/>
          <w:szCs w:val="32"/>
          <w:highlight w:val="none"/>
        </w:rPr>
        <w:t>检验完成后，</w:t>
      </w:r>
      <w:r>
        <w:rPr>
          <w:rFonts w:hint="eastAsia" w:ascii="仿宋" w:hAnsi="仿宋" w:eastAsia="仿宋" w:cs="Times New Roman"/>
          <w:color w:val="auto"/>
          <w:kern w:val="2"/>
          <w:sz w:val="32"/>
          <w:szCs w:val="32"/>
          <w:highlight w:val="none"/>
          <w:lang w:val="en-US" w:eastAsia="zh-CN" w:bidi="ar-SA"/>
        </w:rPr>
        <w:t>检验数据符合期货交割标准（包括基准交割品或替代品，下同）且双方无异议的，交割服务机构和买卖双方应当</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w:t>
      </w:r>
      <w:r>
        <w:rPr>
          <w:rFonts w:hint="eastAsia" w:ascii="仿宋" w:hAnsi="仿宋" w:eastAsia="仿宋"/>
          <w:color w:val="auto"/>
          <w:sz w:val="32"/>
          <w:szCs w:val="32"/>
          <w:highlight w:val="none"/>
          <w:lang w:val="en-US" w:eastAsia="zh-CN"/>
        </w:rPr>
        <w:t>质量验收</w:t>
      </w:r>
      <w:r>
        <w:rPr>
          <w:rFonts w:hint="eastAsia" w:ascii="仿宋" w:hAnsi="仿宋" w:eastAsia="仿宋"/>
          <w:color w:val="auto"/>
          <w:sz w:val="32"/>
          <w:szCs w:val="32"/>
          <w:highlight w:val="none"/>
        </w:rPr>
        <w:t>确认单》</w:t>
      </w:r>
      <w:r>
        <w:rPr>
          <w:rFonts w:ascii="仿宋" w:hAnsi="仿宋" w:eastAsia="仿宋"/>
          <w:color w:val="auto"/>
          <w:sz w:val="32"/>
          <w:szCs w:val="32"/>
          <w:highlight w:val="none"/>
        </w:rPr>
        <w:t>签字</w:t>
      </w:r>
      <w:r>
        <w:rPr>
          <w:rFonts w:hint="eastAsia" w:ascii="仿宋" w:hAnsi="仿宋" w:eastAsia="仿宋"/>
          <w:color w:val="auto"/>
          <w:sz w:val="32"/>
          <w:szCs w:val="32"/>
          <w:highlight w:val="none"/>
        </w:rPr>
        <w:t>或加盖公章</w:t>
      </w:r>
      <w:r>
        <w:rPr>
          <w:rFonts w:ascii="仿宋" w:hAnsi="仿宋" w:eastAsia="仿宋"/>
          <w:color w:val="auto"/>
          <w:sz w:val="32"/>
          <w:szCs w:val="32"/>
          <w:highlight w:val="none"/>
        </w:rPr>
        <w:t>确认</w:t>
      </w:r>
      <w:r>
        <w:rPr>
          <w:rFonts w:hint="eastAsia" w:ascii="仿宋" w:hAnsi="仿宋" w:eastAsia="仿宋"/>
          <w:color w:val="auto"/>
          <w:sz w:val="32"/>
          <w:szCs w:val="32"/>
          <w:highlight w:val="none"/>
        </w:rPr>
        <w:t>，并</w:t>
      </w:r>
      <w:r>
        <w:rPr>
          <w:rFonts w:ascii="仿宋" w:hAnsi="仿宋" w:eastAsia="仿宋"/>
          <w:color w:val="auto"/>
          <w:sz w:val="32"/>
          <w:szCs w:val="32"/>
          <w:highlight w:val="none"/>
        </w:rPr>
        <w:t>载明检验数据</w:t>
      </w:r>
      <w:r>
        <w:rPr>
          <w:rFonts w:hint="eastAsia" w:ascii="仿宋" w:hAnsi="仿宋" w:eastAsia="仿宋"/>
          <w:color w:val="auto"/>
          <w:sz w:val="32"/>
          <w:szCs w:val="32"/>
          <w:highlight w:val="none"/>
        </w:rPr>
        <w:t>等</w:t>
      </w:r>
      <w:r>
        <w:rPr>
          <w:rFonts w:ascii="仿宋" w:hAnsi="仿宋" w:eastAsia="仿宋"/>
          <w:color w:val="auto"/>
          <w:sz w:val="32"/>
          <w:szCs w:val="32"/>
          <w:highlight w:val="none"/>
        </w:rPr>
        <w:t>信息</w:t>
      </w:r>
      <w:r>
        <w:rPr>
          <w:rFonts w:hint="eastAsia" w:ascii="仿宋" w:hAnsi="仿宋" w:eastAsia="仿宋"/>
          <w:color w:val="auto"/>
          <w:sz w:val="32"/>
          <w:szCs w:val="32"/>
          <w:highlight w:val="none"/>
        </w:rPr>
        <w:t>。</w:t>
      </w:r>
    </w:p>
    <w:p>
      <w:pPr>
        <w:pStyle w:val="12"/>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 xml:space="preserve"> </w:t>
      </w:r>
      <w:r>
        <w:rPr>
          <w:rFonts w:hint="eastAsia" w:ascii="仿宋" w:hAnsi="仿宋" w:eastAsia="仿宋" w:cs="Times New Roman"/>
          <w:color w:val="auto"/>
          <w:kern w:val="2"/>
          <w:sz w:val="32"/>
          <w:szCs w:val="32"/>
          <w:highlight w:val="none"/>
          <w:lang w:val="en-US" w:eastAsia="zh-CN" w:bidi="ar-SA"/>
        </w:rPr>
        <w:t>买卖双方确认货物数量无异议后，</w:t>
      </w:r>
      <w:r>
        <w:rPr>
          <w:rFonts w:hint="eastAsia" w:ascii="仿宋" w:hAnsi="仿宋" w:eastAsia="仿宋"/>
          <w:color w:val="auto"/>
          <w:sz w:val="32"/>
          <w:szCs w:val="32"/>
          <w:highlight w:val="none"/>
          <w:lang w:eastAsia="zh-CN"/>
        </w:rPr>
        <w:t>交割服务机构和</w:t>
      </w:r>
      <w:r>
        <w:rPr>
          <w:rFonts w:hint="eastAsia" w:ascii="仿宋" w:hAnsi="仿宋" w:eastAsia="仿宋"/>
          <w:color w:val="auto"/>
          <w:sz w:val="32"/>
          <w:szCs w:val="32"/>
          <w:highlight w:val="none"/>
        </w:rPr>
        <w:t>买</w:t>
      </w:r>
      <w:r>
        <w:rPr>
          <w:rFonts w:hint="eastAsia" w:ascii="仿宋" w:hAnsi="仿宋" w:eastAsia="仿宋"/>
          <w:color w:val="auto"/>
          <w:sz w:val="32"/>
          <w:szCs w:val="32"/>
          <w:highlight w:val="none"/>
          <w:lang w:eastAsia="zh-CN"/>
        </w:rPr>
        <w:t>卖</w:t>
      </w:r>
      <w:r>
        <w:rPr>
          <w:rFonts w:hint="eastAsia" w:ascii="仿宋" w:hAnsi="仿宋" w:eastAsia="仿宋"/>
          <w:color w:val="auto"/>
          <w:sz w:val="32"/>
          <w:szCs w:val="32"/>
          <w:highlight w:val="none"/>
        </w:rPr>
        <w:t>客户双方</w:t>
      </w:r>
      <w:r>
        <w:rPr>
          <w:rFonts w:hint="eastAsia" w:ascii="仿宋" w:hAnsi="仿宋" w:eastAsia="仿宋"/>
          <w:color w:val="auto"/>
          <w:sz w:val="32"/>
          <w:szCs w:val="32"/>
          <w:highlight w:val="none"/>
          <w:lang w:eastAsia="zh-CN"/>
        </w:rPr>
        <w:t>应当</w:t>
      </w:r>
      <w:r>
        <w:rPr>
          <w:rFonts w:hint="eastAsia" w:ascii="仿宋" w:hAnsi="仿宋" w:eastAsia="仿宋"/>
          <w:color w:val="auto"/>
          <w:sz w:val="32"/>
          <w:szCs w:val="32"/>
          <w:highlight w:val="none"/>
        </w:rPr>
        <w:t>在</w:t>
      </w:r>
      <w:r>
        <w:rPr>
          <w:rFonts w:hint="eastAsia" w:ascii="仿宋" w:hAnsi="仿宋" w:eastAsia="仿宋" w:cs="Times New Roman"/>
          <w:color w:val="auto"/>
          <w:kern w:val="2"/>
          <w:sz w:val="32"/>
          <w:szCs w:val="32"/>
          <w:highlight w:val="none"/>
          <w:lang w:val="en-US" w:eastAsia="zh-CN" w:bidi="ar-SA"/>
        </w:rPr>
        <w:t>《红枣期货数量验收确认单》签字或加盖公章确认，完成货物交收。</w:t>
      </w:r>
    </w:p>
    <w:p>
      <w:pPr>
        <w:pStyle w:val="12"/>
        <w:numPr>
          <w:ilvl w:val="-1"/>
          <w:numId w:val="0"/>
        </w:numPr>
        <w:ind w:left="0" w:leftChars="0" w:firstLine="640" w:firstLineChars="200"/>
        <w:rPr>
          <w:rFonts w:hint="default" w:ascii="仿宋" w:hAnsi="仿宋" w:eastAsia="仿宋"/>
          <w:color w:val="auto"/>
          <w:sz w:val="32"/>
          <w:szCs w:val="32"/>
          <w:highlight w:val="none"/>
          <w:lang w:val="en-US" w:eastAsia="zh-CN"/>
        </w:rPr>
      </w:pPr>
      <w:r>
        <w:rPr>
          <w:rFonts w:hint="eastAsia" w:ascii="仿宋" w:hAnsi="仿宋" w:eastAsia="仿宋" w:cs="Times New Roman"/>
          <w:color w:val="auto"/>
          <w:kern w:val="2"/>
          <w:sz w:val="32"/>
          <w:szCs w:val="32"/>
          <w:highlight w:val="none"/>
          <w:lang w:val="en-US" w:eastAsia="zh-CN" w:bidi="ar-SA"/>
        </w:rPr>
        <w:t>货物交收后，</w:t>
      </w:r>
      <w:r>
        <w:rPr>
          <w:rFonts w:hint="eastAsia" w:ascii="仿宋" w:hAnsi="仿宋" w:eastAsia="仿宋"/>
          <w:color w:val="auto"/>
          <w:sz w:val="32"/>
          <w:szCs w:val="32"/>
          <w:highlight w:val="none"/>
          <w:lang w:val="en-US" w:eastAsia="zh-CN"/>
        </w:rPr>
        <w:t>买方应同交割服务机构签订货物发运协议或现货临时储存协议。</w:t>
      </w:r>
      <w:r>
        <w:rPr>
          <w:rFonts w:hint="eastAsia" w:ascii="仿宋" w:hAnsi="仿宋" w:eastAsia="仿宋" w:cs="Times New Roman"/>
          <w:color w:val="auto"/>
          <w:kern w:val="2"/>
          <w:sz w:val="32"/>
          <w:szCs w:val="32"/>
          <w:highlight w:val="none"/>
          <w:lang w:val="en-US" w:eastAsia="zh-CN" w:bidi="ar-SA"/>
        </w:rPr>
        <w:t>货物发运时，买方应当到现场验收并监装、监运，卖方应当安排足够的人力、设备，确保正常发货。</w:t>
      </w:r>
    </w:p>
    <w:p>
      <w:pPr>
        <w:pStyle w:val="12"/>
        <w:numPr>
          <w:ilvl w:val="-1"/>
          <w:numId w:val="0"/>
        </w:numPr>
        <w:ind w:left="0" w:leftChars="0"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复检完成后相关货物发运以及现货临时储存要求参照前款规定办理。</w:t>
      </w:r>
    </w:p>
    <w:p>
      <w:pPr>
        <w:spacing w:before="156" w:beforeLines="50" w:after="156" w:afterLines="50"/>
        <w:jc w:val="center"/>
        <w:outlineLvl w:val="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第四章 </w:t>
      </w:r>
      <w:r>
        <w:rPr>
          <w:rFonts w:hint="eastAsia" w:ascii="仿宋" w:hAnsi="仿宋" w:eastAsia="仿宋"/>
          <w:b/>
          <w:color w:val="auto"/>
          <w:sz w:val="32"/>
          <w:szCs w:val="32"/>
          <w:highlight w:val="none"/>
        </w:rPr>
        <w:t>复检流程</w:t>
      </w:r>
    </w:p>
    <w:p>
      <w:pPr>
        <w:pStyle w:val="2"/>
        <w:numPr>
          <w:ilvl w:val="0"/>
          <w:numId w:val="1"/>
        </w:numPr>
        <w:autoSpaceDE w:val="0"/>
        <w:autoSpaceDN w:val="0"/>
        <w:spacing w:before="2" w:line="364" w:lineRule="auto"/>
        <w:ind w:left="-10" w:leftChars="0" w:right="277" w:firstLine="624" w:firstLineChars="200"/>
        <w:jc w:val="left"/>
        <w:rPr>
          <w:rFonts w:hint="eastAsia" w:ascii="仿宋" w:hAnsi="仿宋" w:eastAsia="仿宋" w:cs="仿宋"/>
          <w:color w:val="auto"/>
          <w:spacing w:val="-4"/>
          <w:kern w:val="0"/>
          <w:highlight w:val="none"/>
          <w:lang w:val="en-US" w:eastAsia="zh-CN"/>
        </w:rPr>
      </w:pPr>
      <w:r>
        <w:rPr>
          <w:rFonts w:hint="eastAsia" w:cs="仿宋"/>
          <w:color w:val="auto"/>
          <w:spacing w:val="-4"/>
          <w:kern w:val="0"/>
          <w:highlight w:val="none"/>
          <w:lang w:val="en-US" w:eastAsia="zh-CN"/>
        </w:rPr>
        <w:t xml:space="preserve"> </w:t>
      </w:r>
      <w:r>
        <w:rPr>
          <w:rFonts w:hint="eastAsia" w:ascii="仿宋" w:hAnsi="仿宋" w:eastAsia="仿宋" w:cs="仿宋"/>
          <w:color w:val="auto"/>
          <w:spacing w:val="-4"/>
          <w:kern w:val="0"/>
          <w:highlight w:val="none"/>
          <w:lang w:val="en-US" w:eastAsia="zh-CN"/>
        </w:rPr>
        <w:t>交收双方</w:t>
      </w:r>
      <w:r>
        <w:rPr>
          <w:rFonts w:hint="eastAsia" w:cs="仿宋"/>
          <w:color w:val="auto"/>
          <w:spacing w:val="-4"/>
          <w:kern w:val="0"/>
          <w:highlight w:val="none"/>
          <w:lang w:val="en-US" w:eastAsia="zh-CN"/>
        </w:rPr>
        <w:t>发生质量争议时</w:t>
      </w:r>
      <w:r>
        <w:rPr>
          <w:rFonts w:hint="eastAsia" w:ascii="仿宋" w:hAnsi="仿宋" w:eastAsia="仿宋" w:cs="仿宋"/>
          <w:color w:val="auto"/>
          <w:spacing w:val="-4"/>
          <w:kern w:val="0"/>
          <w:highlight w:val="none"/>
          <w:lang w:val="en-US" w:eastAsia="zh-CN"/>
        </w:rPr>
        <w:t>，</w:t>
      </w:r>
      <w:r>
        <w:rPr>
          <w:rFonts w:hint="eastAsia" w:cs="仿宋"/>
          <w:color w:val="auto"/>
          <w:spacing w:val="-4"/>
          <w:kern w:val="0"/>
          <w:highlight w:val="none"/>
          <w:lang w:val="en-US" w:eastAsia="zh-CN"/>
        </w:rPr>
        <w:t>交割服务机构</w:t>
      </w:r>
      <w:r>
        <w:rPr>
          <w:rFonts w:hint="eastAsia" w:ascii="仿宋" w:hAnsi="仿宋" w:eastAsia="仿宋" w:cs="仿宋"/>
          <w:color w:val="auto"/>
          <w:spacing w:val="-4"/>
          <w:kern w:val="0"/>
          <w:highlight w:val="none"/>
          <w:lang w:val="en-US" w:eastAsia="zh-CN"/>
        </w:rPr>
        <w:t>应当告知各方可协商处理</w:t>
      </w:r>
      <w:r>
        <w:rPr>
          <w:rFonts w:hint="eastAsia" w:cs="仿宋"/>
          <w:color w:val="auto"/>
          <w:spacing w:val="-4"/>
          <w:kern w:val="0"/>
          <w:highlight w:val="none"/>
          <w:lang w:val="en-US" w:eastAsia="zh-CN"/>
        </w:rPr>
        <w:t>。</w:t>
      </w:r>
      <w:r>
        <w:rPr>
          <w:rFonts w:hint="eastAsia" w:ascii="仿宋" w:hAnsi="仿宋" w:eastAsia="仿宋" w:cs="仿宋"/>
          <w:color w:val="auto"/>
          <w:spacing w:val="-4"/>
          <w:kern w:val="0"/>
          <w:highlight w:val="none"/>
          <w:lang w:val="en-US" w:eastAsia="zh-CN"/>
        </w:rPr>
        <w:t>协商不成的，</w:t>
      </w:r>
      <w:r>
        <w:rPr>
          <w:rFonts w:hint="eastAsia" w:cs="仿宋"/>
          <w:color w:val="auto"/>
          <w:spacing w:val="-4"/>
          <w:kern w:val="0"/>
          <w:highlight w:val="none"/>
          <w:lang w:val="en-US" w:eastAsia="zh-CN"/>
        </w:rPr>
        <w:t>买方有权在完成自行检验且货物未离开交收现场情况下</w:t>
      </w:r>
      <w:r>
        <w:rPr>
          <w:rFonts w:hint="eastAsia" w:ascii="仿宋" w:hAnsi="仿宋" w:eastAsia="仿宋" w:cs="仿宋"/>
          <w:color w:val="auto"/>
          <w:spacing w:val="-4"/>
          <w:kern w:val="0"/>
          <w:highlight w:val="none"/>
          <w:lang w:val="en-US" w:eastAsia="zh-CN"/>
        </w:rPr>
        <w:t>提出一次复检申请。</w:t>
      </w:r>
    </w:p>
    <w:p>
      <w:pPr>
        <w:pStyle w:val="2"/>
        <w:numPr>
          <w:ilvl w:val="0"/>
          <w:numId w:val="1"/>
        </w:numPr>
        <w:autoSpaceDE w:val="0"/>
        <w:autoSpaceDN w:val="0"/>
        <w:spacing w:before="2" w:line="364" w:lineRule="auto"/>
        <w:ind w:left="-10" w:leftChars="0" w:right="277" w:firstLine="640" w:firstLineChars="200"/>
        <w:jc w:val="left"/>
        <w:rPr>
          <w:rFonts w:hint="eastAsia" w:ascii="仿宋" w:hAnsi="仿宋" w:eastAsia="仿宋"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 xml:space="preserve"> 买方应</w:t>
      </w:r>
      <w:r>
        <w:rPr>
          <w:rFonts w:hint="eastAsia" w:ascii="仿宋" w:hAnsi="仿宋" w:eastAsia="仿宋" w:cs="Times New Roman"/>
          <w:color w:val="auto"/>
          <w:kern w:val="2"/>
          <w:sz w:val="32"/>
          <w:szCs w:val="32"/>
          <w:highlight w:val="none"/>
          <w:lang w:val="en-US" w:eastAsia="zh-CN" w:bidi="ar-SA"/>
        </w:rPr>
        <w:t>于自行检验</w:t>
      </w:r>
      <w:r>
        <w:rPr>
          <w:rFonts w:hint="eastAsia" w:ascii="Times New Roman" w:hAnsi="Times New Roman" w:eastAsia="仿宋" w:cs="Times New Roman"/>
          <w:b w:val="0"/>
          <w:bCs w:val="0"/>
          <w:color w:val="auto"/>
          <w:sz w:val="32"/>
          <w:szCs w:val="32"/>
          <w:highlight w:val="none"/>
          <w:lang w:eastAsia="zh-CN"/>
        </w:rPr>
        <w:t>后</w:t>
      </w:r>
      <w:r>
        <w:rPr>
          <w:rFonts w:hint="default" w:ascii="Times New Roman" w:hAnsi="Times New Roman" w:eastAsia="仿宋" w:cs="Times New Roman"/>
          <w:b w:val="0"/>
          <w:bCs w:val="0"/>
          <w:color w:val="auto"/>
          <w:sz w:val="32"/>
          <w:szCs w:val="32"/>
          <w:highlight w:val="none"/>
        </w:rPr>
        <w:t>（不含该日）</w:t>
      </w:r>
      <w:r>
        <w:rPr>
          <w:rFonts w:hint="eastAsia" w:cs="Times New Roman"/>
          <w:color w:val="auto"/>
          <w:kern w:val="2"/>
          <w:sz w:val="32"/>
          <w:szCs w:val="32"/>
          <w:highlight w:val="none"/>
          <w:lang w:val="en-US" w:eastAsia="zh-CN" w:bidi="ar-SA"/>
        </w:rPr>
        <w:t>1个日历日</w:t>
      </w:r>
      <w:r>
        <w:rPr>
          <w:rFonts w:hint="eastAsia" w:ascii="仿宋" w:hAnsi="仿宋" w:eastAsia="仿宋" w:cs="Times New Roman"/>
          <w:color w:val="auto"/>
          <w:kern w:val="2"/>
          <w:sz w:val="32"/>
          <w:szCs w:val="32"/>
          <w:highlight w:val="none"/>
          <w:lang w:val="en-US" w:eastAsia="zh-CN" w:bidi="ar-SA"/>
        </w:rPr>
        <w:t>内</w:t>
      </w:r>
      <w:r>
        <w:rPr>
          <w:rFonts w:hint="eastAsia" w:cs="Times New Roman"/>
          <w:color w:val="auto"/>
          <w:kern w:val="2"/>
          <w:sz w:val="32"/>
          <w:szCs w:val="32"/>
          <w:highlight w:val="none"/>
          <w:lang w:val="en-US" w:eastAsia="zh-CN" w:bidi="ar-SA"/>
        </w:rPr>
        <w:t>以电子邮件等形式向交割服务机构、买方</w:t>
      </w:r>
      <w:r>
        <w:rPr>
          <w:rFonts w:hint="eastAsia" w:ascii="仿宋" w:hAnsi="仿宋" w:eastAsia="仿宋" w:cs="Times New Roman"/>
          <w:color w:val="auto"/>
          <w:kern w:val="2"/>
          <w:sz w:val="32"/>
          <w:szCs w:val="32"/>
          <w:highlight w:val="none"/>
          <w:lang w:val="en-US" w:eastAsia="zh-CN" w:bidi="ar-SA"/>
        </w:rPr>
        <w:t>会员</w:t>
      </w:r>
      <w:r>
        <w:rPr>
          <w:rFonts w:hint="eastAsia" w:cs="Times New Roman"/>
          <w:color w:val="auto"/>
          <w:kern w:val="2"/>
          <w:sz w:val="32"/>
          <w:szCs w:val="32"/>
          <w:highlight w:val="none"/>
          <w:lang w:val="en-US" w:eastAsia="zh-CN" w:bidi="ar-SA"/>
        </w:rPr>
        <w:t>提出复检申请。交割服务机构收到复检申请应当及时向交易所报告。买方会员在收到复检申请后及时通过</w:t>
      </w:r>
      <w:r>
        <w:rPr>
          <w:rFonts w:hint="eastAsia" w:ascii="仿宋" w:hAnsi="仿宋" w:eastAsia="仿宋" w:cs="Times New Roman"/>
          <w:color w:val="auto"/>
          <w:kern w:val="2"/>
          <w:sz w:val="32"/>
          <w:szCs w:val="32"/>
          <w:highlight w:val="none"/>
          <w:lang w:val="en-US" w:eastAsia="zh-CN" w:bidi="ar-SA"/>
        </w:rPr>
        <w:t>电子仓单系统</w:t>
      </w:r>
      <w:r>
        <w:rPr>
          <w:rFonts w:hint="eastAsia" w:cs="Times New Roman"/>
          <w:color w:val="auto"/>
          <w:kern w:val="2"/>
          <w:sz w:val="32"/>
          <w:szCs w:val="32"/>
          <w:highlight w:val="none"/>
          <w:lang w:val="en-US" w:eastAsia="zh-CN" w:bidi="ar-SA"/>
        </w:rPr>
        <w:t>提交</w:t>
      </w:r>
      <w:r>
        <w:rPr>
          <w:rFonts w:hint="eastAsia" w:ascii="仿宋" w:hAnsi="仿宋" w:eastAsia="仿宋" w:cs="Times New Roman"/>
          <w:color w:val="auto"/>
          <w:kern w:val="2"/>
          <w:sz w:val="32"/>
          <w:szCs w:val="32"/>
          <w:highlight w:val="none"/>
          <w:lang w:val="en-US" w:eastAsia="zh-CN" w:bidi="ar-SA"/>
        </w:rPr>
        <w:t>复检申请。</w:t>
      </w:r>
    </w:p>
    <w:p>
      <w:pPr>
        <w:pStyle w:val="2"/>
        <w:numPr>
          <w:ilvl w:val="0"/>
          <w:numId w:val="1"/>
        </w:numPr>
        <w:autoSpaceDE w:val="0"/>
        <w:autoSpaceDN w:val="0"/>
        <w:spacing w:before="2" w:line="364" w:lineRule="auto"/>
        <w:ind w:left="-10" w:leftChars="0" w:right="277" w:firstLine="624" w:firstLineChars="200"/>
        <w:jc w:val="left"/>
        <w:rPr>
          <w:rFonts w:hint="eastAsia" w:ascii="仿宋" w:hAnsi="仿宋" w:eastAsia="仿宋" w:cs="Times New Roman"/>
          <w:color w:val="auto"/>
          <w:kern w:val="2"/>
          <w:sz w:val="32"/>
          <w:szCs w:val="32"/>
          <w:highlight w:val="none"/>
          <w:lang w:val="en-US" w:eastAsia="zh-CN" w:bidi="ar-SA"/>
        </w:rPr>
      </w:pPr>
      <w:r>
        <w:rPr>
          <w:rFonts w:hint="eastAsia" w:cs="仿宋"/>
          <w:color w:val="auto"/>
          <w:spacing w:val="-4"/>
          <w:kern w:val="0"/>
          <w:highlight w:val="none"/>
          <w:lang w:val="en-US" w:eastAsia="zh-CN"/>
        </w:rPr>
        <w:t xml:space="preserve"> 买方提交复检申请时，同时填报自行检验结果，并说明申请复检项目。</w:t>
      </w:r>
    </w:p>
    <w:p>
      <w:pPr>
        <w:pStyle w:val="12"/>
        <w:numPr>
          <w:ilvl w:val="0"/>
          <w:numId w:val="1"/>
        </w:numPr>
        <w:ind w:left="-10" w:leftChars="0" w:firstLine="710" w:firstLineChars="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交割服务机构收到会员提出的复检申请后，应当在确认客户名称、复检项目等事项后，按照交易所公布的收费标准向复检提出方发送复检费用明细。</w:t>
      </w:r>
    </w:p>
    <w:p>
      <w:pPr>
        <w:pStyle w:val="12"/>
        <w:numPr>
          <w:ilvl w:val="0"/>
          <w:numId w:val="1"/>
        </w:numPr>
        <w:ind w:left="-11" w:leftChars="0"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复检提出方客户应当在提出复检申请（不含该日）后1个工作日内向交割服务机构预缴复检费用。未在规定时间内预缴复检费用的</w:t>
      </w:r>
      <w:r>
        <w:rPr>
          <w:rFonts w:hint="default" w:ascii="仿宋" w:hAnsi="仿宋" w:eastAsia="仿宋" w:cs="Times New Roman"/>
          <w:color w:val="auto"/>
          <w:kern w:val="2"/>
          <w:sz w:val="32"/>
          <w:szCs w:val="32"/>
          <w:highlight w:val="none"/>
          <w:lang w:val="en-US" w:eastAsia="zh-CN" w:bidi="ar-SA"/>
        </w:rPr>
        <w:t>,</w:t>
      </w:r>
      <w:r>
        <w:rPr>
          <w:rFonts w:hint="eastAsia" w:ascii="仿宋" w:hAnsi="仿宋" w:eastAsia="仿宋" w:cs="Times New Roman"/>
          <w:color w:val="auto"/>
          <w:kern w:val="2"/>
          <w:sz w:val="32"/>
          <w:szCs w:val="32"/>
          <w:highlight w:val="none"/>
          <w:lang w:val="en-US" w:eastAsia="zh-CN" w:bidi="ar-SA"/>
        </w:rPr>
        <w:t>复检申请作废，交易所不予受理。</w:t>
      </w:r>
    </w:p>
    <w:p>
      <w:pPr>
        <w:pStyle w:val="12"/>
        <w:spacing w:before="0" w:beforeLines="0" w:after="0" w:afterLines="0"/>
        <w:ind w:firstLine="640" w:firstLineChars="200"/>
        <w:rPr>
          <w:rFonts w:hint="eastAsia" w:ascii="仿宋" w:hAnsi="仿宋" w:eastAsia="仿宋" w:cs="Times New Roman"/>
          <w:color w:val="auto"/>
          <w:kern w:val="2"/>
          <w:sz w:val="32"/>
          <w:szCs w:val="32"/>
          <w:highlight w:val="none"/>
          <w:lang w:val="en-US" w:eastAsia="zh-CN" w:bidi="ar-SA"/>
        </w:rPr>
      </w:pPr>
      <w:r>
        <w:rPr>
          <w:rFonts w:hint="default"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rPr>
        <w:t>在收到</w:t>
      </w:r>
      <w:r>
        <w:rPr>
          <w:rFonts w:hint="eastAsia" w:ascii="仿宋" w:hAnsi="仿宋" w:eastAsia="仿宋" w:cs="Times New Roman"/>
          <w:color w:val="auto"/>
          <w:kern w:val="2"/>
          <w:sz w:val="32"/>
          <w:szCs w:val="32"/>
          <w:highlight w:val="none"/>
          <w:lang w:val="en-US" w:eastAsia="zh-CN" w:bidi="ar-SA"/>
        </w:rPr>
        <w:t>预缴复检费用</w:t>
      </w:r>
      <w:r>
        <w:rPr>
          <w:rFonts w:hint="default" w:ascii="Times New Roman" w:hAnsi="Times New Roman" w:eastAsia="仿宋"/>
          <w:color w:val="auto"/>
          <w:sz w:val="32"/>
          <w:szCs w:val="32"/>
          <w:highlight w:val="none"/>
        </w:rPr>
        <w:t>后</w:t>
      </w:r>
      <w:r>
        <w:rPr>
          <w:rFonts w:hint="default" w:ascii="Times New Roman" w:hAnsi="Times New Roman" w:eastAsia="仿宋" w:cs="Times New Roman"/>
          <w:b w:val="0"/>
          <w:bCs w:val="0"/>
          <w:color w:val="auto"/>
          <w:sz w:val="32"/>
          <w:szCs w:val="32"/>
          <w:highlight w:val="none"/>
        </w:rPr>
        <w:t>（不含该日）</w:t>
      </w:r>
      <w:r>
        <w:rPr>
          <w:rFonts w:hint="eastAsia" w:ascii="Times New Roman" w:hAnsi="Times New Roman" w:eastAsia="仿宋"/>
          <w:color w:val="auto"/>
          <w:sz w:val="32"/>
          <w:szCs w:val="32"/>
          <w:highlight w:val="none"/>
          <w:lang w:val="en-US" w:eastAsia="zh-CN"/>
        </w:rPr>
        <w:t>1</w:t>
      </w:r>
      <w:r>
        <w:rPr>
          <w:rFonts w:ascii="Times New Roman" w:hAnsi="Times New Roman" w:eastAsia="仿宋"/>
          <w:color w:val="auto"/>
          <w:sz w:val="32"/>
          <w:szCs w:val="32"/>
          <w:highlight w:val="none"/>
        </w:rPr>
        <w:t>个</w:t>
      </w:r>
      <w:r>
        <w:rPr>
          <w:rFonts w:hint="eastAsia" w:ascii="Times New Roman" w:hAnsi="Times New Roman" w:eastAsia="仿宋"/>
          <w:color w:val="auto"/>
          <w:sz w:val="32"/>
          <w:szCs w:val="32"/>
          <w:highlight w:val="none"/>
          <w:lang w:eastAsia="zh-CN"/>
        </w:rPr>
        <w:t>工作日内</w:t>
      </w:r>
      <w:r>
        <w:rPr>
          <w:rFonts w:hint="default" w:ascii="Times New Roman" w:hAnsi="Times New Roman" w:eastAsia="仿宋"/>
          <w:color w:val="auto"/>
          <w:sz w:val="32"/>
          <w:szCs w:val="32"/>
          <w:highlight w:val="none"/>
        </w:rPr>
        <w:t>，通过</w:t>
      </w:r>
      <w:r>
        <w:rPr>
          <w:rFonts w:hint="eastAsia" w:ascii="Times New Roman" w:hAnsi="Times New Roman" w:eastAsia="仿宋"/>
          <w:color w:val="auto"/>
          <w:sz w:val="32"/>
          <w:szCs w:val="32"/>
          <w:highlight w:val="none"/>
          <w:lang w:eastAsia="zh-CN"/>
        </w:rPr>
        <w:t>会员</w:t>
      </w:r>
      <w:r>
        <w:rPr>
          <w:rFonts w:hint="default" w:ascii="Times New Roman" w:hAnsi="Times New Roman" w:eastAsia="仿宋"/>
          <w:color w:val="auto"/>
          <w:sz w:val="32"/>
          <w:szCs w:val="32"/>
          <w:highlight w:val="none"/>
        </w:rPr>
        <w:t>服务系统</w:t>
      </w:r>
      <w:r>
        <w:rPr>
          <w:rFonts w:hint="eastAsia" w:ascii="Times New Roman" w:hAnsi="Times New Roman" w:eastAsia="仿宋"/>
          <w:color w:val="auto"/>
          <w:sz w:val="32"/>
          <w:szCs w:val="32"/>
          <w:highlight w:val="none"/>
          <w:lang w:eastAsia="zh-CN"/>
        </w:rPr>
        <w:t>确认</w:t>
      </w:r>
      <w:r>
        <w:rPr>
          <w:rFonts w:hint="default" w:ascii="Times New Roman" w:hAnsi="Times New Roman" w:eastAsia="仿宋"/>
          <w:color w:val="auto"/>
          <w:sz w:val="32"/>
          <w:szCs w:val="32"/>
          <w:highlight w:val="none"/>
        </w:rPr>
        <w:t>复检申请。</w:t>
      </w:r>
    </w:p>
    <w:p>
      <w:pPr>
        <w:pStyle w:val="12"/>
        <w:numPr>
          <w:ilvl w:val="0"/>
          <w:numId w:val="1"/>
        </w:numPr>
        <w:ind w:left="-11" w:leftChars="0"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 xml:space="preserve"> </w:t>
      </w:r>
      <w:r>
        <w:rPr>
          <w:rFonts w:hint="eastAsia" w:ascii="仿宋" w:hAnsi="仿宋" w:eastAsia="仿宋" w:cs="仿宋"/>
          <w:color w:val="auto"/>
          <w:spacing w:val="-4"/>
          <w:kern w:val="0"/>
          <w:sz w:val="32"/>
          <w:szCs w:val="32"/>
          <w:highlight w:val="none"/>
          <w:lang w:val="en-US" w:eastAsia="zh-CN"/>
        </w:rPr>
        <w:t>质检机构应当在收到复检申请后与相关交割服务机构联系确认复检行程安排。</w:t>
      </w:r>
      <w:r>
        <w:rPr>
          <w:rFonts w:hint="eastAsia" w:ascii="Times New Roman" w:hAnsi="Times New Roman" w:eastAsia="仿宋"/>
          <w:color w:val="auto"/>
          <w:sz w:val="32"/>
          <w:szCs w:val="32"/>
          <w:highlight w:val="none"/>
          <w:lang w:eastAsia="zh-CN"/>
        </w:rPr>
        <w:t>复检行程确认后，质检机构应当向交易所报备。</w:t>
      </w:r>
    </w:p>
    <w:p>
      <w:pPr>
        <w:pStyle w:val="12"/>
        <w:numPr>
          <w:ilvl w:val="0"/>
          <w:numId w:val="0"/>
        </w:numPr>
        <w:ind w:firstLine="640" w:firstLineChars="200"/>
        <w:rPr>
          <w:rFonts w:hint="default" w:ascii="仿宋" w:hAnsi="仿宋" w:eastAsia="仿宋" w:cs="Times New Roman"/>
          <w:color w:val="auto"/>
          <w:kern w:val="2"/>
          <w:sz w:val="32"/>
          <w:szCs w:val="32"/>
          <w:highlight w:val="none"/>
          <w:lang w:val="en-US" w:eastAsia="zh-CN" w:bidi="ar-SA"/>
        </w:rPr>
      </w:pPr>
      <w:r>
        <w:rPr>
          <w:rFonts w:hint="eastAsia" w:ascii="Times New Roman" w:hAnsi="Times New Roman" w:eastAsia="仿宋"/>
          <w:color w:val="auto"/>
          <w:sz w:val="32"/>
          <w:szCs w:val="32"/>
          <w:highlight w:val="none"/>
          <w:lang w:eastAsia="zh-CN"/>
        </w:rPr>
        <w:t>交割服务机构应当及时通知买卖双方及会员复检时间。</w:t>
      </w:r>
    </w:p>
    <w:p>
      <w:pPr>
        <w:pStyle w:val="12"/>
        <w:numPr>
          <w:ilvl w:val="0"/>
          <w:numId w:val="1"/>
        </w:numPr>
        <w:ind w:left="-10" w:leftChars="0" w:firstLine="710" w:firstLineChars="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 xml:space="preserve"> 买卖双方协商一致的，可由买卖双方现场抽样，将样品寄往质检机构复检。买卖双方协商不一致的，由质检机构到现场抽样复检。买卖双方</w:t>
      </w:r>
      <w:r>
        <w:rPr>
          <w:rFonts w:hint="eastAsia" w:ascii="仿宋" w:hAnsi="仿宋" w:eastAsia="仿宋"/>
          <w:color w:val="auto"/>
          <w:sz w:val="32"/>
          <w:szCs w:val="32"/>
          <w:highlight w:val="none"/>
          <w:lang w:eastAsia="zh-CN"/>
        </w:rPr>
        <w:t>应当</w:t>
      </w:r>
      <w:r>
        <w:rPr>
          <w:rFonts w:hint="eastAsia" w:ascii="仿宋" w:hAnsi="仿宋" w:eastAsia="仿宋"/>
          <w:color w:val="auto"/>
          <w:sz w:val="32"/>
          <w:szCs w:val="32"/>
          <w:highlight w:val="none"/>
        </w:rPr>
        <w:t>在《</w:t>
      </w:r>
      <w:r>
        <w:rPr>
          <w:rFonts w:hint="eastAsia" w:ascii="仿宋" w:hAnsi="仿宋" w:eastAsia="仿宋"/>
          <w:color w:val="auto"/>
          <w:sz w:val="32"/>
          <w:szCs w:val="32"/>
          <w:highlight w:val="none"/>
          <w:lang w:val="en-US" w:eastAsia="zh-CN"/>
        </w:rPr>
        <w:t>红枣</w:t>
      </w:r>
      <w:r>
        <w:rPr>
          <w:rFonts w:hint="eastAsia" w:ascii="仿宋" w:hAnsi="仿宋" w:eastAsia="仿宋"/>
          <w:color w:val="auto"/>
          <w:sz w:val="32"/>
          <w:szCs w:val="32"/>
          <w:highlight w:val="none"/>
        </w:rPr>
        <w:t>期货复检样品确认书》签字或加盖公章，确认样品数量及</w:t>
      </w:r>
      <w:r>
        <w:rPr>
          <w:rFonts w:hint="eastAsia" w:ascii="仿宋" w:hAnsi="仿宋" w:eastAsia="仿宋"/>
          <w:color w:val="auto"/>
          <w:sz w:val="32"/>
          <w:szCs w:val="32"/>
          <w:highlight w:val="none"/>
          <w:lang w:val="en-US" w:eastAsia="zh-CN"/>
        </w:rPr>
        <w:t>重量</w:t>
      </w:r>
      <w:r>
        <w:rPr>
          <w:rFonts w:hint="eastAsia" w:ascii="仿宋" w:hAnsi="仿宋" w:eastAsia="仿宋"/>
          <w:color w:val="auto"/>
          <w:sz w:val="32"/>
          <w:szCs w:val="32"/>
          <w:highlight w:val="none"/>
        </w:rPr>
        <w:t>。如客户未到场，视同对样品状态无异议。</w:t>
      </w:r>
    </w:p>
    <w:p>
      <w:pPr>
        <w:pStyle w:val="12"/>
        <w:numPr>
          <w:ilvl w:val="0"/>
          <w:numId w:val="0"/>
        </w:numPr>
        <w:ind w:left="0" w:leftChars="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复检抽样时，每90吨货物抽取一个样品，不足90吨的按90吨计。取样件数不低于总件数的0.5%，取样量不低于1千克。不同厂家生产的红枣应当分别进行抽样。</w:t>
      </w:r>
    </w:p>
    <w:p>
      <w:pPr>
        <w:pStyle w:val="12"/>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买卖双方协商选择寄样复检的，买卖双方现场抽样时，交割服务机构提供抽样协助，见证现场抽样，必要时可采用录像方式记录抽样过程。寄出样品外包装应当标示“复检样品”字样，载明抽样日期，买卖双方代表人签字或盖章。交割服务机构应当在样品寄出后及时告知质检机构。质检机构收到样品后应当确认样品外包装完整，并拍照记录。</w:t>
      </w:r>
    </w:p>
    <w:p>
      <w:pPr>
        <w:pStyle w:val="12"/>
        <w:numPr>
          <w:ilvl w:val="0"/>
          <w:numId w:val="1"/>
        </w:numPr>
        <w:ind w:left="-10" w:leftChars="0" w:firstLine="710" w:firstLineChars="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质检机构自取样或收到样品之日起（不含该日）5个工作日内出具质检结果，并将质检结果上传至会员服务系统。</w:t>
      </w:r>
      <w:r>
        <w:rPr>
          <w:rFonts w:hint="eastAsia" w:ascii="Times New Roman" w:hAnsi="Times New Roman" w:eastAsia="仿宋"/>
          <w:color w:val="auto"/>
          <w:sz w:val="32"/>
          <w:szCs w:val="32"/>
          <w:highlight w:val="none"/>
          <w:lang w:eastAsia="zh-CN"/>
        </w:rPr>
        <w:t>会员应当及时通知客户检验结果，</w:t>
      </w:r>
      <w:r>
        <w:rPr>
          <w:rFonts w:hint="default" w:ascii="Times New Roman" w:hAnsi="Times New Roman" w:eastAsia="仿宋"/>
          <w:color w:val="auto"/>
          <w:sz w:val="32"/>
          <w:szCs w:val="32"/>
          <w:highlight w:val="none"/>
        </w:rPr>
        <w:t>办理相关手续</w:t>
      </w:r>
      <w:r>
        <w:rPr>
          <w:rFonts w:hint="eastAsia" w:eastAsia="仿宋"/>
          <w:color w:val="auto"/>
          <w:sz w:val="32"/>
          <w:szCs w:val="32"/>
          <w:highlight w:val="none"/>
          <w:lang w:eastAsia="zh-CN"/>
        </w:rPr>
        <w:t>。</w:t>
      </w:r>
    </w:p>
    <w:p>
      <w:pPr>
        <w:pStyle w:val="12"/>
        <w:numPr>
          <w:ilvl w:val="0"/>
          <w:numId w:val="1"/>
        </w:numPr>
        <w:ind w:left="-10" w:leftChars="0" w:firstLine="710" w:firstLineChars="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交割服务机构应当自复检结果出具日（不含该日）起2个工作日内与质检机构结清复检费用，并完成预缴复检费用的清退工作。</w:t>
      </w:r>
    </w:p>
    <w:p>
      <w:pPr>
        <w:pStyle w:val="12"/>
        <w:numPr>
          <w:ilvl w:val="0"/>
          <w:numId w:val="1"/>
        </w:numPr>
        <w:spacing w:before="0" w:beforeLines="0" w:after="0" w:afterLines="0"/>
        <w:ind w:left="-79" w:firstLine="709" w:firstLineChars="0"/>
        <w:rPr>
          <w:rFonts w:hint="default" w:ascii="宋体" w:hAnsi="宋体" w:eastAsia="宋体" w:cs="宋体"/>
          <w:color w:val="auto"/>
          <w:spacing w:val="-20"/>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Times New Roman" w:hAnsi="Times New Roman" w:eastAsia="仿宋"/>
          <w:color w:val="auto"/>
          <w:sz w:val="32"/>
          <w:szCs w:val="32"/>
          <w:highlight w:val="none"/>
          <w:lang w:eastAsia="zh-CN"/>
        </w:rPr>
        <w:t>质检机构</w:t>
      </w:r>
      <w:r>
        <w:rPr>
          <w:rFonts w:hint="default" w:ascii="Times New Roman" w:hAnsi="Times New Roman" w:eastAsia="仿宋"/>
          <w:color w:val="auto"/>
          <w:sz w:val="32"/>
          <w:szCs w:val="32"/>
          <w:highlight w:val="none"/>
        </w:rPr>
        <w:t>应当根据客户</w:t>
      </w:r>
      <w:r>
        <w:rPr>
          <w:rFonts w:hint="eastAsia" w:ascii="Times New Roman" w:hAnsi="Times New Roman" w:eastAsia="仿宋"/>
          <w:color w:val="auto"/>
          <w:sz w:val="32"/>
          <w:szCs w:val="32"/>
          <w:highlight w:val="none"/>
          <w:lang w:eastAsia="zh-CN"/>
        </w:rPr>
        <w:t>要求</w:t>
      </w:r>
      <w:r>
        <w:rPr>
          <w:rFonts w:hint="default" w:ascii="Times New Roman" w:hAnsi="Times New Roman" w:eastAsia="仿宋"/>
          <w:color w:val="auto"/>
          <w:sz w:val="32"/>
          <w:szCs w:val="32"/>
          <w:highlight w:val="none"/>
        </w:rPr>
        <w:t>，及时妥善地</w:t>
      </w:r>
      <w:r>
        <w:rPr>
          <w:rFonts w:ascii="Times New Roman" w:hAnsi="Times New Roman" w:eastAsia="仿宋"/>
          <w:color w:val="auto"/>
          <w:sz w:val="32"/>
          <w:szCs w:val="32"/>
          <w:highlight w:val="none"/>
        </w:rPr>
        <w:t>将</w:t>
      </w:r>
      <w:r>
        <w:rPr>
          <w:rFonts w:hint="default" w:ascii="Times New Roman" w:hAnsi="Times New Roman" w:eastAsia="仿宋"/>
          <w:color w:val="auto"/>
          <w:sz w:val="32"/>
          <w:szCs w:val="32"/>
          <w:highlight w:val="none"/>
        </w:rPr>
        <w:t>质检报告的</w:t>
      </w:r>
      <w:r>
        <w:rPr>
          <w:rFonts w:ascii="Times New Roman" w:hAnsi="Times New Roman" w:eastAsia="仿宋"/>
          <w:color w:val="auto"/>
          <w:sz w:val="32"/>
          <w:szCs w:val="32"/>
          <w:highlight w:val="none"/>
        </w:rPr>
        <w:t>正本</w:t>
      </w:r>
      <w:r>
        <w:rPr>
          <w:rFonts w:hint="default" w:ascii="Times New Roman" w:hAnsi="Times New Roman" w:eastAsia="仿宋"/>
          <w:color w:val="auto"/>
          <w:sz w:val="32"/>
          <w:szCs w:val="32"/>
          <w:highlight w:val="none"/>
        </w:rPr>
        <w:t>原件</w:t>
      </w:r>
      <w:r>
        <w:rPr>
          <w:rFonts w:hint="eastAsia" w:ascii="Times New Roman" w:hAnsi="Times New Roman" w:eastAsia="仿宋"/>
          <w:color w:val="auto"/>
          <w:sz w:val="32"/>
          <w:szCs w:val="32"/>
          <w:highlight w:val="none"/>
          <w:lang w:eastAsia="zh-CN"/>
        </w:rPr>
        <w:t>及费用明细</w:t>
      </w:r>
      <w:r>
        <w:rPr>
          <w:rFonts w:ascii="Times New Roman" w:hAnsi="Times New Roman" w:eastAsia="仿宋"/>
          <w:color w:val="auto"/>
          <w:sz w:val="32"/>
          <w:szCs w:val="32"/>
          <w:highlight w:val="none"/>
        </w:rPr>
        <w:t>邮寄</w:t>
      </w:r>
      <w:r>
        <w:rPr>
          <w:rFonts w:hint="default" w:ascii="Times New Roman" w:hAnsi="Times New Roman" w:eastAsia="仿宋"/>
          <w:color w:val="auto"/>
          <w:sz w:val="32"/>
          <w:szCs w:val="32"/>
          <w:highlight w:val="none"/>
        </w:rPr>
        <w:t>至</w:t>
      </w:r>
      <w:r>
        <w:rPr>
          <w:rFonts w:ascii="Times New Roman" w:hAnsi="Times New Roman" w:eastAsia="仿宋"/>
          <w:color w:val="auto"/>
          <w:sz w:val="32"/>
          <w:szCs w:val="32"/>
          <w:highlight w:val="none"/>
        </w:rPr>
        <w:t>付费方</w:t>
      </w:r>
      <w:r>
        <w:rPr>
          <w:rFonts w:hint="default" w:ascii="Times New Roman" w:hAnsi="Times New Roman" w:eastAsia="仿宋"/>
          <w:color w:val="auto"/>
          <w:sz w:val="32"/>
          <w:szCs w:val="32"/>
          <w:highlight w:val="none"/>
        </w:rPr>
        <w:t>。</w:t>
      </w:r>
    </w:p>
    <w:p>
      <w:pPr>
        <w:spacing w:before="156" w:beforeLines="50" w:after="156" w:afterLines="50"/>
        <w:jc w:val="center"/>
        <w:outlineLvl w:val="0"/>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eastAsia="zh-CN"/>
        </w:rPr>
        <w:t>五</w:t>
      </w:r>
      <w:r>
        <w:rPr>
          <w:rFonts w:hint="eastAsia" w:ascii="仿宋" w:hAnsi="仿宋" w:eastAsia="仿宋"/>
          <w:b/>
          <w:color w:val="auto"/>
          <w:sz w:val="32"/>
          <w:szCs w:val="32"/>
          <w:highlight w:val="none"/>
        </w:rPr>
        <w:t xml:space="preserve">章 </w:t>
      </w:r>
      <w:r>
        <w:rPr>
          <w:rFonts w:hint="eastAsia" w:ascii="仿宋" w:hAnsi="仿宋" w:eastAsia="仿宋"/>
          <w:b/>
          <w:color w:val="auto"/>
          <w:sz w:val="32"/>
          <w:szCs w:val="32"/>
          <w:highlight w:val="none"/>
          <w:lang w:val="en-US" w:eastAsia="zh-CN"/>
        </w:rPr>
        <w:t>监督管理</w:t>
      </w:r>
    </w:p>
    <w:p>
      <w:pPr>
        <w:numPr>
          <w:ilvl w:val="0"/>
          <w:numId w:val="1"/>
        </w:numPr>
        <w:spacing w:before="156" w:beforeLines="50" w:after="156" w:afterLines="50"/>
        <w:ind w:left="-79" w:firstLine="71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 xml:space="preserve"> </w:t>
      </w:r>
      <w:r>
        <w:rPr>
          <w:rFonts w:hint="default" w:ascii="Times New Roman" w:hAnsi="Times New Roman" w:eastAsia="仿宋"/>
          <w:color w:val="auto"/>
          <w:sz w:val="32"/>
          <w:szCs w:val="32"/>
          <w:highlight w:val="none"/>
          <w:lang w:eastAsia="zh-CN"/>
        </w:rPr>
        <w:t>交割服务机构</w:t>
      </w:r>
      <w:r>
        <w:rPr>
          <w:rFonts w:hint="default" w:ascii="Times New Roman" w:hAnsi="Times New Roman" w:eastAsia="仿宋"/>
          <w:color w:val="auto"/>
          <w:sz w:val="32"/>
          <w:szCs w:val="32"/>
          <w:highlight w:val="none"/>
        </w:rPr>
        <w:t>应当妥善留存交收客户的授权委托书、</w:t>
      </w:r>
      <w:r>
        <w:rPr>
          <w:rFonts w:hint="eastAsia" w:eastAsia="仿宋"/>
          <w:color w:val="auto"/>
          <w:sz w:val="32"/>
          <w:szCs w:val="32"/>
          <w:highlight w:val="none"/>
          <w:lang w:eastAsia="zh-CN"/>
        </w:rPr>
        <w:t>受托人</w:t>
      </w:r>
      <w:r>
        <w:rPr>
          <w:rFonts w:hint="default" w:ascii="Times New Roman" w:hAnsi="Times New Roman" w:eastAsia="仿宋"/>
          <w:color w:val="auto"/>
          <w:sz w:val="32"/>
          <w:szCs w:val="32"/>
          <w:highlight w:val="none"/>
        </w:rPr>
        <w:t>身份证复印件</w:t>
      </w:r>
      <w:r>
        <w:rPr>
          <w:rFonts w:hint="eastAsia" w:eastAsia="仿宋"/>
          <w:color w:val="auto"/>
          <w:sz w:val="32"/>
          <w:szCs w:val="32"/>
          <w:highlight w:val="none"/>
          <w:lang w:eastAsia="zh-CN"/>
        </w:rPr>
        <w:t>、《红枣期货车（船）板货物交收三方协议书》</w:t>
      </w:r>
      <w:r>
        <w:rPr>
          <w:rFonts w:hint="default" w:ascii="Times New Roman" w:hAnsi="Times New Roman" w:eastAsia="仿宋"/>
          <w:color w:val="auto"/>
          <w:sz w:val="32"/>
          <w:szCs w:val="32"/>
          <w:highlight w:val="none"/>
        </w:rPr>
        <w:t>《</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期货交收检验告知书》《</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期货货物交收时间确认表》《</w:t>
      </w:r>
      <w:r>
        <w:rPr>
          <w:rFonts w:hint="eastAsia" w:eastAsia="仿宋"/>
          <w:color w:val="auto"/>
          <w:sz w:val="32"/>
          <w:szCs w:val="32"/>
          <w:highlight w:val="none"/>
          <w:lang w:eastAsia="zh-CN"/>
        </w:rPr>
        <w:t>红枣</w:t>
      </w:r>
      <w:r>
        <w:rPr>
          <w:rFonts w:hint="default" w:ascii="Times New Roman" w:hAnsi="Times New Roman" w:eastAsia="仿宋"/>
          <w:color w:val="auto"/>
          <w:sz w:val="32"/>
          <w:szCs w:val="32"/>
          <w:highlight w:val="none"/>
        </w:rPr>
        <w:t>期货</w:t>
      </w:r>
      <w:r>
        <w:rPr>
          <w:rFonts w:hint="eastAsia" w:eastAsia="仿宋"/>
          <w:color w:val="auto"/>
          <w:sz w:val="32"/>
          <w:szCs w:val="32"/>
          <w:highlight w:val="none"/>
          <w:lang w:eastAsia="zh-CN"/>
        </w:rPr>
        <w:t>复检样品</w:t>
      </w:r>
      <w:r>
        <w:rPr>
          <w:rFonts w:hint="default" w:ascii="Times New Roman" w:hAnsi="Times New Roman" w:eastAsia="仿宋"/>
          <w:color w:val="auto"/>
          <w:sz w:val="32"/>
          <w:szCs w:val="32"/>
          <w:highlight w:val="none"/>
        </w:rPr>
        <w:t>确认</w:t>
      </w:r>
      <w:r>
        <w:rPr>
          <w:rFonts w:hint="eastAsia" w:eastAsia="仿宋"/>
          <w:color w:val="auto"/>
          <w:sz w:val="32"/>
          <w:szCs w:val="32"/>
          <w:highlight w:val="none"/>
          <w:lang w:eastAsia="zh-CN"/>
        </w:rPr>
        <w:t>书</w:t>
      </w:r>
      <w:r>
        <w:rPr>
          <w:rFonts w:hint="default" w:ascii="Times New Roman" w:hAnsi="Times New Roman" w:eastAsia="仿宋"/>
          <w:color w:val="auto"/>
          <w:sz w:val="32"/>
          <w:szCs w:val="32"/>
          <w:highlight w:val="none"/>
        </w:rPr>
        <w:t>》《质量验收确认单》《数量验收确认单</w:t>
      </w:r>
      <w:r>
        <w:rPr>
          <w:rFonts w:hint="eastAsia" w:eastAsia="仿宋"/>
          <w:color w:val="auto"/>
          <w:sz w:val="32"/>
          <w:szCs w:val="32"/>
          <w:highlight w:val="none"/>
          <w:lang w:eastAsia="zh-CN"/>
        </w:rPr>
        <w:t>》、各项费用收取及清退收据</w:t>
      </w:r>
      <w:r>
        <w:rPr>
          <w:rFonts w:hint="default" w:ascii="Times New Roman" w:hAnsi="Times New Roman" w:eastAsia="仿宋"/>
          <w:color w:val="auto"/>
          <w:sz w:val="32"/>
          <w:szCs w:val="32"/>
          <w:highlight w:val="none"/>
        </w:rPr>
        <w:t>等</w:t>
      </w:r>
      <w:r>
        <w:rPr>
          <w:rFonts w:hint="default" w:ascii="Times New Roman" w:hAnsi="Times New Roman" w:eastAsia="仿宋"/>
          <w:color w:val="auto"/>
          <w:sz w:val="32"/>
          <w:szCs w:val="32"/>
          <w:highlight w:val="none"/>
          <w:lang w:eastAsia="zh-CN"/>
        </w:rPr>
        <w:t>交割</w:t>
      </w:r>
      <w:r>
        <w:rPr>
          <w:rFonts w:hint="eastAsia" w:eastAsia="仿宋"/>
          <w:color w:val="auto"/>
          <w:sz w:val="32"/>
          <w:szCs w:val="32"/>
          <w:highlight w:val="none"/>
          <w:lang w:eastAsia="zh-CN"/>
        </w:rPr>
        <w:t>资料。质检机构应当妥善留存质检底稿及质检报告等各项材料。相关交割材料留存时间不少于</w:t>
      </w:r>
      <w:r>
        <w:rPr>
          <w:rFonts w:hint="eastAsia" w:ascii="仿宋" w:hAnsi="仿宋" w:eastAsia="仿宋" w:cs="仿宋"/>
          <w:color w:val="auto"/>
          <w:sz w:val="32"/>
          <w:szCs w:val="32"/>
          <w:highlight w:val="none"/>
          <w:lang w:val="en-US" w:eastAsia="zh-CN"/>
        </w:rPr>
        <w:t>3</w:t>
      </w:r>
      <w:r>
        <w:rPr>
          <w:rFonts w:hint="eastAsia" w:eastAsia="仿宋"/>
          <w:color w:val="auto"/>
          <w:sz w:val="32"/>
          <w:szCs w:val="32"/>
          <w:highlight w:val="none"/>
          <w:lang w:val="en-US" w:eastAsia="zh-CN"/>
        </w:rPr>
        <w:t>年。</w:t>
      </w:r>
    </w:p>
    <w:p>
      <w:pPr>
        <w:numPr>
          <w:ilvl w:val="0"/>
          <w:numId w:val="1"/>
        </w:numPr>
        <w:spacing w:before="156" w:beforeLines="50" w:after="156" w:afterLines="50"/>
        <w:ind w:left="0" w:leftChars="0" w:firstLine="709" w:firstLineChars="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交割服务机构质检水平</w:t>
      </w:r>
      <w:r>
        <w:rPr>
          <w:rFonts w:hint="eastAsia" w:ascii="仿宋" w:hAnsi="仿宋" w:eastAsia="仿宋"/>
          <w:color w:val="auto"/>
          <w:sz w:val="32"/>
          <w:szCs w:val="32"/>
          <w:highlight w:val="none"/>
          <w:lang w:val="en-US" w:eastAsia="zh-CN"/>
        </w:rPr>
        <w:t>作为交易所对交割服务机构的考核依据，</w:t>
      </w:r>
      <w:r>
        <w:rPr>
          <w:rFonts w:hint="eastAsia" w:ascii="仿宋" w:hAnsi="仿宋" w:eastAsia="仿宋"/>
          <w:color w:val="auto"/>
          <w:sz w:val="32"/>
          <w:szCs w:val="32"/>
          <w:highlight w:val="none"/>
          <w:lang w:eastAsia="zh-CN"/>
        </w:rPr>
        <w:t>交割服务机构</w:t>
      </w:r>
      <w:r>
        <w:rPr>
          <w:rFonts w:hint="eastAsia" w:ascii="仿宋" w:hAnsi="仿宋" w:eastAsia="仿宋"/>
          <w:color w:val="auto"/>
          <w:sz w:val="32"/>
          <w:szCs w:val="32"/>
          <w:highlight w:val="none"/>
          <w:lang w:val="en-US" w:eastAsia="zh-CN"/>
        </w:rPr>
        <w:t>预检结果与复检结果偏差较大的，交易所可以采取包括发送监管函、暂停部分或全部交割业务、暂停或取消车船板交割服务机构资格等措施。</w:t>
      </w:r>
    </w:p>
    <w:p>
      <w:pPr>
        <w:pStyle w:val="12"/>
        <w:numPr>
          <w:ilvl w:val="0"/>
          <w:numId w:val="1"/>
        </w:numPr>
        <w:ind w:left="-10" w:leftChars="0" w:firstLine="710" w:firstLineChars="0"/>
        <w:rPr>
          <w:rFonts w:hint="eastAsia" w:ascii="仿宋" w:hAnsi="仿宋" w:eastAsia="仿宋"/>
          <w:b w:val="0"/>
          <w:bCs/>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hint="eastAsia" w:ascii="仿宋" w:hAnsi="仿宋" w:eastAsia="仿宋"/>
          <w:b w:val="0"/>
          <w:bCs/>
          <w:color w:val="auto"/>
          <w:sz w:val="32"/>
          <w:szCs w:val="32"/>
          <w:highlight w:val="none"/>
          <w:lang w:val="en-US" w:eastAsia="zh-CN"/>
        </w:rPr>
        <w:t>交收客户不配合交割服务机构工作的，交割服务机构应当及时取证，并向交易所反映。</w:t>
      </w:r>
    </w:p>
    <w:p>
      <w:pPr>
        <w:pStyle w:val="12"/>
        <w:numPr>
          <w:ilvl w:val="0"/>
          <w:numId w:val="0"/>
        </w:numPr>
        <w:spacing w:before="0" w:beforeLines="0" w:after="0" w:afterLines="0"/>
        <w:ind w:left="0" w:firstLine="640" w:firstLineChars="200"/>
        <w:rPr>
          <w:rFonts w:hint="eastAsia" w:ascii="仿宋" w:hAnsi="仿宋" w:eastAsia="仿宋"/>
          <w:b/>
          <w:color w:val="auto"/>
          <w:sz w:val="32"/>
          <w:szCs w:val="32"/>
          <w:highlight w:val="none"/>
        </w:rPr>
      </w:pPr>
      <w:r>
        <w:rPr>
          <w:rFonts w:hint="eastAsia" w:ascii="Times New Roman" w:hAnsi="Times New Roman" w:eastAsia="仿宋"/>
          <w:color w:val="auto"/>
          <w:sz w:val="32"/>
          <w:szCs w:val="32"/>
          <w:highlight w:val="none"/>
          <w:lang w:val="en-US" w:eastAsia="zh-CN"/>
        </w:rPr>
        <w:t>买卖双方</w:t>
      </w:r>
      <w:r>
        <w:rPr>
          <w:rFonts w:hint="default" w:ascii="Times New Roman" w:hAnsi="Times New Roman" w:eastAsia="仿宋"/>
          <w:color w:val="auto"/>
          <w:sz w:val="32"/>
          <w:szCs w:val="32"/>
          <w:highlight w:val="none"/>
          <w:lang w:val="en-US" w:eastAsia="zh-CN"/>
        </w:rPr>
        <w:t>对交割服务机构工作有意见的，应当</w:t>
      </w:r>
      <w:r>
        <w:rPr>
          <w:rFonts w:hint="eastAsia" w:ascii="Times New Roman" w:hAnsi="Times New Roman" w:eastAsia="仿宋"/>
          <w:color w:val="auto"/>
          <w:sz w:val="32"/>
          <w:szCs w:val="32"/>
          <w:highlight w:val="none"/>
          <w:lang w:val="en-US" w:eastAsia="zh-CN"/>
        </w:rPr>
        <w:t>及时</w:t>
      </w:r>
      <w:r>
        <w:rPr>
          <w:rFonts w:hint="default" w:ascii="Times New Roman" w:hAnsi="Times New Roman" w:eastAsia="仿宋"/>
          <w:color w:val="auto"/>
          <w:sz w:val="32"/>
          <w:szCs w:val="32"/>
          <w:highlight w:val="none"/>
          <w:lang w:val="en-US" w:eastAsia="zh-CN"/>
        </w:rPr>
        <w:t>向</w:t>
      </w:r>
      <w:r>
        <w:rPr>
          <w:rFonts w:hint="eastAsia" w:ascii="Times New Roman" w:hAnsi="Times New Roman" w:eastAsia="仿宋"/>
          <w:color w:val="auto"/>
          <w:sz w:val="32"/>
          <w:szCs w:val="32"/>
          <w:highlight w:val="none"/>
          <w:lang w:val="en-US" w:eastAsia="zh-CN"/>
        </w:rPr>
        <w:t>交易所</w:t>
      </w:r>
      <w:r>
        <w:rPr>
          <w:rFonts w:hint="default" w:ascii="Times New Roman" w:hAnsi="Times New Roman" w:eastAsia="仿宋"/>
          <w:color w:val="auto"/>
          <w:sz w:val="32"/>
          <w:szCs w:val="32"/>
          <w:highlight w:val="none"/>
          <w:lang w:val="en-US" w:eastAsia="zh-CN"/>
        </w:rPr>
        <w:t>反映。</w:t>
      </w:r>
    </w:p>
    <w:p>
      <w:pPr>
        <w:numPr>
          <w:ilvl w:val="0"/>
          <w:numId w:val="1"/>
        </w:numPr>
        <w:spacing w:before="156" w:beforeLines="50" w:after="156" w:afterLines="50"/>
        <w:ind w:left="-79" w:firstLine="710"/>
        <w:rPr>
          <w:rFonts w:hint="eastAsia" w:ascii="仿宋" w:hAnsi="仿宋" w:eastAsia="仿宋"/>
          <w:b/>
          <w:color w:val="auto"/>
          <w:sz w:val="32"/>
          <w:szCs w:val="32"/>
          <w:highlight w:val="none"/>
        </w:rPr>
      </w:pPr>
      <w:r>
        <w:rPr>
          <w:rFonts w:hint="eastAsia" w:ascii="仿宋" w:hAnsi="仿宋" w:eastAsia="仿宋"/>
          <w:b w:val="0"/>
          <w:bCs/>
          <w:color w:val="auto"/>
          <w:sz w:val="32"/>
          <w:szCs w:val="32"/>
          <w:highlight w:val="none"/>
          <w:lang w:val="en-US" w:eastAsia="zh-CN"/>
        </w:rPr>
        <w:t xml:space="preserve"> </w:t>
      </w:r>
      <w:r>
        <w:rPr>
          <w:rFonts w:hint="default" w:ascii="Times New Roman" w:hAnsi="Times New Roman" w:eastAsia="仿宋"/>
          <w:color w:val="auto"/>
          <w:sz w:val="32"/>
          <w:szCs w:val="32"/>
          <w:highlight w:val="none"/>
          <w:lang w:eastAsia="zh-CN"/>
        </w:rPr>
        <w:t>交割服务机构</w:t>
      </w:r>
      <w:r>
        <w:rPr>
          <w:rFonts w:hint="eastAsia" w:eastAsia="仿宋"/>
          <w:color w:val="auto"/>
          <w:sz w:val="32"/>
          <w:szCs w:val="32"/>
          <w:highlight w:val="none"/>
          <w:lang w:eastAsia="zh-CN"/>
        </w:rPr>
        <w:t>、交收客户及其工作人员违反交易所规则的</w:t>
      </w:r>
      <w:r>
        <w:rPr>
          <w:rFonts w:hint="default" w:ascii="Times New Roman" w:hAnsi="Times New Roman" w:eastAsia="仿宋"/>
          <w:color w:val="auto"/>
          <w:sz w:val="32"/>
          <w:szCs w:val="32"/>
          <w:highlight w:val="none"/>
        </w:rPr>
        <w:t>，</w:t>
      </w:r>
      <w:r>
        <w:rPr>
          <w:rFonts w:hint="eastAsia" w:eastAsia="仿宋"/>
          <w:color w:val="auto"/>
          <w:sz w:val="32"/>
          <w:szCs w:val="32"/>
          <w:highlight w:val="none"/>
          <w:lang w:eastAsia="zh-CN"/>
        </w:rPr>
        <w:t>交易所可以</w:t>
      </w:r>
      <w:r>
        <w:rPr>
          <w:rFonts w:hint="default" w:ascii="Times New Roman" w:hAnsi="Times New Roman" w:eastAsia="仿宋"/>
          <w:color w:val="auto"/>
          <w:sz w:val="32"/>
          <w:szCs w:val="32"/>
          <w:highlight w:val="none"/>
        </w:rPr>
        <w:t>对其采取口头警示、</w:t>
      </w:r>
      <w:r>
        <w:rPr>
          <w:rFonts w:hint="eastAsia" w:eastAsia="仿宋"/>
          <w:color w:val="auto"/>
          <w:sz w:val="32"/>
          <w:szCs w:val="32"/>
          <w:highlight w:val="none"/>
          <w:lang w:eastAsia="zh-CN"/>
        </w:rPr>
        <w:t>出具</w:t>
      </w:r>
      <w:r>
        <w:rPr>
          <w:rFonts w:hint="default" w:ascii="Times New Roman" w:hAnsi="Times New Roman" w:eastAsia="仿宋"/>
          <w:color w:val="auto"/>
          <w:sz w:val="32"/>
          <w:szCs w:val="32"/>
          <w:highlight w:val="none"/>
        </w:rPr>
        <w:t>书面警示</w:t>
      </w:r>
      <w:r>
        <w:rPr>
          <w:rFonts w:hint="eastAsia" w:eastAsia="仿宋"/>
          <w:color w:val="auto"/>
          <w:sz w:val="32"/>
          <w:szCs w:val="32"/>
          <w:highlight w:val="none"/>
          <w:lang w:eastAsia="zh-CN"/>
        </w:rPr>
        <w:t>函、监管谈话、要求提交书面承诺等自律管理措施；情节严重的，根据《郑州商品交易所违规处理办法》有关规定给予纪律处分</w:t>
      </w:r>
      <w:r>
        <w:rPr>
          <w:rFonts w:hint="default" w:ascii="Times New Roman" w:hAnsi="Times New Roman" w:eastAsia="仿宋"/>
          <w:color w:val="auto"/>
          <w:sz w:val="32"/>
          <w:szCs w:val="32"/>
          <w:highlight w:val="none"/>
        </w:rPr>
        <w:t>。</w:t>
      </w:r>
    </w:p>
    <w:p>
      <w:pPr>
        <w:spacing w:before="156" w:beforeLines="50" w:after="156" w:afterLines="50"/>
        <w:jc w:val="center"/>
        <w:outlineLvl w:val="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eastAsia="zh-CN"/>
        </w:rPr>
        <w:t>六</w:t>
      </w:r>
      <w:r>
        <w:rPr>
          <w:rFonts w:hint="eastAsia" w:ascii="仿宋" w:hAnsi="仿宋" w:eastAsia="仿宋"/>
          <w:b/>
          <w:color w:val="auto"/>
          <w:sz w:val="32"/>
          <w:szCs w:val="32"/>
          <w:highlight w:val="none"/>
        </w:rPr>
        <w:t>章 附则</w:t>
      </w:r>
    </w:p>
    <w:p>
      <w:pPr>
        <w:pStyle w:val="12"/>
        <w:numPr>
          <w:ilvl w:val="0"/>
          <w:numId w:val="1"/>
        </w:numPr>
        <w:ind w:left="0" w:leftChars="0"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 xml:space="preserve"> </w:t>
      </w:r>
      <w:r>
        <w:rPr>
          <w:rFonts w:hint="eastAsia" w:ascii="仿宋" w:hAnsi="仿宋" w:eastAsia="仿宋"/>
          <w:color w:val="auto"/>
          <w:sz w:val="32"/>
          <w:szCs w:val="32"/>
          <w:highlight w:val="none"/>
        </w:rPr>
        <w:t>本指引由</w:t>
      </w:r>
      <w:r>
        <w:rPr>
          <w:rFonts w:hint="eastAsia" w:ascii="仿宋" w:hAnsi="仿宋" w:eastAsia="仿宋"/>
          <w:color w:val="auto"/>
          <w:sz w:val="32"/>
          <w:szCs w:val="32"/>
          <w:highlight w:val="none"/>
          <w:lang w:eastAsia="zh-CN"/>
        </w:rPr>
        <w:t>交易所</w:t>
      </w:r>
      <w:r>
        <w:rPr>
          <w:rFonts w:hint="eastAsia" w:ascii="仿宋" w:hAnsi="仿宋" w:eastAsia="仿宋"/>
          <w:color w:val="auto"/>
          <w:sz w:val="32"/>
          <w:szCs w:val="32"/>
          <w:highlight w:val="none"/>
        </w:rPr>
        <w:t>负责解释。</w:t>
      </w:r>
    </w:p>
    <w:p>
      <w:pPr>
        <w:pStyle w:val="12"/>
        <w:numPr>
          <w:ilvl w:val="0"/>
          <w:numId w:val="1"/>
        </w:numPr>
        <w:ind w:left="0" w:leftChars="0"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 xml:space="preserve"> </w:t>
      </w:r>
      <w:r>
        <w:rPr>
          <w:rFonts w:hint="eastAsia" w:ascii="仿宋" w:hAnsi="仿宋" w:eastAsia="仿宋"/>
          <w:color w:val="auto"/>
          <w:sz w:val="32"/>
          <w:szCs w:val="32"/>
          <w:highlight w:val="none"/>
        </w:rPr>
        <w:t>本指引自发布之日起施行。</w:t>
      </w: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default" w:ascii="Times New Roman" w:hAnsi="Times New Roman" w:eastAsia="仿宋" w:cs="Times New Roman"/>
          <w:b w:val="0"/>
          <w:bCs/>
          <w:sz w:val="32"/>
          <w:szCs w:val="32"/>
          <w:lang w:val="en-US" w:eastAsia="zh-CN"/>
        </w:rPr>
      </w:pP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11729"/>
    <w:multiLevelType w:val="multilevel"/>
    <w:tmpl w:val="2CC11729"/>
    <w:lvl w:ilvl="0" w:tentative="0">
      <w:start w:val="1"/>
      <w:numFmt w:val="chineseCountingThousand"/>
      <w:suff w:val="nothing"/>
      <w:lvlText w:val="第%1条"/>
      <w:lvlJc w:val="left"/>
      <w:pPr>
        <w:ind w:left="1340" w:hanging="420"/>
      </w:pPr>
      <w:rPr>
        <w:rFonts w:hint="eastAsia" w:ascii="仿宋" w:hAnsi="仿宋" w:eastAsia="仿宋"/>
        <w:b/>
        <w:sz w:val="32"/>
        <w:szCs w:val="32"/>
        <w:lang w:val="en-US"/>
      </w:rPr>
    </w:lvl>
    <w:lvl w:ilvl="1" w:tentative="0">
      <w:start w:val="1"/>
      <w:numFmt w:val="lowerLetter"/>
      <w:lvlText w:val="%2)"/>
      <w:lvlJc w:val="left"/>
      <w:pPr>
        <w:ind w:left="3247" w:hanging="420"/>
      </w:pPr>
    </w:lvl>
    <w:lvl w:ilvl="2" w:tentative="0">
      <w:start w:val="1"/>
      <w:numFmt w:val="lowerRoman"/>
      <w:lvlText w:val="%3."/>
      <w:lvlJc w:val="right"/>
      <w:pPr>
        <w:ind w:left="3667" w:hanging="420"/>
      </w:pPr>
    </w:lvl>
    <w:lvl w:ilvl="3" w:tentative="0">
      <w:start w:val="1"/>
      <w:numFmt w:val="decimal"/>
      <w:lvlText w:val="%4."/>
      <w:lvlJc w:val="left"/>
      <w:pPr>
        <w:ind w:left="4087" w:hanging="420"/>
      </w:pPr>
    </w:lvl>
    <w:lvl w:ilvl="4" w:tentative="0">
      <w:start w:val="1"/>
      <w:numFmt w:val="lowerLetter"/>
      <w:lvlText w:val="%5)"/>
      <w:lvlJc w:val="left"/>
      <w:pPr>
        <w:ind w:left="4507" w:hanging="420"/>
      </w:pPr>
    </w:lvl>
    <w:lvl w:ilvl="5" w:tentative="0">
      <w:start w:val="1"/>
      <w:numFmt w:val="lowerRoman"/>
      <w:lvlText w:val="%6."/>
      <w:lvlJc w:val="right"/>
      <w:pPr>
        <w:ind w:left="4927" w:hanging="420"/>
      </w:pPr>
    </w:lvl>
    <w:lvl w:ilvl="6" w:tentative="0">
      <w:start w:val="1"/>
      <w:numFmt w:val="decimal"/>
      <w:lvlText w:val="%7."/>
      <w:lvlJc w:val="left"/>
      <w:pPr>
        <w:ind w:left="5347" w:hanging="420"/>
      </w:pPr>
    </w:lvl>
    <w:lvl w:ilvl="7" w:tentative="0">
      <w:start w:val="1"/>
      <w:numFmt w:val="lowerLetter"/>
      <w:lvlText w:val="%8)"/>
      <w:lvlJc w:val="left"/>
      <w:pPr>
        <w:ind w:left="5767" w:hanging="420"/>
      </w:pPr>
    </w:lvl>
    <w:lvl w:ilvl="8" w:tentative="0">
      <w:start w:val="1"/>
      <w:numFmt w:val="lowerRoman"/>
      <w:lvlText w:val="%9."/>
      <w:lvlJc w:val="right"/>
      <w:pPr>
        <w:ind w:left="61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DA74C7D"/>
    <w:rsid w:val="1BFA17AF"/>
    <w:rsid w:val="1DCF53F6"/>
    <w:rsid w:val="1DE16C89"/>
    <w:rsid w:val="1FDBEB97"/>
    <w:rsid w:val="3BF7EF5E"/>
    <w:rsid w:val="3CF79110"/>
    <w:rsid w:val="3DFF726A"/>
    <w:rsid w:val="3F666086"/>
    <w:rsid w:val="3FFFF630"/>
    <w:rsid w:val="5D69A4CC"/>
    <w:rsid w:val="5EB9F0C3"/>
    <w:rsid w:val="6C7BB853"/>
    <w:rsid w:val="78031D0F"/>
    <w:rsid w:val="79BABAA2"/>
    <w:rsid w:val="7B9D195C"/>
    <w:rsid w:val="7BBF2DB4"/>
    <w:rsid w:val="7DDDA3F7"/>
    <w:rsid w:val="7FFC129E"/>
    <w:rsid w:val="8FF98ECB"/>
    <w:rsid w:val="BD964092"/>
    <w:rsid w:val="C6EF8E9B"/>
    <w:rsid w:val="DFCF18BE"/>
    <w:rsid w:val="F3CF16C8"/>
    <w:rsid w:val="F7EB0A65"/>
    <w:rsid w:val="F7F7B119"/>
    <w:rsid w:val="FE60809C"/>
    <w:rsid w:val="FFD81DBC"/>
    <w:rsid w:val="FFF66C9A"/>
    <w:rsid w:val="FFF72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en-US" w:eastAsia="zh-CN" w:bidi="ar-SA"/>
    </w:rPr>
  </w:style>
  <w:style w:type="paragraph" w:styleId="3">
    <w:name w:val="Date"/>
    <w:basedOn w:val="1"/>
    <w:next w:val="1"/>
    <w:link w:val="10"/>
    <w:qFormat/>
    <w:uiPriority w:val="0"/>
    <w:rPr>
      <w:rFonts w:ascii="仿宋_GB2312" w:eastAsia="仿宋_GB2312"/>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日期 Char"/>
    <w:basedOn w:val="7"/>
    <w:link w:val="3"/>
    <w:qFormat/>
    <w:uiPriority w:val="0"/>
    <w:rPr>
      <w:rFonts w:ascii="仿宋_GB2312" w:hAnsi="Times New Roman" w:eastAsia="仿宋_GB2312" w:cs="Times New Roman"/>
      <w:sz w:val="32"/>
      <w:szCs w:val="24"/>
    </w:rPr>
  </w:style>
  <w:style w:type="character" w:customStyle="1" w:styleId="11">
    <w:name w:val="页眉 Char"/>
    <w:basedOn w:val="7"/>
    <w:link w:val="5"/>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2901</Words>
  <Characters>2918</Characters>
  <Lines>2</Lines>
  <Paragraphs>1</Paragraphs>
  <TotalTime>1</TotalTime>
  <ScaleCrop>false</ScaleCrop>
  <LinksUpToDate>false</LinksUpToDate>
  <CharactersWithSpaces>3012</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2019-09-18T06:10:00Z</dcterms:created>
  <dc:creator>CN=李小鹏/OU=办公室/O=CZCE</dc:creator>
  <cp:lastModifiedBy>王新宇</cp:lastModifiedBy>
  <dcterms:modified xsi:type="dcterms:W3CDTF">2025-11-26T14:28:39Z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A8CBE1E9DD1F9ECF9CFC246935B97833</vt:lpwstr>
  </property>
</Properties>
</file>