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pPr>
        <w:pStyle w:val="2"/>
        <w:spacing w:before="0" w:after="0"/>
        <w:jc w:val="center"/>
        <w:rPr>
          <w:highlight w:val="none"/>
        </w:rPr>
      </w:pPr>
      <w:r>
        <w:rPr>
          <w:rFonts w:hint="eastAsia"/>
          <w:highlight w:val="none"/>
        </w:rPr>
        <w:t>郑州商品交易所动力煤期货业务细则</w:t>
      </w:r>
    </w:p>
    <w:p>
      <w:pPr>
        <w:spacing w:before="240" w:after="240"/>
        <w:ind w:firstLine="240" w:firstLineChars="100"/>
        <w:rPr>
          <w:rFonts w:ascii="Times New Roman" w:hAnsi="Times New Roman" w:eastAsia="楷体" w:cs="Times New Roman"/>
          <w:b/>
          <w:sz w:val="24"/>
          <w:szCs w:val="24"/>
          <w:highlight w:val="none"/>
        </w:rPr>
      </w:pPr>
      <w:r>
        <w:rPr>
          <w:rFonts w:hint="default" w:ascii="Times New Roman" w:hAnsi="Times New Roman"/>
          <w:sz w:val="24"/>
          <w:highlight w:val="none"/>
        </w:rPr>
        <w:t>（</w:t>
      </w:r>
      <w:r>
        <w:rPr>
          <w:rFonts w:hint="default" w:ascii="Times New Roman" w:hAnsi="Times New Roman" w:eastAsia="宋体" w:cs="Times New Roman"/>
          <w:b w:val="0"/>
          <w:bCs w:val="0"/>
          <w:color w:val="auto"/>
          <w:kern w:val="0"/>
          <w:sz w:val="24"/>
          <w:highlight w:val="none"/>
          <w:shd w:val="clear" w:color="auto" w:fill="FFFFFF"/>
          <w:lang w:val="en-US" w:eastAsia="zh-CN"/>
        </w:rPr>
        <w:t>2025年</w:t>
      </w:r>
      <w:r>
        <w:rPr>
          <w:rFonts w:hint="default" w:ascii="Times New Roman" w:hAnsi="Times New Roman" w:eastAsia="宋体" w:cs="Times New Roman"/>
          <w:sz w:val="24"/>
          <w:szCs w:val="24"/>
        </w:rPr>
        <w:t>6月</w:t>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日，郑州商品交易所第八届理事会第二十五次会议审议通过</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val="0"/>
          <w:bCs w:val="0"/>
          <w:color w:val="auto"/>
          <w:sz w:val="24"/>
          <w:szCs w:val="24"/>
          <w:highlight w:val="none"/>
          <w:lang w:val="en-US" w:eastAsia="zh-CN"/>
        </w:rPr>
        <w:t>适用于动力煤期货2511及后续合约，</w:t>
      </w:r>
      <w:r>
        <w:rPr>
          <w:rFonts w:hint="default" w:ascii="Times New Roman" w:hAnsi="Times New Roman" w:eastAsia="宋体" w:cs="Times New Roman"/>
          <w:b w:val="0"/>
          <w:bCs w:val="0"/>
          <w:color w:val="auto"/>
          <w:kern w:val="0"/>
          <w:sz w:val="24"/>
          <w:highlight w:val="none"/>
          <w:shd w:val="clear" w:color="auto" w:fill="FFFFFF"/>
        </w:rPr>
        <w:t>自</w:t>
      </w:r>
      <w:r>
        <w:rPr>
          <w:rFonts w:hint="default" w:ascii="Times New Roman" w:hAnsi="Times New Roman" w:eastAsia="宋体" w:cs="Times New Roman"/>
          <w:b w:val="0"/>
          <w:bCs w:val="0"/>
          <w:color w:val="auto"/>
          <w:kern w:val="0"/>
          <w:sz w:val="24"/>
          <w:highlight w:val="none"/>
          <w:shd w:val="clear" w:color="auto" w:fill="FFFFFF"/>
          <w:lang w:eastAsia="zh-CN"/>
        </w:rPr>
        <w:t>发布之日起施行</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sz w:val="24"/>
          <w:highlight w:val="none"/>
        </w:rPr>
        <w:t>）</w:t>
      </w:r>
    </w:p>
    <w:p>
      <w:pPr>
        <w:numPr>
          <w:ilvl w:val="0"/>
          <w:numId w:val="1"/>
        </w:numPr>
        <w:tabs>
          <w:tab w:val="left" w:pos="1620"/>
        </w:tabs>
        <w:autoSpaceDE w:val="0"/>
        <w:autoSpaceDN w:val="0"/>
        <w:jc w:val="center"/>
        <w:rPr>
          <w:rFonts w:ascii="黑体" w:hAnsi="黑体" w:eastAsia="黑体" w:cs="Times New Roman"/>
          <w:color w:val="000000"/>
          <w:sz w:val="30"/>
          <w:szCs w:val="30"/>
          <w:highlight w:val="none"/>
        </w:rPr>
      </w:pP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eastAsia="宋体" w:cs="宋体"/>
          <w:color w:val="000000"/>
          <w:kern w:val="0"/>
          <w:sz w:val="28"/>
          <w:szCs w:val="28"/>
          <w:highlight w:val="none"/>
        </w:rPr>
        <w:t>为了规范郑州商品交易所（以下简称交易所）动力煤期货相关业务，根据《郑州商品交易所交易规则》及动力煤期货合约，制定本细则。</w:t>
      </w:r>
    </w:p>
    <w:p>
      <w:pPr>
        <w:tabs>
          <w:tab w:val="left" w:pos="1620"/>
        </w:tabs>
        <w:autoSpaceDE w:val="0"/>
        <w:autoSpaceDN w:val="0"/>
        <w:ind w:firstLine="6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eastAsia="宋体" w:cs="宋体"/>
          <w:color w:val="000000"/>
          <w:kern w:val="0"/>
          <w:sz w:val="28"/>
          <w:szCs w:val="28"/>
          <w:highlight w:val="none"/>
        </w:rPr>
        <w:t>交易所、会员、客户、交割厂库（以下简称厂库）、指定质检机构、车（船）板交割服务机构（以下简称交割服务机构）及期货市场其他参与者应当遵守本细则。</w:t>
      </w:r>
    </w:p>
    <w:p>
      <w:pPr>
        <w:numPr>
          <w:ilvl w:val="0"/>
          <w:numId w:val="1"/>
        </w:num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eastAsia="宋体" w:cs="宋体"/>
          <w:color w:val="000000"/>
          <w:kern w:val="0"/>
          <w:sz w:val="28"/>
          <w:szCs w:val="28"/>
          <w:highlight w:val="none"/>
        </w:rPr>
        <w:t>动力煤期货合约交易单位为100吨/手。</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eastAsia="宋体" w:cs="宋体"/>
          <w:color w:val="000000"/>
          <w:kern w:val="0"/>
          <w:sz w:val="28"/>
          <w:szCs w:val="28"/>
          <w:highlight w:val="none"/>
        </w:rPr>
        <w:t>动力煤期货合约报价单位为元（人民币）/吨。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eastAsia="宋体" w:cs="宋体"/>
          <w:color w:val="000000"/>
          <w:kern w:val="0"/>
          <w:sz w:val="28"/>
          <w:szCs w:val="28"/>
          <w:highlight w:val="none"/>
        </w:rPr>
        <w:t>动力煤期货合约最小变动价位为0.2元/吨。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eastAsia="宋体" w:cs="宋体"/>
          <w:color w:val="000000"/>
          <w:kern w:val="0"/>
          <w:sz w:val="28"/>
          <w:szCs w:val="28"/>
          <w:highlight w:val="none"/>
        </w:rPr>
        <w:t>动力煤期货合约交割月份为1至12月。</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eastAsia="宋体" w:cs="宋体"/>
          <w:color w:val="000000"/>
          <w:kern w:val="0"/>
          <w:sz w:val="28"/>
          <w:szCs w:val="28"/>
          <w:highlight w:val="none"/>
        </w:rPr>
        <w:t>动力煤</w:t>
      </w:r>
      <w:r>
        <w:rPr>
          <w:rFonts w:ascii="宋体" w:hAnsi="宋体" w:eastAsia="宋体" w:cs="宋体"/>
          <w:color w:val="000000"/>
          <w:kern w:val="0"/>
          <w:sz w:val="28"/>
          <w:szCs w:val="28"/>
          <w:highlight w:val="none"/>
        </w:rPr>
        <w:t>期货</w:t>
      </w:r>
      <w:r>
        <w:rPr>
          <w:rFonts w:hint="eastAsia" w:ascii="宋体" w:hAnsi="宋体" w:eastAsia="宋体" w:cs="宋体"/>
          <w:color w:val="000000"/>
          <w:kern w:val="0"/>
          <w:sz w:val="28"/>
          <w:szCs w:val="28"/>
          <w:highlight w:val="none"/>
        </w:rPr>
        <w:t>合约交易指令</w:t>
      </w:r>
      <w:r>
        <w:rPr>
          <w:rFonts w:hint="eastAsia" w:ascii="Times New Roman" w:hAnsi="Times New Roman" w:eastAsia="宋体" w:cs="Times New Roman"/>
          <w:sz w:val="28"/>
          <w:szCs w:val="28"/>
          <w:highlight w:val="none"/>
        </w:rPr>
        <w:t>每次最小下单量</w:t>
      </w:r>
      <w:r>
        <w:rPr>
          <w:rFonts w:hint="eastAsia" w:ascii="宋体" w:hAnsi="宋体" w:cs="Times New Roman"/>
          <w:sz w:val="28"/>
          <w:szCs w:val="28"/>
          <w:highlight w:val="none"/>
        </w:rPr>
        <w:t>为1手，</w:t>
      </w:r>
      <w:r>
        <w:rPr>
          <w:rFonts w:hint="eastAsia" w:ascii="宋体" w:hAnsi="宋体" w:cs="宋体"/>
          <w:color w:val="000000"/>
          <w:kern w:val="0"/>
          <w:sz w:val="28"/>
          <w:szCs w:val="28"/>
          <w:highlight w:val="none"/>
        </w:rPr>
        <w:t>限</w:t>
      </w:r>
      <w:r>
        <w:rPr>
          <w:rFonts w:hint="eastAsia" w:ascii="宋体" w:hAnsi="宋体" w:eastAsia="宋体" w:cs="宋体"/>
          <w:color w:val="000000"/>
          <w:kern w:val="0"/>
          <w:sz w:val="28"/>
          <w:szCs w:val="28"/>
          <w:highlight w:val="none"/>
        </w:rPr>
        <w:t>价指令每次最大下单量为1000手，市价指令每次最大下单量为200手。</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sz w:val="28"/>
          <w:szCs w:val="28"/>
          <w:highlight w:val="none"/>
        </w:rPr>
        <w:t>交易所可以根据市场情况，对动力煤期货合约交易指令每次最小下单量、每次最大下单量进行调整，具体标准由交易所另行公布。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动力煤期货合约交易时间分为夜盘交易时间和日盘交易时间。夜盘交易时间为下午21:00—23：00。日盘交易时间为上午9:00—11:30，下午13:30—15:00；其中，上午10:15—10:30为休息时间。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Times New Roman"/>
          <w:sz w:val="28"/>
          <w:szCs w:val="28"/>
          <w:highlight w:val="none"/>
        </w:rPr>
        <w:t>交易所暂停、取消动力煤期货夜盘交易或者对夜盘交易时间进行调整的，以交易所公告为准。</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eastAsia="宋体" w:cs="宋体"/>
          <w:color w:val="000000"/>
          <w:kern w:val="0"/>
          <w:sz w:val="28"/>
          <w:szCs w:val="28"/>
          <w:highlight w:val="none"/>
        </w:rPr>
        <w:t>动力煤期货合约最后交易日为合约交割月份的第5个交易日。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eastAsia="宋体" w:cs="宋体"/>
          <w:color w:val="000000"/>
          <w:kern w:val="0"/>
          <w:sz w:val="28"/>
          <w:szCs w:val="28"/>
          <w:highlight w:val="none"/>
        </w:rPr>
        <w:t>动力煤期货合约交易代码为Z</w:t>
      </w:r>
      <w:r>
        <w:rPr>
          <w:rFonts w:ascii="宋体" w:hAnsi="宋体" w:eastAsia="宋体" w:cs="宋体"/>
          <w:color w:val="000000"/>
          <w:kern w:val="0"/>
          <w:sz w:val="28"/>
          <w:szCs w:val="28"/>
          <w:highlight w:val="none"/>
        </w:rPr>
        <w:t>C。</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w:t>
      </w:r>
      <w:r>
        <w:rPr>
          <w:rFonts w:ascii="黑体" w:hAnsi="黑体" w:eastAsia="黑体" w:cs="宋体"/>
          <w:color w:val="000000"/>
          <w:kern w:val="0"/>
          <w:sz w:val="30"/>
          <w:szCs w:val="30"/>
          <w:highlight w:val="none"/>
        </w:rPr>
        <w:t>三</w:t>
      </w:r>
      <w:r>
        <w:rPr>
          <w:rFonts w:hint="eastAsia" w:ascii="黑体" w:hAnsi="黑体" w:eastAsia="黑体" w:cs="宋体"/>
          <w:color w:val="000000"/>
          <w:kern w:val="0"/>
          <w:sz w:val="30"/>
          <w:szCs w:val="30"/>
          <w:highlight w:val="none"/>
        </w:rPr>
        <w:t xml:space="preserve">章 交割业务 </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第一节 一般规定</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eastAsia="宋体" w:cs="宋体"/>
          <w:color w:val="000000"/>
          <w:kern w:val="0"/>
          <w:sz w:val="28"/>
          <w:szCs w:val="28"/>
          <w:highlight w:val="none"/>
        </w:rPr>
        <w:t>动力煤期货适用期货转现货、厂库标准仓单交割和车（船）板交割。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动力煤期货滚动交割的配对方式为响应配对。</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eastAsia="宋体" w:cs="宋体"/>
          <w:color w:val="000000"/>
          <w:kern w:val="0"/>
          <w:sz w:val="28"/>
          <w:szCs w:val="28"/>
          <w:highlight w:val="none"/>
        </w:rPr>
        <w:t>动力煤期货的交割单位为</w:t>
      </w:r>
      <w:r>
        <w:rPr>
          <w:rFonts w:ascii="宋体" w:hAnsi="宋体" w:eastAsia="宋体" w:cs="宋体"/>
          <w:color w:val="000000"/>
          <w:kern w:val="0"/>
          <w:sz w:val="28"/>
          <w:szCs w:val="28"/>
          <w:highlight w:val="none"/>
        </w:rPr>
        <w:t>20</w:t>
      </w:r>
      <w:r>
        <w:rPr>
          <w:rFonts w:hint="eastAsia" w:ascii="宋体" w:hAnsi="宋体" w:eastAsia="宋体" w:cs="宋体"/>
          <w:color w:val="000000"/>
          <w:kern w:val="0"/>
          <w:sz w:val="28"/>
          <w:szCs w:val="28"/>
          <w:highlight w:val="none"/>
        </w:rPr>
        <w:t>000</w:t>
      </w:r>
      <w:r>
        <w:rPr>
          <w:rFonts w:ascii="宋体" w:hAnsi="宋体" w:eastAsia="宋体" w:cs="宋体"/>
          <w:color w:val="000000"/>
          <w:kern w:val="0"/>
          <w:sz w:val="28"/>
          <w:szCs w:val="28"/>
          <w:highlight w:val="none"/>
        </w:rPr>
        <w:t>吨</w:t>
      </w:r>
      <w:r>
        <w:rPr>
          <w:rFonts w:hint="eastAsia" w:ascii="宋体" w:hAnsi="宋体" w:eastAsia="宋体" w:cs="宋体"/>
          <w:color w:val="000000"/>
          <w:kern w:val="0"/>
          <w:sz w:val="28"/>
          <w:szCs w:val="28"/>
          <w:highlight w:val="none"/>
        </w:rPr>
        <w:t>。</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第十三</w:t>
      </w:r>
      <w:r>
        <w:rPr>
          <w:rFonts w:ascii="黑体" w:hAnsi="黑体" w:eastAsia="黑体" w:cs="宋体"/>
          <w:color w:val="000000"/>
          <w:kern w:val="0"/>
          <w:sz w:val="28"/>
          <w:szCs w:val="28"/>
          <w:highlight w:val="none"/>
        </w:rPr>
        <w:t xml:space="preserve">条 </w:t>
      </w:r>
      <w:r>
        <w:rPr>
          <w:rFonts w:hint="eastAsia" w:ascii="宋体" w:hAnsi="宋体" w:eastAsia="宋体" w:cs="宋体"/>
          <w:color w:val="000000"/>
          <w:kern w:val="0"/>
          <w:sz w:val="28"/>
          <w:szCs w:val="28"/>
          <w:highlight w:val="none"/>
        </w:rPr>
        <w:t>动力煤期货标准仓单交割的最后交割日为合约交割月份的第8个交易日；车（船）板交割的最后交割日为合约交割月份的最后一个日历日。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eastAsia="宋体" w:cs="宋体"/>
          <w:color w:val="000000"/>
          <w:kern w:val="0"/>
          <w:sz w:val="28"/>
          <w:szCs w:val="28"/>
          <w:highlight w:val="none"/>
        </w:rPr>
        <w:t>动力煤期货标准仓单为厂库标准仓单。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动力煤期货标准仓单为非通用标准仓单。</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eastAsia="宋体" w:cs="宋体"/>
          <w:kern w:val="0"/>
          <w:sz w:val="28"/>
          <w:szCs w:val="28"/>
          <w:highlight w:val="none"/>
        </w:rPr>
        <w:t>每年</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月、</w:t>
      </w:r>
      <w:r>
        <w:rPr>
          <w:rFonts w:ascii="宋体" w:hAnsi="宋体" w:eastAsia="宋体" w:cs="宋体"/>
          <w:kern w:val="0"/>
          <w:sz w:val="28"/>
          <w:szCs w:val="28"/>
          <w:highlight w:val="none"/>
        </w:rPr>
        <w:t>11</w:t>
      </w:r>
      <w:r>
        <w:rPr>
          <w:rFonts w:hint="eastAsia" w:ascii="宋体" w:hAnsi="宋体" w:eastAsia="宋体" w:cs="宋体"/>
          <w:kern w:val="0"/>
          <w:sz w:val="28"/>
          <w:szCs w:val="28"/>
          <w:highlight w:val="none"/>
        </w:rPr>
        <w:t>月第10个交易日之前（含该日）注册的动力煤期货标准仓单，应当在当年5月、11月的第</w:t>
      </w:r>
      <w:r>
        <w:rPr>
          <w:rFonts w:ascii="宋体" w:hAnsi="宋体" w:eastAsia="宋体" w:cs="宋体"/>
          <w:kern w:val="0"/>
          <w:sz w:val="28"/>
          <w:szCs w:val="28"/>
          <w:highlight w:val="none"/>
        </w:rPr>
        <w:t>10</w:t>
      </w:r>
      <w:r>
        <w:rPr>
          <w:rFonts w:hint="eastAsia" w:ascii="宋体" w:hAnsi="宋体" w:eastAsia="宋体" w:cs="宋体"/>
          <w:kern w:val="0"/>
          <w:sz w:val="28"/>
          <w:szCs w:val="28"/>
          <w:highlight w:val="none"/>
        </w:rPr>
        <w:t>个交易日之前（含该日）全部注销。</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eastAsia="宋体" w:cs="宋体"/>
          <w:color w:val="000000"/>
          <w:kern w:val="0"/>
          <w:sz w:val="28"/>
          <w:szCs w:val="28"/>
          <w:highlight w:val="none"/>
        </w:rPr>
        <w:t>动力煤期货交割开具增值税专用发票。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ascii="宋体" w:hAnsi="宋体" w:eastAsia="宋体" w:cs="宋体"/>
          <w:kern w:val="0"/>
          <w:sz w:val="28"/>
          <w:szCs w:val="28"/>
          <w:highlight w:val="none"/>
        </w:rPr>
        <w:t>动力煤期货厂库</w:t>
      </w:r>
      <w:r>
        <w:rPr>
          <w:rFonts w:hint="eastAsia" w:ascii="宋体" w:hAnsi="宋体" w:eastAsia="宋体" w:cs="宋体"/>
          <w:kern w:val="0"/>
          <w:sz w:val="28"/>
          <w:szCs w:val="28"/>
          <w:highlight w:val="none"/>
        </w:rPr>
        <w:t>、交割服务机构</w:t>
      </w:r>
      <w:r>
        <w:rPr>
          <w:rFonts w:ascii="宋体" w:hAnsi="宋体" w:eastAsia="宋体" w:cs="宋体"/>
          <w:kern w:val="0"/>
          <w:sz w:val="28"/>
          <w:szCs w:val="28"/>
          <w:highlight w:val="none"/>
        </w:rPr>
        <w:t>及</w:t>
      </w:r>
      <w:r>
        <w:rPr>
          <w:rFonts w:hint="eastAsia" w:ascii="宋体" w:hAnsi="宋体" w:eastAsia="宋体" w:cs="宋体"/>
          <w:kern w:val="0"/>
          <w:sz w:val="28"/>
          <w:szCs w:val="28"/>
          <w:highlight w:val="none"/>
        </w:rPr>
        <w:t>相关</w:t>
      </w:r>
      <w:r>
        <w:rPr>
          <w:rFonts w:ascii="宋体" w:hAnsi="宋体" w:eastAsia="宋体" w:cs="宋体"/>
          <w:kern w:val="0"/>
          <w:sz w:val="28"/>
          <w:szCs w:val="28"/>
          <w:highlight w:val="none"/>
        </w:rPr>
        <w:t>升贴水由交易所确定并公布</w:t>
      </w:r>
      <w:r>
        <w:rPr>
          <w:rFonts w:hint="eastAsia" w:ascii="宋体" w:hAnsi="宋体" w:eastAsia="宋体" w:cs="宋体"/>
          <w:kern w:val="0"/>
          <w:sz w:val="28"/>
          <w:szCs w:val="28"/>
          <w:highlight w:val="none"/>
        </w:rPr>
        <w:t>，交易所可以视情况对</w:t>
      </w:r>
      <w:r>
        <w:rPr>
          <w:rFonts w:ascii="宋体" w:hAnsi="宋体" w:eastAsia="宋体" w:cs="宋体"/>
          <w:kern w:val="0"/>
          <w:sz w:val="28"/>
          <w:szCs w:val="28"/>
          <w:highlight w:val="none"/>
        </w:rPr>
        <w:t>动力煤</w:t>
      </w:r>
      <w:r>
        <w:rPr>
          <w:rFonts w:hint="eastAsia" w:ascii="宋体" w:hAnsi="宋体" w:eastAsia="宋体" w:cs="宋体"/>
          <w:kern w:val="0"/>
          <w:sz w:val="28"/>
          <w:szCs w:val="28"/>
          <w:highlight w:val="none"/>
        </w:rPr>
        <w:t>期货厂库、交割服务机构及相关升贴水进行调整。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eastAsia="宋体" w:cs="宋体"/>
          <w:color w:val="000000"/>
          <w:kern w:val="0"/>
          <w:sz w:val="28"/>
          <w:szCs w:val="28"/>
          <w:highlight w:val="none"/>
        </w:rPr>
        <w:t>动力煤期货的交割基准价为基准交割品在基准交割地车（船）板交货的含税价格。</w:t>
      </w:r>
    </w:p>
    <w:p>
      <w:pPr>
        <w:tabs>
          <w:tab w:val="left" w:pos="1620"/>
        </w:tabs>
        <w:autoSpaceDE w:val="0"/>
        <w:autoSpaceDN w:val="0"/>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eastAsia="宋体" w:cs="宋体"/>
          <w:color w:val="000000"/>
          <w:kern w:val="0"/>
          <w:sz w:val="28"/>
          <w:szCs w:val="28"/>
          <w:highlight w:val="none"/>
        </w:rPr>
        <w:t>车（船）板动力煤交割时，动力煤装至汽车板或者轮船板前的一切费用由卖方客户承担，之后的一切费用由买方客户承担。</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厂库标准仓单动力煤出库时，用汽车或者轮船提货的，动力煤装至汽车板或者轮船板前的一切费用由厂库承担，之后的一切费用由提货人承担；用火车提货的，动力煤装至短倒车辆车板前的一切费用由厂库承担，之后的一切费用由提货人承担。</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动力煤期货交割手续费、仓储费、检验费等交割相关费用标准由交易所另行公布。</w:t>
      </w:r>
    </w:p>
    <w:p>
      <w:pPr>
        <w:tabs>
          <w:tab w:val="left" w:pos="1620"/>
        </w:tabs>
        <w:autoSpaceDE w:val="0"/>
        <w:autoSpaceDN w:val="0"/>
        <w:ind w:firstLine="560" w:firstLineChars="200"/>
        <w:jc w:val="left"/>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eastAsia="宋体" w:cs="宋体"/>
          <w:kern w:val="0"/>
          <w:sz w:val="28"/>
          <w:szCs w:val="28"/>
          <w:highlight w:val="none"/>
        </w:rPr>
        <w:t>动力煤期货标准仓单生成、流通、注销等相关业务，本细则未规定的，适用《郑州商品交易所标准仓单管理办法》相关规定。</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第二节 交割标准</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第二十一</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ascii="宋体" w:hAnsi="宋体" w:eastAsia="宋体" w:cs="宋体"/>
          <w:kern w:val="0"/>
          <w:sz w:val="28"/>
          <w:szCs w:val="28"/>
          <w:highlight w:val="none"/>
        </w:rPr>
        <w:t>动力煤交割检验指标检测方法适用国家相关标准。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eastAsia="宋体" w:cs="宋体"/>
          <w:bCs w:val="0"/>
          <w:kern w:val="0"/>
          <w:sz w:val="28"/>
          <w:szCs w:val="28"/>
          <w:highlight w:val="none"/>
        </w:rPr>
        <w:t>基准交割品：收到基低位发热量为5</w:t>
      </w:r>
      <w:r>
        <w:rPr>
          <w:rFonts w:hint="eastAsia" w:ascii="宋体" w:hAnsi="宋体" w:eastAsia="宋体" w:cs="宋体"/>
          <w:bCs w:val="0"/>
          <w:kern w:val="0"/>
          <w:sz w:val="28"/>
          <w:szCs w:val="28"/>
          <w:highlight w:val="none"/>
          <w:lang w:val="en-US" w:eastAsia="zh-CN"/>
        </w:rPr>
        <w:t>0</w:t>
      </w:r>
      <w:r>
        <w:rPr>
          <w:rFonts w:hint="eastAsia" w:ascii="宋体" w:hAnsi="宋体" w:eastAsia="宋体" w:cs="宋体"/>
          <w:bCs w:val="0"/>
          <w:kern w:val="0"/>
          <w:sz w:val="28"/>
          <w:szCs w:val="28"/>
          <w:highlight w:val="none"/>
        </w:rPr>
        <w:t>00千卡/千克，干燥基全硫≤0.8%，30%≤干燥无灰基挥发分≤42%，干燥基灰分≤30%，全水≤25%的动力煤。</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ascii="宋体" w:hAnsi="宋体" w:eastAsia="宋体" w:cs="宋体"/>
          <w:kern w:val="0"/>
          <w:sz w:val="28"/>
          <w:szCs w:val="28"/>
          <w:highlight w:val="none"/>
        </w:rPr>
        <w:t>替代交割品及升贴水：收到基低位发热量≥</w:t>
      </w:r>
      <w:r>
        <w:rPr>
          <w:rFonts w:ascii="宋体" w:hAnsi="宋体" w:eastAsia="宋体" w:cs="宋体"/>
          <w:kern w:val="0"/>
          <w:sz w:val="28"/>
          <w:szCs w:val="28"/>
          <w:highlight w:val="none"/>
        </w:rPr>
        <w:t>4300</w:t>
      </w:r>
      <w:r>
        <w:rPr>
          <w:rFonts w:hint="eastAsia" w:ascii="宋体" w:hAnsi="宋体" w:eastAsia="宋体" w:cs="宋体"/>
          <w:kern w:val="0"/>
          <w:sz w:val="28"/>
          <w:szCs w:val="28"/>
          <w:highlight w:val="none"/>
        </w:rPr>
        <w:t>千卡</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千克，干燥基全硫≤</w:t>
      </w:r>
      <w:r>
        <w:rPr>
          <w:rFonts w:ascii="宋体" w:hAnsi="宋体" w:eastAsia="宋体" w:cs="宋体"/>
          <w:kern w:val="0"/>
          <w:sz w:val="28"/>
          <w:szCs w:val="28"/>
          <w:highlight w:val="none"/>
        </w:rPr>
        <w:t>1.5%</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30%</w:t>
      </w:r>
      <w:r>
        <w:rPr>
          <w:rFonts w:hint="eastAsia" w:ascii="宋体" w:hAnsi="宋体" w:eastAsia="宋体" w:cs="宋体"/>
          <w:kern w:val="0"/>
          <w:sz w:val="28"/>
          <w:szCs w:val="28"/>
          <w:highlight w:val="none"/>
        </w:rPr>
        <w:t>≤干燥无灰基挥发分≤</w:t>
      </w:r>
      <w:r>
        <w:rPr>
          <w:rFonts w:ascii="宋体" w:hAnsi="宋体" w:eastAsia="宋体" w:cs="宋体"/>
          <w:kern w:val="0"/>
          <w:sz w:val="28"/>
          <w:szCs w:val="28"/>
          <w:highlight w:val="none"/>
        </w:rPr>
        <w:t>42%</w:t>
      </w:r>
      <w:r>
        <w:rPr>
          <w:rFonts w:hint="eastAsia" w:ascii="宋体" w:hAnsi="宋体" w:eastAsia="宋体" w:cs="宋体"/>
          <w:kern w:val="0"/>
          <w:sz w:val="28"/>
          <w:szCs w:val="28"/>
          <w:highlight w:val="none"/>
        </w:rPr>
        <w:t>，干燥基灰分≤</w:t>
      </w:r>
      <w:r>
        <w:rPr>
          <w:rFonts w:ascii="宋体" w:hAnsi="宋体" w:eastAsia="宋体" w:cs="宋体"/>
          <w:kern w:val="0"/>
          <w:sz w:val="28"/>
          <w:szCs w:val="28"/>
          <w:highlight w:val="none"/>
        </w:rPr>
        <w:t>30%</w:t>
      </w:r>
      <w:r>
        <w:rPr>
          <w:rFonts w:hint="eastAsia" w:ascii="宋体" w:hAnsi="宋体" w:eastAsia="宋体" w:cs="宋体"/>
          <w:kern w:val="0"/>
          <w:sz w:val="28"/>
          <w:szCs w:val="28"/>
          <w:highlight w:val="none"/>
        </w:rPr>
        <w:t>的动力煤。</w:t>
      </w:r>
    </w:p>
    <w:p>
      <w:pPr>
        <w:widowControl/>
        <w:ind w:firstLine="560" w:firstLineChars="200"/>
        <w:rPr>
          <w:rFonts w:ascii="宋体" w:hAnsi="宋体" w:eastAsia="宋体" w:cs="宋体"/>
          <w:kern w:val="0"/>
          <w:sz w:val="28"/>
          <w:szCs w:val="28"/>
          <w:highlight w:val="none"/>
        </w:rPr>
      </w:pPr>
      <w:r>
        <w:rPr>
          <w:rFonts w:hint="default" w:ascii="宋体" w:hAnsi="宋体" w:eastAsia="宋体" w:cs="宋体"/>
          <w:bCs w:val="0"/>
          <w:kern w:val="0"/>
          <w:sz w:val="28"/>
          <w:szCs w:val="28"/>
          <w:highlight w:val="none"/>
          <w:lang w:val="en-US" w:eastAsia="zh-CN"/>
        </w:rPr>
        <w:t>4300千卡/千克≤收到基低位发热量＜4800千卡/千克时，货款结算价（四舍五入，保留小数点后两位）=交割结算价×0.84/4500×实测发热量；4800千卡/千克≤收到基低位发热量＜5300千卡/千克时，货款结算价（四舍五入，保留小数点后两位）=交割结算价/5000×实测发热量；收到基低位发热量≥5300千卡/千克时，货款结算价（四舍五入，保留小数点后两位）=交割结算价×1.11/5500×实测发热量；收到基低位发热量超过6000千卡/千克的，按6000千卡/千克计算货款。</w:t>
      </w:r>
    </w:p>
    <w:p>
      <w:pPr>
        <w:widowControl/>
        <w:ind w:firstLine="560" w:firstLineChars="200"/>
        <w:rPr>
          <w:rFonts w:ascii="宋体" w:hAnsi="宋体" w:eastAsia="宋体" w:cs="宋体"/>
          <w:kern w:val="0"/>
          <w:sz w:val="28"/>
          <w:szCs w:val="28"/>
          <w:highlight w:val="none"/>
        </w:rPr>
      </w:pPr>
      <w:r>
        <w:rPr>
          <w:rFonts w:ascii="宋体" w:hAnsi="宋体" w:eastAsia="宋体" w:cs="宋体"/>
          <w:kern w:val="0"/>
          <w:sz w:val="28"/>
          <w:szCs w:val="28"/>
          <w:highlight w:val="none"/>
        </w:rPr>
        <w:t>0.8%</w:t>
      </w:r>
      <w:r>
        <w:rPr>
          <w:rFonts w:hint="eastAsia" w:ascii="宋体" w:hAnsi="宋体" w:eastAsia="宋体" w:cs="宋体"/>
          <w:kern w:val="0"/>
          <w:sz w:val="28"/>
          <w:szCs w:val="28"/>
          <w:highlight w:val="none"/>
        </w:rPr>
        <w:t>＜干燥基全硫≤</w:t>
      </w:r>
      <w:r>
        <w:rPr>
          <w:rFonts w:ascii="宋体" w:hAnsi="宋体" w:eastAsia="宋体" w:cs="宋体"/>
          <w:kern w:val="0"/>
          <w:sz w:val="28"/>
          <w:szCs w:val="28"/>
          <w:highlight w:val="none"/>
        </w:rPr>
        <w:t>1.5%</w:t>
      </w:r>
      <w:r>
        <w:rPr>
          <w:rFonts w:hint="eastAsia" w:ascii="宋体" w:hAnsi="宋体" w:eastAsia="宋体" w:cs="宋体"/>
          <w:kern w:val="0"/>
          <w:sz w:val="28"/>
          <w:szCs w:val="28"/>
          <w:highlight w:val="none"/>
        </w:rPr>
        <w:t>时，以</w:t>
      </w:r>
      <w:r>
        <w:rPr>
          <w:rFonts w:ascii="宋体" w:hAnsi="宋体" w:eastAsia="宋体" w:cs="宋体"/>
          <w:kern w:val="0"/>
          <w:sz w:val="28"/>
          <w:szCs w:val="28"/>
          <w:highlight w:val="none"/>
        </w:rPr>
        <w:t>0.8%</w:t>
      </w:r>
      <w:r>
        <w:rPr>
          <w:rFonts w:hint="eastAsia" w:ascii="宋体" w:hAnsi="宋体" w:eastAsia="宋体" w:cs="宋体"/>
          <w:kern w:val="0"/>
          <w:sz w:val="28"/>
          <w:szCs w:val="28"/>
          <w:highlight w:val="none"/>
        </w:rPr>
        <w:t>为基准，每高</w:t>
      </w:r>
      <w:r>
        <w:rPr>
          <w:rFonts w:ascii="宋体" w:hAnsi="宋体" w:eastAsia="宋体" w:cs="宋体"/>
          <w:kern w:val="0"/>
          <w:sz w:val="28"/>
          <w:szCs w:val="28"/>
          <w:highlight w:val="none"/>
        </w:rPr>
        <w:t>0.1</w:t>
      </w:r>
      <w:r>
        <w:rPr>
          <w:rFonts w:hint="eastAsia" w:ascii="宋体" w:hAnsi="宋体" w:eastAsia="宋体" w:cs="宋体"/>
          <w:kern w:val="0"/>
          <w:sz w:val="28"/>
          <w:szCs w:val="28"/>
          <w:highlight w:val="none"/>
        </w:rPr>
        <w:t>（四舍五入，保留小数点后一位）个百分点，贴水</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吨。</w:t>
      </w:r>
    </w:p>
    <w:p>
      <w:pPr>
        <w:widowControl/>
        <w:ind w:firstLine="560" w:firstLineChars="200"/>
        <w:rPr>
          <w:rFonts w:ascii="宋体" w:hAnsi="宋体" w:eastAsia="宋体" w:cs="宋体"/>
          <w:color w:val="FF0000"/>
          <w:spacing w:val="-6"/>
          <w:kern w:val="0"/>
          <w:sz w:val="28"/>
          <w:szCs w:val="28"/>
          <w:highlight w:val="none"/>
        </w:rPr>
      </w:pPr>
      <w:r>
        <w:rPr>
          <w:rFonts w:hint="eastAsia" w:ascii="宋体" w:hAnsi="宋体" w:eastAsia="宋体" w:cs="宋体"/>
          <w:kern w:val="0"/>
          <w:sz w:val="28"/>
          <w:szCs w:val="28"/>
          <w:highlight w:val="none"/>
        </w:rPr>
        <w:t>全水＞</w:t>
      </w:r>
      <w:r>
        <w:rPr>
          <w:rFonts w:ascii="宋体" w:hAnsi="宋体" w:eastAsia="宋体" w:cs="宋体"/>
          <w:kern w:val="0"/>
          <w:sz w:val="28"/>
          <w:szCs w:val="28"/>
          <w:highlight w:val="none"/>
        </w:rPr>
        <w:t>25%</w:t>
      </w:r>
      <w:r>
        <w:rPr>
          <w:rFonts w:hint="eastAsia" w:ascii="宋体" w:hAnsi="宋体" w:eastAsia="宋体" w:cs="宋体"/>
          <w:kern w:val="0"/>
          <w:sz w:val="28"/>
          <w:szCs w:val="28"/>
          <w:highlight w:val="none"/>
        </w:rPr>
        <w:t>的动力煤可以交割。全水＞</w:t>
      </w:r>
      <w:r>
        <w:rPr>
          <w:rFonts w:ascii="宋体" w:hAnsi="宋体" w:eastAsia="宋体" w:cs="宋体"/>
          <w:kern w:val="0"/>
          <w:sz w:val="28"/>
          <w:szCs w:val="28"/>
          <w:highlight w:val="none"/>
        </w:rPr>
        <w:t>25%</w:t>
      </w:r>
      <w:r>
        <w:rPr>
          <w:rFonts w:hint="eastAsia" w:ascii="宋体" w:hAnsi="宋体" w:eastAsia="宋体" w:cs="宋体"/>
          <w:kern w:val="0"/>
          <w:sz w:val="28"/>
          <w:szCs w:val="28"/>
          <w:highlight w:val="none"/>
        </w:rPr>
        <w:t>时，以</w:t>
      </w:r>
      <w:r>
        <w:rPr>
          <w:rFonts w:ascii="宋体" w:hAnsi="宋体" w:eastAsia="宋体" w:cs="宋体"/>
          <w:kern w:val="0"/>
          <w:sz w:val="28"/>
          <w:szCs w:val="28"/>
          <w:highlight w:val="none"/>
        </w:rPr>
        <w:t>25%</w:t>
      </w:r>
      <w:r>
        <w:rPr>
          <w:rFonts w:hint="eastAsia" w:ascii="宋体" w:hAnsi="宋体" w:eastAsia="宋体" w:cs="宋体"/>
          <w:kern w:val="0"/>
          <w:sz w:val="28"/>
          <w:szCs w:val="28"/>
          <w:highlight w:val="none"/>
        </w:rPr>
        <w:t>为基准，按照超出部分（四舍五入，保留小数点后一位）扣减重量。例如，实测全水为</w:t>
      </w:r>
      <w:r>
        <w:rPr>
          <w:rFonts w:ascii="宋体" w:hAnsi="宋体" w:eastAsia="宋体" w:cs="宋体"/>
          <w:kern w:val="0"/>
          <w:sz w:val="28"/>
          <w:szCs w:val="28"/>
          <w:highlight w:val="none"/>
        </w:rPr>
        <w:t>26.32%</w:t>
      </w:r>
      <w:r>
        <w:rPr>
          <w:rFonts w:hint="eastAsia" w:ascii="宋体" w:hAnsi="宋体" w:eastAsia="宋体" w:cs="宋体"/>
          <w:kern w:val="0"/>
          <w:sz w:val="28"/>
          <w:szCs w:val="28"/>
          <w:highlight w:val="none"/>
        </w:rPr>
        <w:t>，扣重</w:t>
      </w:r>
      <w:r>
        <w:rPr>
          <w:rFonts w:ascii="宋体" w:hAnsi="宋体" w:eastAsia="宋体" w:cs="宋体"/>
          <w:kern w:val="0"/>
          <w:sz w:val="28"/>
          <w:szCs w:val="28"/>
          <w:highlight w:val="none"/>
        </w:rPr>
        <w:t>1.3%</w:t>
      </w:r>
      <w:r>
        <w:rPr>
          <w:rFonts w:hint="eastAsia" w:ascii="宋体" w:hAnsi="宋体" w:eastAsia="宋体" w:cs="宋体"/>
          <w:kern w:val="0"/>
          <w:sz w:val="28"/>
          <w:szCs w:val="28"/>
          <w:highlight w:val="none"/>
        </w:rPr>
        <w:t>。</w:t>
      </w:r>
    </w:p>
    <w:p>
      <w:pPr>
        <w:tabs>
          <w:tab w:val="left" w:pos="1620"/>
        </w:tabs>
        <w:autoSpaceDE w:val="0"/>
        <w:autoSpaceDN w:val="0"/>
        <w:jc w:val="center"/>
        <w:rPr>
          <w:rFonts w:ascii="宋体" w:hAnsi="宋体" w:eastAsia="宋体" w:cs="宋体"/>
          <w:b/>
          <w:kern w:val="0"/>
          <w:sz w:val="28"/>
          <w:szCs w:val="32"/>
          <w:highlight w:val="none"/>
        </w:rPr>
      </w:pPr>
      <w:r>
        <w:rPr>
          <w:rFonts w:hint="eastAsia" w:ascii="宋体" w:hAnsi="宋体" w:eastAsia="宋体" w:cs="宋体"/>
          <w:b/>
          <w:kern w:val="0"/>
          <w:sz w:val="28"/>
          <w:szCs w:val="32"/>
          <w:highlight w:val="none"/>
        </w:rPr>
        <w:t xml:space="preserve">第三节 </w:t>
      </w:r>
      <w:r>
        <w:rPr>
          <w:rFonts w:ascii="宋体" w:hAnsi="宋体" w:eastAsia="宋体" w:cs="宋体"/>
          <w:b/>
          <w:kern w:val="0"/>
          <w:sz w:val="28"/>
          <w:szCs w:val="32"/>
          <w:highlight w:val="none"/>
        </w:rPr>
        <w:t>车（船）板交割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eastAsia="宋体" w:cs="宋体"/>
          <w:kern w:val="0"/>
          <w:sz w:val="28"/>
          <w:szCs w:val="28"/>
          <w:highlight w:val="none"/>
        </w:rPr>
        <w:t>动力煤车（船）板</w:t>
      </w:r>
      <w:r>
        <w:rPr>
          <w:rFonts w:ascii="宋体" w:hAnsi="宋体" w:eastAsia="宋体" w:cs="宋体"/>
          <w:kern w:val="0"/>
          <w:sz w:val="28"/>
          <w:szCs w:val="28"/>
          <w:highlight w:val="none"/>
        </w:rPr>
        <w:t>卖方提出交割申请时，应</w:t>
      </w:r>
      <w:r>
        <w:rPr>
          <w:rFonts w:hint="eastAsia" w:ascii="宋体" w:hAnsi="宋体" w:eastAsia="宋体" w:cs="宋体"/>
          <w:kern w:val="0"/>
          <w:sz w:val="28"/>
          <w:szCs w:val="28"/>
          <w:highlight w:val="none"/>
        </w:rPr>
        <w:t>当</w:t>
      </w:r>
      <w:r>
        <w:rPr>
          <w:rFonts w:ascii="宋体" w:hAnsi="宋体" w:eastAsia="宋体" w:cs="宋体"/>
          <w:kern w:val="0"/>
          <w:sz w:val="28"/>
          <w:szCs w:val="28"/>
          <w:highlight w:val="none"/>
        </w:rPr>
        <w:t>同时提交相应的拟交割货物信息</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包括：交割数量、交割地点、收到基低位发热量、干燥基高位发热量、干燥基全硫、干燥基挥发分、全水分、干燥基灰分、灰熔点、煤</w:t>
      </w:r>
      <w:r>
        <w:rPr>
          <w:rFonts w:hint="eastAsia" w:ascii="宋体" w:hAnsi="宋体" w:eastAsia="宋体" w:cs="宋体"/>
          <w:kern w:val="0"/>
          <w:sz w:val="28"/>
          <w:szCs w:val="28"/>
          <w:highlight w:val="none"/>
        </w:rPr>
        <w:t>种、产地以及交割货物的检测报告等。其中，交割地点应当具体到港口某公司；交割货物如为混煤，应当注明掺混使用的煤种。</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第二十五</w:t>
      </w:r>
      <w:r>
        <w:rPr>
          <w:rFonts w:ascii="黑体" w:hAnsi="黑体" w:eastAsia="黑体" w:cs="宋体"/>
          <w:color w:val="000000"/>
          <w:kern w:val="0"/>
          <w:sz w:val="28"/>
          <w:szCs w:val="28"/>
          <w:highlight w:val="none"/>
        </w:rPr>
        <w:t xml:space="preserve">条 </w:t>
      </w:r>
      <w:r>
        <w:rPr>
          <w:rFonts w:hint="eastAsia" w:ascii="宋体" w:hAnsi="宋体" w:eastAsia="宋体" w:cs="宋体"/>
          <w:kern w:val="0"/>
          <w:sz w:val="28"/>
          <w:szCs w:val="28"/>
          <w:highlight w:val="none"/>
        </w:rPr>
        <w:t>自第三交割日起（含该日）3个交易日内，动力煤买卖双方就车（船）板交割事宜进行协商，确定结算方式、交货地点、交货方式、交货时间等，签订《车（船）板交割协议书》。</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第三交割日起（含该日）第3个交易日下午1时30分前，买方应当通过会员在会员服务系统提交《车（船）板交货事项确认单》；卖方会员应当在当日下午3时前进行确认。买方提交的《车（船）板交货事项确认单》应当符合本细则相关规定或者经买卖双方协商一致，否则按照未提交处理。规定时间内，买方未提交或者卖方未确认的，视为违约，按照《郑州商品交易所期货交割管理办法》“交割违约处理”的相关规定处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宋体"/>
          <w:kern w:val="0"/>
          <w:sz w:val="28"/>
          <w:szCs w:val="28"/>
          <w:highlight w:val="none"/>
        </w:rPr>
        <w:t>动力煤发运前，买方有权对货物质量进行检验，买方承担与检验相关的所有费用。指定质检机构通过移动煤流采样并进行检验，质检报告显示货物不符合交割标准的，按照卖方交割违约处理，双方协商一致的除外；质检报告显示货物符合交割标准的，或者买方不检验的，应当正常发货。</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eastAsia="宋体" w:cs="宋体"/>
          <w:kern w:val="0"/>
          <w:sz w:val="28"/>
          <w:szCs w:val="28"/>
          <w:highlight w:val="none"/>
        </w:rPr>
        <w:t>动力煤买方使用车辆运输的，应当自第三交割日起（含该日）6个工作日内抵达货物所在地。买方使用船舶运输的，全部或者首批船舶应当自第三交割日起（含该日）6个工作日内抵达交割货物所在指定港口锚地。因不可抗力导致指定港口不能接收等特殊情形时，可以顺延。</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买方运输工具到达指定地点后，应当及时以书面方式（加盖买方公章的传真件）通知卖方。卖方应当在收到买方运输工具抵达指定交货地点的通知之日起（不含该日）1个日历日</w:t>
      </w:r>
      <w:r>
        <w:rPr>
          <w:rFonts w:ascii="宋体" w:hAnsi="宋体" w:eastAsia="宋体" w:cs="宋体"/>
          <w:kern w:val="0"/>
          <w:sz w:val="28"/>
          <w:szCs w:val="28"/>
          <w:highlight w:val="none"/>
        </w:rPr>
        <w:t>内向指定港口港务公司提交作业申请</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作业申请应当包括符合规定或者约定的采样方式</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计重方式等信息。</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eastAsia="宋体" w:cs="宋体"/>
          <w:kern w:val="0"/>
          <w:sz w:val="28"/>
          <w:szCs w:val="28"/>
          <w:highlight w:val="none"/>
        </w:rPr>
        <w:t>动力煤车（船）板交割质量检验在装车（船）过程中进行，由买方选择、卖方委托指定质检机构按照移动煤流采样法进行采样，双方协商一致的除外。指定质检机构在采样、制样结束后，样品分为四份，由买方、卖方和指定质检机构三方签字确认后封存。</w:t>
      </w:r>
    </w:p>
    <w:p>
      <w:pPr>
        <w:ind w:firstLine="560" w:firstLineChars="200"/>
        <w:rPr>
          <w:rFonts w:ascii="宋体" w:hAnsi="宋体" w:eastAsia="宋体" w:cs="Times New Roman"/>
          <w:color w:val="000000"/>
          <w:kern w:val="0"/>
          <w:sz w:val="28"/>
          <w:szCs w:val="28"/>
          <w:highlight w:val="none"/>
        </w:rPr>
      </w:pPr>
      <w:r>
        <w:rPr>
          <w:rFonts w:hint="eastAsia" w:ascii="宋体" w:hAnsi="Times New Roman" w:eastAsia="宋体" w:cs="宋体"/>
          <w:color w:val="000000"/>
          <w:sz w:val="28"/>
          <w:szCs w:val="28"/>
          <w:highlight w:val="none"/>
        </w:rPr>
        <w:t>买卖双方对检验结果无异议的，该检验结果作为货物质量判定的依据。买卖双方对检验结果有异议的，应当协商解决；协商不一致的，</w:t>
      </w:r>
      <w:r>
        <w:rPr>
          <w:rFonts w:hint="eastAsia" w:ascii="宋体" w:hAnsi="宋体" w:eastAsia="宋体" w:cs="Times New Roman"/>
          <w:color w:val="000000"/>
          <w:kern w:val="0"/>
          <w:sz w:val="28"/>
          <w:szCs w:val="28"/>
          <w:highlight w:val="none"/>
        </w:rPr>
        <w:t>买方或者卖方可以自收到质检结果之日起（不含该日）</w:t>
      </w:r>
      <w:r>
        <w:rPr>
          <w:rFonts w:ascii="宋体" w:hAnsi="宋体" w:eastAsia="宋体" w:cs="Times New Roman"/>
          <w:color w:val="000000"/>
          <w:kern w:val="0"/>
          <w:sz w:val="28"/>
          <w:szCs w:val="28"/>
          <w:highlight w:val="none"/>
        </w:rPr>
        <w:t>5</w:t>
      </w:r>
      <w:r>
        <w:rPr>
          <w:rFonts w:hint="eastAsia" w:ascii="宋体" w:hAnsi="宋体" w:eastAsia="宋体" w:cs="Times New Roman"/>
          <w:color w:val="000000"/>
          <w:kern w:val="0"/>
          <w:sz w:val="28"/>
          <w:szCs w:val="28"/>
          <w:highlight w:val="none"/>
        </w:rPr>
        <w:t>个工作日内向交易所书面提出复检申请，并由申请方预交复检费用。逾期未提出复检申请的，视为对检验结果无异议。</w:t>
      </w:r>
    </w:p>
    <w:p>
      <w:pPr>
        <w:ind w:firstLine="560" w:firstLineChars="200"/>
        <w:rPr>
          <w:rFonts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动力煤质量</w:t>
      </w:r>
      <w:r>
        <w:rPr>
          <w:rFonts w:hint="eastAsia" w:ascii="宋体" w:hAnsi="宋体" w:eastAsia="宋体" w:cs="Times New Roman"/>
          <w:sz w:val="28"/>
          <w:szCs w:val="28"/>
          <w:highlight w:val="none"/>
        </w:rPr>
        <w:t>复检仅能申请一次。复检项目限于收到基低位发热量、干燥基全硫、干燥无灰基挥发分和干燥基灰分，计算收到基低位发热量时，全水采用初检结果</w:t>
      </w:r>
      <w:r>
        <w:rPr>
          <w:rFonts w:hint="eastAsia" w:ascii="宋体" w:hAnsi="宋体" w:eastAsia="宋体" w:cs="Times New Roman"/>
          <w:color w:val="000000"/>
          <w:kern w:val="0"/>
          <w:sz w:val="28"/>
          <w:szCs w:val="28"/>
          <w:highlight w:val="none"/>
        </w:rPr>
        <w:t>。复检机构由交易所在指定质检机构中选定，复检样品为装车（船）过程中采制并保留的样品。</w:t>
      </w:r>
    </w:p>
    <w:p>
      <w:pPr>
        <w:ind w:firstLine="560" w:firstLineChars="200"/>
        <w:rPr>
          <w:rFonts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复检机构应当在收到交易所复检通知之日起（不含该日）</w:t>
      </w:r>
      <w:r>
        <w:rPr>
          <w:rFonts w:ascii="宋体" w:hAnsi="宋体" w:eastAsia="宋体" w:cs="Times New Roman"/>
          <w:color w:val="000000"/>
          <w:kern w:val="0"/>
          <w:sz w:val="28"/>
          <w:szCs w:val="28"/>
          <w:highlight w:val="none"/>
        </w:rPr>
        <w:t>3</w:t>
      </w:r>
      <w:r>
        <w:rPr>
          <w:rFonts w:hint="eastAsia" w:ascii="宋体" w:hAnsi="宋体" w:eastAsia="宋体" w:cs="Times New Roman"/>
          <w:color w:val="000000"/>
          <w:kern w:val="0"/>
          <w:sz w:val="28"/>
          <w:szCs w:val="28"/>
          <w:highlight w:val="none"/>
        </w:rPr>
        <w:t>个工作日内完成复检，并将复检结果书面通知交易所。交易所将复检结果通知异议方。复检结果作为解决争议的依据。复检费用由过错方承担。</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eastAsia="宋体" w:cs="宋体"/>
          <w:kern w:val="0"/>
          <w:sz w:val="28"/>
          <w:szCs w:val="28"/>
          <w:highlight w:val="none"/>
        </w:rPr>
        <w:t>动力煤车（船）板交割重量验收由交易所指定质检机构或者计量机构进行，买卖双方协商一致的除外。买方使用船舶接货的，重量计量通过水尺确认；无法使用水尺计重时，由指定质检机构或者计量机构依据实际情况选择地磅或者皮带秤计重。买方使用车辆接货的，重量计量通过地磅确认。装车（船）完毕后，指定质检机构或者计量机构应当及时出具装车（船）重量证明书，作为交割货物重量的判定依据。</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第三十条 </w:t>
      </w:r>
      <w:r>
        <w:rPr>
          <w:rFonts w:hint="eastAsia" w:ascii="宋体" w:hAnsi="宋体" w:eastAsia="宋体" w:cs="宋体"/>
          <w:kern w:val="0"/>
          <w:sz w:val="28"/>
          <w:szCs w:val="28"/>
          <w:highlight w:val="none"/>
        </w:rPr>
        <w:t>买方使用船舶接货的，单船重量溢短范围为±500吨（含）以内。在重量溢短规定范围内，交易所依据实际重量结算货款。溢货超出规定范围的，买卖双方对超出部分协商处理并自行结算。短货超出规定范围的，卖方需及时补装至规定范围以内；无法补装的，在计算货款时，交易所对短货超出规定范围的部分双倍扣减；双方协商一致的除外。</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短货超出规定范围时</w:t>
      </w:r>
      <w:r>
        <w:rPr>
          <w:rFonts w:hint="eastAsia" w:ascii="宋体" w:hAnsi="宋体" w:cs="宋体"/>
          <w:kern w:val="0"/>
          <w:sz w:val="28"/>
          <w:szCs w:val="28"/>
          <w:highlight w:val="none"/>
        </w:rPr>
        <w:t>双倍扣减的计算公式为：</w:t>
      </w:r>
      <w:r>
        <w:rPr>
          <w:rFonts w:hint="eastAsia" w:ascii="宋体" w:hAnsi="宋体" w:eastAsia="宋体" w:cs="宋体"/>
          <w:kern w:val="0"/>
          <w:sz w:val="28"/>
          <w:szCs w:val="28"/>
          <w:highlight w:val="none"/>
        </w:rPr>
        <w:t>单船结算重量=应交重量-500-（应交重量-500-实测重量）×2。</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28"/>
          <w:highlight w:val="none"/>
        </w:rPr>
        <w:t xml:space="preserve">第三十一条 </w:t>
      </w:r>
      <w:r>
        <w:rPr>
          <w:rFonts w:hint="eastAsia" w:ascii="宋体" w:hAnsi="宋体" w:eastAsia="宋体" w:cs="宋体"/>
          <w:color w:val="000000"/>
          <w:kern w:val="0"/>
          <w:sz w:val="28"/>
          <w:szCs w:val="28"/>
          <w:highlight w:val="none"/>
        </w:rPr>
        <w:t>动力煤交收时，买方运输工具未按约定或者规定时</w:t>
      </w:r>
      <w:r>
        <w:rPr>
          <w:rFonts w:hint="eastAsia" w:ascii="宋体" w:hAnsi="宋体" w:eastAsia="宋体" w:cs="宋体"/>
          <w:kern w:val="0"/>
          <w:sz w:val="28"/>
          <w:szCs w:val="28"/>
          <w:highlight w:val="none"/>
        </w:rPr>
        <w:t>间抵达货物所在港口（或锚地），或者卖方未按约定或者规定时间在指定港口备妥交割货物并向指定港口提交装车（船）作业申请，造成延误的，买卖双方协商解决。协商不成的，守约方可以向交易所提出补偿申请，并提交相应证据。交易所核实后，对过错方扣罚滞纳金补偿给守约方。滞纳金金额</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∑[2（元/吨•天）×延误天数×应发（收）而未发（收）商品数量]</w:t>
      </w:r>
      <w:r>
        <w:rPr>
          <w:rFonts w:ascii="宋体" w:hAnsi="宋体" w:eastAsia="宋体" w:cs="宋体"/>
          <w:kern w:val="0"/>
          <w:sz w:val="28"/>
          <w:szCs w:val="28"/>
          <w:highlight w:val="none"/>
        </w:rPr>
        <w:t>。</w:t>
      </w:r>
    </w:p>
    <w:p>
      <w:pPr>
        <w:ind w:firstLine="560" w:firstLineChars="200"/>
        <w:rPr>
          <w:rFonts w:ascii="宋体" w:hAnsi="宋体" w:eastAsia="宋体" w:cs="宋体"/>
          <w:color w:val="000000"/>
          <w:kern w:val="0"/>
          <w:sz w:val="28"/>
          <w:szCs w:val="28"/>
          <w:highlight w:val="none"/>
        </w:rPr>
      </w:pPr>
      <w:r>
        <w:rPr>
          <w:rFonts w:hint="eastAsia" w:ascii="宋体" w:hAnsi="宋体" w:eastAsia="宋体" w:cs="宋体"/>
          <w:kern w:val="0"/>
          <w:sz w:val="28"/>
          <w:szCs w:val="28"/>
          <w:highlight w:val="none"/>
        </w:rPr>
        <w:t>因不可抗力因素导致无法按计划发货或者提货的，发货或者提货时间可以顺延。</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第三十二条 </w:t>
      </w:r>
      <w:r>
        <w:rPr>
          <w:rFonts w:hint="eastAsia" w:ascii="宋体" w:hAnsi="宋体" w:eastAsia="宋体" w:cs="宋体"/>
          <w:color w:val="000000"/>
          <w:kern w:val="0"/>
          <w:sz w:val="28"/>
          <w:szCs w:val="28"/>
          <w:highlight w:val="none"/>
        </w:rPr>
        <w:t>对于</w:t>
      </w:r>
      <w:r>
        <w:rPr>
          <w:rFonts w:hint="eastAsia" w:ascii="宋体" w:hAnsi="宋体" w:eastAsia="宋体" w:cs="宋体"/>
          <w:kern w:val="0"/>
          <w:sz w:val="28"/>
          <w:szCs w:val="28"/>
          <w:highlight w:val="none"/>
        </w:rPr>
        <w:t>已经发运的动力煤，按实际检验结果计算货款，计算结果保留小数点后两位。</w:t>
      </w:r>
    </w:p>
    <w:p>
      <w:pPr>
        <w:widowControl/>
        <w:ind w:firstLine="560" w:firstLineChars="200"/>
        <w:rPr>
          <w:rFonts w:hint="eastAsia" w:ascii="宋体" w:hAnsi="宋体" w:eastAsia="宋体" w:cs="宋体"/>
          <w:kern w:val="0"/>
          <w:sz w:val="28"/>
          <w:szCs w:val="28"/>
          <w:highlight w:val="none"/>
          <w:lang w:val="en-US"/>
        </w:rPr>
      </w:pPr>
      <w:r>
        <w:rPr>
          <w:rFonts w:hint="eastAsia" w:ascii="宋体" w:hAnsi="宋体" w:eastAsia="宋体" w:cs="宋体"/>
          <w:bCs/>
          <w:kern w:val="0"/>
          <w:sz w:val="28"/>
          <w:szCs w:val="28"/>
          <w:lang w:val="en-US" w:eastAsia="zh-CN"/>
        </w:rPr>
        <w:t>4800千卡/千克≤收到基低位发热量＜5300千卡/千克时，货款结算价（四舍五入，保留小数点后两位）=交割结算价/5000×实测发热量。</w:t>
      </w:r>
    </w:p>
    <w:p>
      <w:pPr>
        <w:widowControl/>
        <w:ind w:firstLine="560" w:firstLineChars="200"/>
        <w:rPr>
          <w:rFonts w:hint="eastAsia" w:ascii="宋体" w:hAnsi="宋体" w:eastAsia="宋体" w:cs="宋体"/>
          <w:kern w:val="0"/>
          <w:sz w:val="28"/>
          <w:szCs w:val="28"/>
          <w:highlight w:val="none"/>
        </w:rPr>
      </w:pPr>
      <w:r>
        <w:rPr>
          <w:rFonts w:hint="eastAsia" w:ascii="宋体" w:hAnsi="宋体" w:eastAsia="宋体" w:cs="宋体"/>
          <w:bCs/>
          <w:kern w:val="0"/>
          <w:sz w:val="28"/>
          <w:szCs w:val="28"/>
          <w:lang w:val="en-US" w:eastAsia="zh-CN"/>
        </w:rPr>
        <w:t>收到基低位发热量≥5300千卡/千克时，货款结算价（四舍五入，保留小数点后两位）=交割结算价×1.11/5500×实测发热量；收到基低位发热量超过6000千卡/千克时，按6000千卡/千克计算货款。</w:t>
      </w:r>
    </w:p>
    <w:p>
      <w:pPr>
        <w:widowControl/>
        <w:ind w:firstLine="560" w:firstLineChars="200"/>
        <w:rPr>
          <w:rFonts w:hint="eastAsia" w:ascii="宋体" w:hAnsi="宋体" w:eastAsia="宋体" w:cs="宋体"/>
          <w:kern w:val="0"/>
          <w:sz w:val="28"/>
          <w:szCs w:val="28"/>
          <w:highlight w:val="none"/>
        </w:rPr>
      </w:pPr>
      <w:r>
        <w:rPr>
          <w:rFonts w:hint="eastAsia" w:ascii="宋体" w:hAnsi="宋体" w:eastAsia="宋体" w:cs="宋体"/>
          <w:bCs/>
          <w:kern w:val="0"/>
          <w:sz w:val="28"/>
          <w:szCs w:val="28"/>
          <w:lang w:val="en-US" w:eastAsia="zh-CN"/>
        </w:rPr>
        <w:t>4300千卡/千克≤收到基低位发热量＜4800千卡/千克时，货款结算价（四舍五入，保留小数点后两位）=交割结算价×0.84/4500×实测发热量。</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bCs/>
          <w:kern w:val="0"/>
          <w:sz w:val="28"/>
          <w:szCs w:val="28"/>
          <w:lang w:val="en-US" w:eastAsia="zh-CN"/>
        </w:rPr>
        <w:t>收到基低位发热量＜4300千卡/千克，货款结算价（四舍五入，保留小数点后两位）=（交割结算价×0.84/4500×实测发热量）×50%。</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收到基低位发热量检验结果低于卖方配对环节公布的收到基低位发热量，且差值超过300千卡/千克（不含）的，在上述货款计算公式基础上再减5元/吨；收到基低位发热量检验结果高于卖方配对环节公布的收到基低位发热量，且差值超过300千卡/千克（含）的，计算货款结算价时，收到基低位发热量按照“卖方配对环节所公布收到基低位发热量+300”计算。</w:t>
      </w:r>
    </w:p>
    <w:p>
      <w:pPr>
        <w:ind w:firstLine="560" w:firstLineChars="200"/>
        <w:rPr>
          <w:rFonts w:ascii="宋体" w:hAnsi="宋体" w:eastAsia="宋体" w:cs="宋体"/>
          <w:kern w:val="0"/>
          <w:sz w:val="28"/>
          <w:szCs w:val="28"/>
          <w:highlight w:val="none"/>
        </w:rPr>
      </w:pPr>
      <w:r>
        <w:rPr>
          <w:rFonts w:hint="eastAsia" w:ascii="宋体" w:hAnsi="宋体" w:eastAsia="宋体" w:cs="宋体"/>
          <w:sz w:val="28"/>
          <w:szCs w:val="28"/>
          <w:highlight w:val="none"/>
        </w:rPr>
        <w:t>干燥基全硫、干燥无灰基挥发分、干燥基灰分指标超出交割品范围的</w:t>
      </w:r>
      <w:r>
        <w:rPr>
          <w:rFonts w:hint="eastAsia" w:ascii="宋体" w:hAnsi="宋体" w:eastAsia="宋体" w:cs="宋体"/>
          <w:kern w:val="0"/>
          <w:sz w:val="28"/>
          <w:szCs w:val="28"/>
          <w:highlight w:val="none"/>
        </w:rPr>
        <w:t>，计算货款结算价时按照收到基低位发热量、干燥基全硫、干燥无灰基挥发分、干燥基灰分的顺序依次进行。相关计算方法如下表：</w:t>
      </w:r>
    </w:p>
    <w:tbl>
      <w:tblPr>
        <w:tblStyle w:val="6"/>
        <w:tblW w:w="8364"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532"/>
        <w:gridCol w:w="483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35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eastAsia="宋体" w:cs="Times New Roman"/>
                <w:sz w:val="24"/>
                <w:szCs w:val="30"/>
                <w:highlight w:val="none"/>
              </w:rPr>
            </w:pPr>
            <w:r>
              <w:rPr>
                <w:rFonts w:hint="eastAsia" w:ascii="宋体" w:hAnsi="宋体" w:eastAsia="宋体" w:cs="Times New Roman"/>
                <w:sz w:val="24"/>
                <w:szCs w:val="30"/>
                <w:highlight w:val="none"/>
              </w:rPr>
              <w:t>指标范围</w:t>
            </w:r>
          </w:p>
        </w:tc>
        <w:tc>
          <w:tcPr>
            <w:tcW w:w="48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eastAsia="宋体" w:cs="Times New Roman"/>
                <w:sz w:val="24"/>
                <w:szCs w:val="30"/>
                <w:highlight w:val="none"/>
              </w:rPr>
            </w:pPr>
            <w:r>
              <w:rPr>
                <w:rFonts w:hint="eastAsia" w:ascii="宋体" w:hAnsi="宋体" w:eastAsia="宋体" w:cs="Times New Roman"/>
                <w:sz w:val="24"/>
                <w:szCs w:val="30"/>
                <w:highlight w:val="none"/>
              </w:rPr>
              <w:t>计算方法</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35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sz w:val="24"/>
                <w:szCs w:val="30"/>
                <w:highlight w:val="none"/>
              </w:rPr>
            </w:pPr>
            <w:r>
              <w:rPr>
                <w:rFonts w:ascii="宋体" w:hAnsi="宋体"/>
                <w:sz w:val="24"/>
                <w:szCs w:val="30"/>
                <w:highlight w:val="none"/>
              </w:rPr>
              <w:t>1.5%</w:t>
            </w:r>
            <w:r>
              <w:rPr>
                <w:rFonts w:hint="eastAsia" w:ascii="宋体" w:hAnsi="宋体"/>
                <w:sz w:val="24"/>
                <w:szCs w:val="30"/>
                <w:highlight w:val="none"/>
              </w:rPr>
              <w:t>＜干燥基全硫≤</w:t>
            </w:r>
            <w:r>
              <w:rPr>
                <w:rFonts w:ascii="宋体" w:hAnsi="宋体"/>
                <w:sz w:val="24"/>
                <w:szCs w:val="30"/>
                <w:highlight w:val="none"/>
              </w:rPr>
              <w:t>2.5%</w:t>
            </w:r>
          </w:p>
        </w:tc>
        <w:tc>
          <w:tcPr>
            <w:tcW w:w="48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sz w:val="24"/>
                <w:szCs w:val="30"/>
                <w:highlight w:val="none"/>
              </w:rPr>
            </w:pPr>
            <w:r>
              <w:rPr>
                <w:rFonts w:hint="eastAsia" w:ascii="宋体" w:hAnsi="宋体"/>
                <w:sz w:val="24"/>
                <w:szCs w:val="30"/>
                <w:highlight w:val="none"/>
              </w:rPr>
              <w:t>依据实测发热量和干燥基全硫为</w:t>
            </w:r>
            <w:r>
              <w:rPr>
                <w:rFonts w:ascii="宋体" w:hAnsi="宋体"/>
                <w:sz w:val="24"/>
                <w:szCs w:val="30"/>
                <w:highlight w:val="none"/>
              </w:rPr>
              <w:t>1.5%</w:t>
            </w:r>
            <w:r>
              <w:rPr>
                <w:rFonts w:hint="eastAsia" w:ascii="宋体" w:hAnsi="宋体"/>
                <w:sz w:val="24"/>
                <w:szCs w:val="30"/>
                <w:highlight w:val="none"/>
              </w:rPr>
              <w:t>时的计算值×</w:t>
            </w:r>
            <w:r>
              <w:rPr>
                <w:rFonts w:ascii="宋体" w:hAnsi="宋体"/>
                <w:sz w:val="24"/>
                <w:szCs w:val="30"/>
                <w:highlight w:val="none"/>
              </w:rPr>
              <w:t>80%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35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sz w:val="24"/>
                <w:szCs w:val="30"/>
                <w:highlight w:val="none"/>
              </w:rPr>
            </w:pPr>
            <w:r>
              <w:rPr>
                <w:rFonts w:hint="eastAsia" w:ascii="宋体" w:hAnsi="宋体"/>
                <w:sz w:val="24"/>
                <w:szCs w:val="30"/>
                <w:highlight w:val="none"/>
              </w:rPr>
              <w:t>干燥基全硫＞</w:t>
            </w:r>
            <w:r>
              <w:rPr>
                <w:rFonts w:ascii="宋体" w:hAnsi="宋体"/>
                <w:sz w:val="24"/>
                <w:szCs w:val="30"/>
                <w:highlight w:val="none"/>
              </w:rPr>
              <w:t>2.5%</w:t>
            </w:r>
          </w:p>
        </w:tc>
        <w:tc>
          <w:tcPr>
            <w:tcW w:w="48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sz w:val="24"/>
                <w:szCs w:val="30"/>
                <w:highlight w:val="none"/>
              </w:rPr>
            </w:pPr>
            <w:r>
              <w:rPr>
                <w:rFonts w:hint="eastAsia" w:ascii="宋体" w:hAnsi="宋体"/>
                <w:sz w:val="24"/>
                <w:szCs w:val="30"/>
                <w:highlight w:val="none"/>
              </w:rPr>
              <w:t>依据实测发热量和干燥基全硫为</w:t>
            </w:r>
            <w:r>
              <w:rPr>
                <w:rFonts w:ascii="宋体" w:hAnsi="宋体"/>
                <w:sz w:val="24"/>
                <w:szCs w:val="30"/>
                <w:highlight w:val="none"/>
              </w:rPr>
              <w:t>1.5%</w:t>
            </w:r>
            <w:r>
              <w:rPr>
                <w:rFonts w:hint="eastAsia" w:ascii="宋体" w:hAnsi="宋体"/>
                <w:sz w:val="24"/>
                <w:szCs w:val="30"/>
                <w:highlight w:val="none"/>
              </w:rPr>
              <w:t>时的计算值×</w:t>
            </w:r>
            <w:r>
              <w:rPr>
                <w:rFonts w:ascii="宋体" w:hAnsi="宋体"/>
                <w:sz w:val="24"/>
                <w:szCs w:val="30"/>
                <w:highlight w:val="none"/>
              </w:rPr>
              <w:t>50%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204" w:hRule="atLeast"/>
        </w:trPr>
        <w:tc>
          <w:tcPr>
            <w:tcW w:w="35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sz w:val="24"/>
                <w:szCs w:val="30"/>
                <w:highlight w:val="none"/>
              </w:rPr>
            </w:pPr>
            <w:r>
              <w:rPr>
                <w:rFonts w:hint="eastAsia" w:ascii="宋体" w:hAnsi="宋体"/>
                <w:sz w:val="24"/>
                <w:szCs w:val="30"/>
                <w:highlight w:val="none"/>
              </w:rPr>
              <w:t>干燥无灰基挥发分或者干燥基灰分超出交割品范围</w:t>
            </w:r>
          </w:p>
        </w:tc>
        <w:tc>
          <w:tcPr>
            <w:tcW w:w="4832"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ascii="宋体" w:hAnsi="宋体"/>
                <w:sz w:val="24"/>
                <w:szCs w:val="30"/>
                <w:highlight w:val="none"/>
              </w:rPr>
            </w:pPr>
            <w:r>
              <w:rPr>
                <w:rFonts w:hint="eastAsia" w:ascii="宋体" w:hAnsi="宋体"/>
                <w:sz w:val="24"/>
                <w:szCs w:val="30"/>
                <w:highlight w:val="none"/>
              </w:rPr>
              <w:t>依据实测发热量和实测干燥基全硫的计算值×</w:t>
            </w:r>
            <w:r>
              <w:rPr>
                <w:rFonts w:ascii="宋体" w:hAnsi="宋体"/>
                <w:sz w:val="24"/>
                <w:szCs w:val="30"/>
                <w:highlight w:val="none"/>
              </w:rPr>
              <w:t>80%</w:t>
            </w:r>
          </w:p>
        </w:tc>
      </w:tr>
    </w:tbl>
    <w:p>
      <w:pPr>
        <w:tabs>
          <w:tab w:val="left" w:pos="1620"/>
        </w:tabs>
        <w:autoSpaceDE w:val="0"/>
        <w:autoSpaceDN w:val="0"/>
        <w:spacing w:before="240"/>
        <w:jc w:val="center"/>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第四节</w:t>
      </w:r>
      <w:r>
        <w:rPr>
          <w:rFonts w:ascii="宋体" w:hAnsi="宋体" w:eastAsia="宋体" w:cs="宋体"/>
          <w:b/>
          <w:kern w:val="0"/>
          <w:sz w:val="28"/>
          <w:szCs w:val="28"/>
          <w:highlight w:val="none"/>
        </w:rPr>
        <w:t xml:space="preserve"> 厂库标准仓单交割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第三十三条 </w:t>
      </w:r>
      <w:r>
        <w:rPr>
          <w:rFonts w:hint="eastAsia" w:ascii="宋体" w:hAnsi="宋体" w:eastAsia="宋体" w:cs="宋体"/>
          <w:kern w:val="0"/>
          <w:sz w:val="28"/>
          <w:szCs w:val="28"/>
          <w:highlight w:val="none"/>
        </w:rPr>
        <w:t>动力煤厂库允许注册标准仓单的最大数量由交易所确定，交易所可以根据情况予以调整。</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动力煤厂库申请注册标准仓单前，应当按照交易所规定提供标准仓单注册担保。</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28"/>
          <w:highlight w:val="none"/>
        </w:rPr>
        <w:t xml:space="preserve">第三十四条 </w:t>
      </w:r>
      <w:r>
        <w:rPr>
          <w:rFonts w:hint="eastAsia" w:ascii="宋体" w:hAnsi="宋体" w:eastAsia="宋体" w:cs="宋体"/>
          <w:kern w:val="0"/>
          <w:sz w:val="28"/>
          <w:szCs w:val="28"/>
          <w:highlight w:val="none"/>
        </w:rPr>
        <w:t>动力煤厂库标准仓单注册时，厂库应当向交易所提交收到基低位发热量</w:t>
      </w:r>
      <w:r>
        <w:rPr>
          <w:rFonts w:ascii="宋体" w:hAnsi="宋体" w:eastAsia="宋体" w:cs="宋体"/>
          <w:kern w:val="0"/>
          <w:sz w:val="28"/>
          <w:szCs w:val="28"/>
          <w:highlight w:val="none"/>
        </w:rPr>
        <w:t>、干燥基高位发热量、干燥基全硫、干燥基挥发分、全水分、干燥基灰分、灰熔点、煤</w:t>
      </w:r>
      <w:r>
        <w:rPr>
          <w:rFonts w:hint="eastAsia" w:ascii="宋体" w:hAnsi="宋体" w:eastAsia="宋体" w:cs="宋体"/>
          <w:kern w:val="0"/>
          <w:sz w:val="28"/>
          <w:szCs w:val="28"/>
          <w:highlight w:val="none"/>
        </w:rPr>
        <w:t>种、产地等货物信息。</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第三十五条 </w:t>
      </w:r>
      <w:r>
        <w:rPr>
          <w:rFonts w:hint="eastAsia" w:ascii="宋体" w:hAnsi="宋体" w:cs="宋体"/>
          <w:kern w:val="0"/>
          <w:sz w:val="28"/>
          <w:szCs w:val="28"/>
          <w:highlight w:val="none"/>
        </w:rPr>
        <w:t>动力煤期货标准仓单注销时，</w:t>
      </w:r>
      <w:r>
        <w:rPr>
          <w:rFonts w:hint="eastAsia" w:ascii="宋体" w:hAnsi="宋体" w:eastAsia="宋体" w:cs="宋体"/>
          <w:kern w:val="0"/>
          <w:sz w:val="28"/>
          <w:szCs w:val="28"/>
          <w:highlight w:val="none"/>
        </w:rPr>
        <w:t>提货人应当至少提前</w:t>
      </w:r>
      <w:r>
        <w:rPr>
          <w:rFonts w:ascii="宋体" w:hAnsi="宋体" w:eastAsia="宋体" w:cs="宋体"/>
          <w:kern w:val="0"/>
          <w:sz w:val="28"/>
          <w:szCs w:val="28"/>
          <w:highlight w:val="none"/>
        </w:rPr>
        <w:t>20个日历</w:t>
      </w:r>
      <w:r>
        <w:rPr>
          <w:rFonts w:hint="eastAsia" w:ascii="宋体" w:hAnsi="宋体" w:eastAsia="宋体" w:cs="宋体"/>
          <w:kern w:val="0"/>
          <w:sz w:val="28"/>
          <w:szCs w:val="28"/>
          <w:highlight w:val="none"/>
        </w:rPr>
        <w:t>日（相对于提货日期）与厂库沟通所提货物质量和重量情况。提货人与厂库协商一致的，按照双方协商结果提货，涉及升贴水的，由双方自行结算。提货人与厂库协商不一致的，提货人按厂库注册标准仓单时提供的货物信息提取货物，涉及升贴水的，由交易所在货物发运完毕后统一结算。</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和厂库协商不一致的，提货人在指定港口提货时的质量认定、重量溢短等按照本章第三节“车（船）板交割”相关规定办理，交割结算价按《提货通知单》开具日之前（含该日）动力煤期货最近交割结算价计价。</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提货人和厂库确认提货事项并提交交易所后，交易所向提货人开具《提货通知单》。</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提货人与厂库协商在交易所公布的指定交割地点以外的其他地点交货的，</w:t>
      </w:r>
      <w:r>
        <w:rPr>
          <w:rFonts w:hint="eastAsia" w:ascii="宋体" w:hAnsi="宋体" w:cs="宋体"/>
          <w:kern w:val="0"/>
          <w:sz w:val="28"/>
          <w:szCs w:val="28"/>
          <w:highlight w:val="none"/>
        </w:rPr>
        <w:t>相关事项</w:t>
      </w:r>
      <w:r>
        <w:rPr>
          <w:rFonts w:hint="eastAsia" w:ascii="宋体" w:hAnsi="宋体" w:eastAsia="宋体" w:cs="宋体"/>
          <w:kern w:val="0"/>
          <w:sz w:val="28"/>
          <w:szCs w:val="28"/>
          <w:highlight w:val="none"/>
        </w:rPr>
        <w:t>按双方约定办理。</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第三十六条 </w:t>
      </w:r>
      <w:r>
        <w:rPr>
          <w:rFonts w:hint="eastAsia" w:ascii="宋体" w:hAnsi="宋体" w:eastAsia="宋体" w:cs="宋体"/>
          <w:kern w:val="0"/>
          <w:sz w:val="28"/>
          <w:szCs w:val="28"/>
          <w:highlight w:val="none"/>
        </w:rPr>
        <w:t>动力煤厂库标准仓单在港口提货时，按照本章第三节“车（船）板交割”相关规定办理。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第三十</w:t>
      </w:r>
      <w:r>
        <w:rPr>
          <w:rFonts w:ascii="黑体" w:hAnsi="黑体" w:eastAsia="黑体" w:cs="宋体"/>
          <w:kern w:val="0"/>
          <w:sz w:val="28"/>
          <w:szCs w:val="28"/>
          <w:highlight w:val="none"/>
        </w:rPr>
        <w:t>七</w:t>
      </w:r>
      <w:r>
        <w:rPr>
          <w:rFonts w:hint="eastAsia" w:ascii="黑体" w:hAnsi="黑体" w:eastAsia="黑体" w:cs="宋体"/>
          <w:kern w:val="0"/>
          <w:sz w:val="28"/>
          <w:szCs w:val="28"/>
          <w:highlight w:val="none"/>
        </w:rPr>
        <w:t xml:space="preserve">条 </w:t>
      </w:r>
      <w:r>
        <w:rPr>
          <w:rFonts w:hint="eastAsia" w:ascii="宋体" w:hAnsi="宋体" w:eastAsia="宋体" w:cs="宋体"/>
          <w:kern w:val="0"/>
          <w:sz w:val="28"/>
          <w:szCs w:val="28"/>
          <w:highlight w:val="none"/>
        </w:rPr>
        <w:t>动力煤交收时，重量溢短范围、质量检验适用本章第三节“车（船）板交割”有关规定。</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eastAsia="宋体" w:cs="宋体"/>
          <w:kern w:val="0"/>
          <w:sz w:val="28"/>
          <w:szCs w:val="28"/>
          <w:highlight w:val="none"/>
        </w:rPr>
        <w:t>提货人或者厂库</w:t>
      </w:r>
      <w:r>
        <w:rPr>
          <w:rFonts w:hint="eastAsia" w:ascii="宋体" w:hAnsi="宋体" w:eastAsia="宋体" w:cs="宋体"/>
          <w:color w:val="000000"/>
          <w:kern w:val="0"/>
          <w:sz w:val="28"/>
          <w:szCs w:val="28"/>
          <w:highlight w:val="none"/>
        </w:rPr>
        <w:t>对动力煤重量、质量有异议的，由</w:t>
      </w:r>
      <w:r>
        <w:rPr>
          <w:rFonts w:hint="eastAsia" w:ascii="宋体" w:hAnsi="宋体" w:eastAsia="宋体" w:cs="宋体"/>
          <w:kern w:val="0"/>
          <w:sz w:val="28"/>
          <w:szCs w:val="28"/>
          <w:highlight w:val="none"/>
        </w:rPr>
        <w:t>提货人</w:t>
      </w:r>
      <w:r>
        <w:rPr>
          <w:rFonts w:hint="eastAsia" w:ascii="宋体" w:hAnsi="宋体" w:eastAsia="宋体" w:cs="宋体"/>
          <w:color w:val="000000"/>
          <w:kern w:val="0"/>
          <w:sz w:val="28"/>
          <w:szCs w:val="28"/>
          <w:highlight w:val="none"/>
        </w:rPr>
        <w:t>和厂库协商解决；协商不成的，可以向交易所申请一次复检，并由申请方预交复检及相关费用。重量异议</w:t>
      </w:r>
      <w:r>
        <w:rPr>
          <w:rFonts w:hint="eastAsia" w:ascii="宋体" w:hAnsi="宋体" w:cs="宋体"/>
          <w:color w:val="000000"/>
          <w:kern w:val="0"/>
          <w:sz w:val="28"/>
          <w:szCs w:val="28"/>
          <w:highlight w:val="none"/>
        </w:rPr>
        <w:t>应当在出库前提出；质量异议应当在收到质检报告之日起5个工作日内提出。</w:t>
      </w:r>
      <w:r>
        <w:rPr>
          <w:rFonts w:hint="eastAsia" w:ascii="宋体" w:hAnsi="宋体" w:eastAsia="宋体" w:cs="Times New Roman"/>
          <w:sz w:val="28"/>
          <w:szCs w:val="28"/>
          <w:highlight w:val="none"/>
        </w:rPr>
        <w:t>复检项目限于收到基低位发热量、干燥基全硫、干燥无灰基挥发分和干燥基灰分</w:t>
      </w:r>
      <w:r>
        <w:rPr>
          <w:rFonts w:hint="eastAsia" w:ascii="宋体" w:hAnsi="宋体" w:eastAsia="宋体" w:cs="Times New Roman"/>
          <w:color w:val="000000"/>
          <w:kern w:val="0"/>
          <w:sz w:val="28"/>
          <w:szCs w:val="28"/>
          <w:highlight w:val="none"/>
        </w:rPr>
        <w:t>。复检样品仅限于保留样品。</w:t>
      </w:r>
      <w:r>
        <w:rPr>
          <w:rFonts w:hint="eastAsia" w:ascii="宋体" w:hAnsi="宋体" w:eastAsia="宋体" w:cs="宋体"/>
          <w:kern w:val="0"/>
          <w:sz w:val="28"/>
          <w:szCs w:val="28"/>
          <w:highlight w:val="none"/>
        </w:rPr>
        <w:t>具体流程按照《郑州商品交易所标准仓单管理办法》“厂库商品出库复检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第三十九条 </w:t>
      </w:r>
      <w:r>
        <w:rPr>
          <w:rFonts w:hint="eastAsia" w:ascii="宋体" w:hAnsi="宋体" w:eastAsia="宋体" w:cs="宋体"/>
          <w:kern w:val="0"/>
          <w:sz w:val="28"/>
          <w:szCs w:val="28"/>
          <w:highlight w:val="none"/>
        </w:rPr>
        <w:t>厂库或者提货人因故不能按照约定计划发货或者提货的，双方应当及时协商并妥善调整发货速度或者发货计划，并且过错方应当支付滞纳金。动力煤滞纳金由买卖双方协商解决。</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因厂库原因在约定的最后发货日起5个日历日内仍不能完成所有商品发货的，提货人可以要求厂库终止发货并支付赔偿金。赔偿金额=动力煤期货最近交割月最高交割结算价×应发未发的商品数量×120%。</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第四十条 </w:t>
      </w:r>
      <w:r>
        <w:rPr>
          <w:rFonts w:hint="eastAsia" w:ascii="宋体" w:hAnsi="宋体" w:eastAsia="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eastAsia="宋体" w:cs="宋体"/>
          <w:kern w:val="0"/>
          <w:sz w:val="28"/>
          <w:szCs w:val="28"/>
          <w:highlight w:val="none"/>
        </w:rPr>
      </w:pPr>
      <w:r>
        <w:rPr>
          <w:rFonts w:hint="eastAsia" w:ascii="黑体" w:hAnsi="黑体" w:eastAsia="黑体" w:cs="宋体"/>
          <w:kern w:val="0"/>
          <w:sz w:val="28"/>
          <w:szCs w:val="28"/>
          <w:highlight w:val="none"/>
        </w:rPr>
        <w:t xml:space="preserve">第四十一条 </w:t>
      </w:r>
      <w:r>
        <w:rPr>
          <w:rFonts w:hint="eastAsia" w:ascii="宋体" w:hAnsi="宋体" w:eastAsia="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eastAsia="宋体" w:cs="宋体"/>
          <w:kern w:val="0"/>
          <w:sz w:val="28"/>
          <w:szCs w:val="32"/>
          <w:highlight w:val="none"/>
        </w:rPr>
      </w:pPr>
      <w:r>
        <w:rPr>
          <w:rFonts w:hint="eastAsia" w:ascii="黑体" w:hAnsi="黑体" w:eastAsia="黑体" w:cs="宋体"/>
          <w:kern w:val="0"/>
          <w:sz w:val="28"/>
          <w:szCs w:val="28"/>
          <w:highlight w:val="none"/>
        </w:rPr>
        <w:t xml:space="preserve">第四十二条 </w:t>
      </w:r>
      <w:r>
        <w:rPr>
          <w:rFonts w:hint="eastAsia" w:ascii="宋体" w:hAnsi="宋体" w:eastAsia="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w:t>
      </w:r>
      <w:r>
        <w:rPr>
          <w:rFonts w:ascii="黑体" w:hAnsi="黑体" w:eastAsia="黑体" w:cs="宋体"/>
          <w:color w:val="000000"/>
          <w:kern w:val="0"/>
          <w:sz w:val="30"/>
          <w:szCs w:val="30"/>
          <w:highlight w:val="none"/>
        </w:rPr>
        <w:t xml:space="preserve"> 风险管理</w:t>
      </w:r>
    </w:p>
    <w:p>
      <w:pPr>
        <w:tabs>
          <w:tab w:val="left" w:pos="1620"/>
        </w:tabs>
        <w:autoSpaceDE w:val="0"/>
        <w:autoSpaceDN w:val="0"/>
        <w:ind w:firstLine="585" w:firstLineChars="209"/>
        <w:jc w:val="left"/>
        <w:rPr>
          <w:rFonts w:ascii="宋体" w:hAnsi="宋体" w:eastAsia="宋体" w:cs="宋体"/>
          <w:color w:val="000000"/>
          <w:kern w:val="0"/>
          <w:sz w:val="28"/>
          <w:szCs w:val="28"/>
          <w:highlight w:val="none"/>
        </w:rPr>
      </w:pPr>
      <w:r>
        <w:rPr>
          <w:rFonts w:hint="eastAsia" w:ascii="黑体" w:hAnsi="黑体" w:eastAsia="黑体" w:cs="宋体"/>
          <w:kern w:val="0"/>
          <w:sz w:val="28"/>
          <w:szCs w:val="28"/>
          <w:highlight w:val="none"/>
        </w:rPr>
        <w:t xml:space="preserve">第四十三条 </w:t>
      </w:r>
      <w:r>
        <w:rPr>
          <w:rFonts w:hint="eastAsia" w:ascii="宋体" w:hAnsi="宋体" w:eastAsia="宋体" w:cs="宋体"/>
          <w:color w:val="000000"/>
          <w:kern w:val="0"/>
          <w:sz w:val="28"/>
          <w:szCs w:val="28"/>
          <w:highlight w:val="none"/>
        </w:rPr>
        <w:t>动力煤期货合约最低交易保证金标准为合约价值的5%。</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动力煤期货合约交易保证金标准见下表：</w:t>
      </w:r>
    </w:p>
    <w:tbl>
      <w:tblPr>
        <w:tblStyle w:val="12"/>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left="142" w:hanging="141" w:hangingChars="59"/>
              <w:jc w:val="center"/>
              <w:rPr>
                <w:rFonts w:ascii="宋体" w:hAnsi="宋体" w:cs="宋体"/>
                <w:kern w:val="2"/>
                <w:sz w:val="24"/>
                <w:szCs w:val="24"/>
                <w:highlight w:val="none"/>
              </w:rPr>
            </w:pPr>
            <w:r>
              <w:rPr>
                <w:rFonts w:ascii="宋体" w:hAnsi="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cs="宋体"/>
                <w:kern w:val="2"/>
                <w:sz w:val="24"/>
                <w:szCs w:val="24"/>
                <w:highlight w:val="none"/>
              </w:rPr>
            </w:pPr>
            <w:r>
              <w:rPr>
                <w:rFonts w:ascii="宋体" w:hAnsi="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cs="宋体"/>
                <w:kern w:val="2"/>
                <w:sz w:val="24"/>
                <w:szCs w:val="24"/>
                <w:highlight w:val="none"/>
              </w:rPr>
            </w:pPr>
            <w:r>
              <w:rPr>
                <w:rFonts w:hint="eastAsia" w:ascii="宋体" w:hAnsi="宋体" w:cs="宋体"/>
                <w:color w:val="000000"/>
                <w:kern w:val="0"/>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cs="宋体"/>
                <w:kern w:val="2"/>
                <w:sz w:val="24"/>
                <w:szCs w:val="24"/>
                <w:highlight w:val="none"/>
              </w:rPr>
            </w:pPr>
            <w:r>
              <w:rPr>
                <w:rFonts w:hint="eastAsia" w:ascii="宋体" w:hAnsi="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cs="宋体"/>
                <w:color w:val="000000"/>
                <w:kern w:val="2"/>
                <w:sz w:val="24"/>
                <w:szCs w:val="24"/>
                <w:highlight w:val="none"/>
              </w:rPr>
            </w:pPr>
            <w:r>
              <w:rPr>
                <w:rFonts w:hint="eastAsia" w:ascii="宋体" w:hAnsi="宋体" w:cs="宋体"/>
                <w:color w:val="000000"/>
                <w:kern w:val="0"/>
                <w:sz w:val="24"/>
                <w:szCs w:val="24"/>
                <w:highlight w:val="none"/>
              </w:rPr>
              <w:t>合约价值的20%</w:t>
            </w:r>
          </w:p>
        </w:tc>
      </w:tr>
    </w:tbl>
    <w:p>
      <w:pPr>
        <w:tabs>
          <w:tab w:val="left" w:pos="1620"/>
        </w:tabs>
        <w:autoSpaceDE w:val="0"/>
        <w:autoSpaceDN w:val="0"/>
        <w:spacing w:before="240"/>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kern w:val="0"/>
          <w:sz w:val="28"/>
          <w:szCs w:val="28"/>
          <w:highlight w:val="none"/>
        </w:rPr>
        <w:t>第四十</w:t>
      </w:r>
      <w:r>
        <w:rPr>
          <w:rFonts w:ascii="黑体" w:hAnsi="黑体" w:eastAsia="黑体" w:cs="宋体"/>
          <w:kern w:val="0"/>
          <w:sz w:val="28"/>
          <w:szCs w:val="28"/>
          <w:highlight w:val="none"/>
        </w:rPr>
        <w:t>四</w:t>
      </w:r>
      <w:r>
        <w:rPr>
          <w:rFonts w:hint="eastAsia" w:ascii="黑体" w:hAnsi="黑体" w:eastAsia="黑体" w:cs="宋体"/>
          <w:kern w:val="0"/>
          <w:sz w:val="28"/>
          <w:szCs w:val="28"/>
          <w:highlight w:val="none"/>
        </w:rPr>
        <w:t xml:space="preserve">条 </w:t>
      </w:r>
      <w:r>
        <w:rPr>
          <w:rFonts w:hint="eastAsia" w:ascii="宋体" w:hAnsi="宋体" w:eastAsia="宋体" w:cs="宋体"/>
          <w:kern w:val="0"/>
          <w:sz w:val="28"/>
          <w:szCs w:val="28"/>
          <w:highlight w:val="none"/>
        </w:rPr>
        <w:t>动力煤期货合约每日涨跌停板幅度为前一交易日结算价的±</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28"/>
          <w:highlight w:val="none"/>
        </w:rPr>
        <w:t>第四十</w:t>
      </w:r>
      <w:r>
        <w:rPr>
          <w:rFonts w:ascii="黑体" w:hAnsi="黑体" w:eastAsia="黑体" w:cs="宋体"/>
          <w:kern w:val="0"/>
          <w:sz w:val="28"/>
          <w:szCs w:val="28"/>
          <w:highlight w:val="none"/>
        </w:rPr>
        <w:t>五</w:t>
      </w:r>
      <w:r>
        <w:rPr>
          <w:rFonts w:hint="eastAsia" w:ascii="黑体" w:hAnsi="黑体" w:eastAsia="黑体" w:cs="宋体"/>
          <w:kern w:val="0"/>
          <w:sz w:val="28"/>
          <w:szCs w:val="28"/>
          <w:highlight w:val="none"/>
        </w:rPr>
        <w:t xml:space="preserve">条 </w:t>
      </w:r>
      <w:r>
        <w:rPr>
          <w:rFonts w:hint="eastAsia" w:ascii="宋体" w:hAnsi="宋体" w:eastAsia="宋体" w:cs="宋体"/>
          <w:kern w:val="0"/>
          <w:sz w:val="28"/>
          <w:szCs w:val="28"/>
          <w:highlight w:val="none"/>
        </w:rPr>
        <w:t>动力煤</w:t>
      </w:r>
      <w:r>
        <w:rPr>
          <w:rFonts w:hint="eastAsia" w:ascii="宋体" w:hAnsi="宋体" w:eastAsia="宋体" w:cs="宋体"/>
          <w:color w:val="000000"/>
          <w:kern w:val="0"/>
          <w:sz w:val="28"/>
          <w:szCs w:val="28"/>
          <w:highlight w:val="none"/>
        </w:rPr>
        <w:t>期货合约限仓标准见下表：</w:t>
      </w:r>
    </w:p>
    <w:tbl>
      <w:tblPr>
        <w:tblStyle w:val="12"/>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12"/>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noWrap w:val="0"/>
            <w:vAlign w:val="center"/>
          </w:tcPr>
          <w:p>
            <w:pPr>
              <w:tabs>
                <w:tab w:val="left" w:pos="1620"/>
              </w:tabs>
              <w:autoSpaceDE w:val="0"/>
              <w:autoSpaceDN w:val="0"/>
              <w:ind w:left="142" w:hanging="141" w:hangingChars="59"/>
              <w:jc w:val="center"/>
              <w:rPr>
                <w:rFonts w:ascii="宋体" w:hAnsi="宋体" w:cs="宋体"/>
                <w:kern w:val="0"/>
                <w:sz w:val="24"/>
                <w:szCs w:val="24"/>
                <w:highlight w:val="none"/>
              </w:rPr>
            </w:pPr>
            <w:r>
              <w:rPr>
                <w:rFonts w:ascii="宋体" w:hAnsi="宋体" w:cs="宋体"/>
                <w:kern w:val="0"/>
                <w:sz w:val="24"/>
                <w:szCs w:val="24"/>
                <w:highlight w:val="none"/>
              </w:rPr>
              <w:t>交易时间段</w:t>
            </w:r>
          </w:p>
        </w:tc>
        <w:tc>
          <w:tcPr>
            <w:tcW w:w="2693"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kern w:val="0"/>
                <w:sz w:val="24"/>
                <w:szCs w:val="24"/>
                <w:highlight w:val="none"/>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自合约挂牌至交割月前二个月最后一个日历日期间的交易日</w:t>
            </w:r>
          </w:p>
        </w:tc>
        <w:tc>
          <w:tcPr>
            <w:tcW w:w="2693"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4"/>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自交割月前一个月第一个日历日至交割月前一个月第15个日历日期间的交易日</w:t>
            </w:r>
          </w:p>
        </w:tc>
        <w:tc>
          <w:tcPr>
            <w:tcW w:w="2693"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4"/>
                <w:highlight w:val="none"/>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81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自交割月前一个月第16个日历日至交割月前一个月最后一个日历日期间的交易日</w:t>
            </w:r>
          </w:p>
        </w:tc>
        <w:tc>
          <w:tcPr>
            <w:tcW w:w="2693" w:type="dxa"/>
            <w:noWrap w:val="0"/>
            <w:vAlign w:val="center"/>
          </w:tcPr>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交割月份</w:t>
            </w:r>
          </w:p>
        </w:tc>
        <w:tc>
          <w:tcPr>
            <w:tcW w:w="2693" w:type="dxa"/>
            <w:noWrap w:val="0"/>
            <w:vAlign w:val="center"/>
          </w:tcPr>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200</w:t>
            </w:r>
          </w:p>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（自然人客户最大单边持仓量为0）</w:t>
            </w:r>
          </w:p>
        </w:tc>
      </w:tr>
    </w:tbl>
    <w:p>
      <w:pPr>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28"/>
          <w:highlight w:val="none"/>
        </w:rPr>
        <w:t>第四十</w:t>
      </w:r>
      <w:r>
        <w:rPr>
          <w:rFonts w:ascii="黑体" w:hAnsi="黑体" w:eastAsia="黑体" w:cs="宋体"/>
          <w:kern w:val="0"/>
          <w:sz w:val="28"/>
          <w:szCs w:val="28"/>
          <w:highlight w:val="none"/>
        </w:rPr>
        <w:t>六</w:t>
      </w:r>
      <w:r>
        <w:rPr>
          <w:rFonts w:hint="eastAsia" w:ascii="黑体" w:hAnsi="黑体" w:eastAsia="黑体" w:cs="宋体"/>
          <w:kern w:val="0"/>
          <w:sz w:val="28"/>
          <w:szCs w:val="28"/>
          <w:highlight w:val="none"/>
        </w:rPr>
        <w:t xml:space="preserve">条 </w:t>
      </w:r>
      <w:r>
        <w:rPr>
          <w:rFonts w:hint="eastAsia" w:ascii="宋体" w:hAnsi="宋体" w:eastAsia="宋体" w:cs="宋体"/>
          <w:color w:val="000000"/>
          <w:kern w:val="0"/>
          <w:sz w:val="28"/>
          <w:szCs w:val="28"/>
          <w:highlight w:val="none"/>
        </w:rPr>
        <w:t>根据《郑州商品交易所期货交易风险控制管理办法》等有关规定，交易所对动力煤期货合约交易保证金标准、涨跌停板幅度进行调整的，按照相关标准执行。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 xml:space="preserve">第四十七条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 xml:space="preserve">第四十八条 </w:t>
      </w:r>
      <w:r>
        <w:rPr>
          <w:rFonts w:hint="eastAsia" w:ascii="宋体" w:hAnsi="宋体" w:eastAsia="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32"/>
          <w:highlight w:val="none"/>
        </w:rPr>
        <w:t xml:space="preserve">第四十九条 </w:t>
      </w:r>
      <w:r>
        <w:rPr>
          <w:rFonts w:hint="eastAsia" w:ascii="宋体" w:hAnsi="宋体" w:eastAsia="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32"/>
          <w:highlight w:val="none"/>
        </w:rPr>
        <w:t xml:space="preserve">第五十条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30</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p>
      <w:pPr>
        <w:rPr>
          <w:rFonts w:ascii="仿宋" w:hAnsi="仿宋" w:eastAsia="仿宋"/>
          <w:sz w:val="32"/>
        </w:rPr>
      </w:pPr>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146E3"/>
    <w:multiLevelType w:val="multilevel"/>
    <w:tmpl w:val="6E7146E3"/>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EBB4C35"/>
    <w:rsid w:val="1A4551F3"/>
    <w:rsid w:val="38F28EAB"/>
    <w:rsid w:val="3A7A288C"/>
    <w:rsid w:val="3B7F3A07"/>
    <w:rsid w:val="3E75DDE9"/>
    <w:rsid w:val="4F7F214C"/>
    <w:rsid w:val="4FDB5C7C"/>
    <w:rsid w:val="57AF6CAA"/>
    <w:rsid w:val="5935029C"/>
    <w:rsid w:val="5FEBF320"/>
    <w:rsid w:val="6DEFB75C"/>
    <w:rsid w:val="73781649"/>
    <w:rsid w:val="74672A49"/>
    <w:rsid w:val="77658975"/>
    <w:rsid w:val="77FDDD4F"/>
    <w:rsid w:val="78031D0F"/>
    <w:rsid w:val="793F5413"/>
    <w:rsid w:val="7BDB3BAB"/>
    <w:rsid w:val="7F3A9642"/>
    <w:rsid w:val="7F7EC4DC"/>
    <w:rsid w:val="7FFF21B9"/>
    <w:rsid w:val="7FFF66E6"/>
    <w:rsid w:val="9EBF9946"/>
    <w:rsid w:val="ABF7E52D"/>
    <w:rsid w:val="AD3BA862"/>
    <w:rsid w:val="B277AA37"/>
    <w:rsid w:val="B7DB79C1"/>
    <w:rsid w:val="B7DF54C1"/>
    <w:rsid w:val="B7F46CC3"/>
    <w:rsid w:val="BB9D6865"/>
    <w:rsid w:val="BBFF748E"/>
    <w:rsid w:val="BCF67580"/>
    <w:rsid w:val="BDF7C7A2"/>
    <w:rsid w:val="D7FC92A3"/>
    <w:rsid w:val="DA75F687"/>
    <w:rsid w:val="DB774FF4"/>
    <w:rsid w:val="DFEE65DF"/>
    <w:rsid w:val="DFFE3D89"/>
    <w:rsid w:val="E6EF5D52"/>
    <w:rsid w:val="ECF3213F"/>
    <w:rsid w:val="EF7F26DB"/>
    <w:rsid w:val="F5BEE958"/>
    <w:rsid w:val="FA77675A"/>
    <w:rsid w:val="FB7397E0"/>
    <w:rsid w:val="FB755137"/>
    <w:rsid w:val="FD6FDA38"/>
    <w:rsid w:val="FDB29375"/>
    <w:rsid w:val="FF7A6CFC"/>
    <w:rsid w:val="FF7F6641"/>
    <w:rsid w:val="FFD649DA"/>
    <w:rsid w:val="FFD67B27"/>
    <w:rsid w:val="FFF763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qFormat/>
    <w:uiPriority w:val="0"/>
    <w:rPr>
      <w:rFonts w:ascii="仿宋_GB2312" w:eastAsia="仿宋_GB2312"/>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日期 Char"/>
    <w:basedOn w:val="7"/>
    <w:link w:val="3"/>
    <w:qFormat/>
    <w:uiPriority w:val="0"/>
    <w:rPr>
      <w:rFonts w:ascii="仿宋_GB2312" w:hAnsi="Times New Roman" w:eastAsia="仿宋_GB2312" w:cs="Times New Roman"/>
      <w:sz w:val="32"/>
      <w:szCs w:val="24"/>
    </w:rPr>
  </w:style>
  <w:style w:type="character" w:customStyle="1" w:styleId="11">
    <w:name w:val="页眉 Char"/>
    <w:basedOn w:val="7"/>
    <w:link w:val="5"/>
    <w:qFormat/>
    <w:uiPriority w:val="99"/>
    <w:rPr>
      <w:rFonts w:ascii="Times New Roman" w:hAnsi="Times New Roman" w:eastAsia="宋体" w:cs="Times New Roman"/>
      <w:sz w:val="18"/>
      <w:szCs w:val="18"/>
    </w:rPr>
  </w:style>
  <w:style w:type="table" w:customStyle="1" w:styleId="12">
    <w:name w:val="网格型1"/>
    <w:basedOn w:val="6"/>
    <w:qFormat/>
    <w:uiPriority w:val="59"/>
    <w:pPr>
      <w:jc w:val="both"/>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2019-09-25T14:10:00Z</dcterms:created>
  <dc:creator>CN=李小鹏/OU=办公室/O=CZCE</dc:creator>
  <cp:lastModifiedBy>王新宇</cp:lastModifiedBy>
  <dcterms:modified xsi:type="dcterms:W3CDTF">2025-09-30T16:41:08Z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9A952B1F370B4FCB37A3D368F5B77EB1</vt:lpwstr>
  </property>
</Properties>
</file>