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bCs/>
          <w:sz w:val="44"/>
          <w:szCs w:val="44"/>
        </w:rPr>
      </w:pPr>
      <w:bookmarkStart w:id="0" w:name="_GoBack"/>
      <w:r>
        <w:rPr>
          <w:rFonts w:hint="eastAsia" w:ascii="黑体" w:hAnsi="黑体" w:eastAsia="黑体"/>
          <w:sz w:val="32"/>
          <w:szCs w:val="32"/>
        </w:rPr>
        <w:t>附件1</w:t>
      </w:r>
    </w:p>
    <w:p>
      <w:pPr>
        <w:widowControl/>
        <w:spacing w:line="360" w:lineRule="auto"/>
        <w:jc w:val="center"/>
        <w:rPr>
          <w:rFonts w:ascii="方正小标宋简体" w:eastAsia="方正小标宋简体"/>
          <w:kern w:val="0"/>
          <w:sz w:val="44"/>
          <w:szCs w:val="44"/>
        </w:rPr>
      </w:pPr>
      <w:r>
        <w:rPr>
          <w:rFonts w:ascii="方正小标宋简体" w:eastAsia="方正小标宋简体"/>
          <w:kern w:val="0"/>
          <w:sz w:val="44"/>
          <w:szCs w:val="44"/>
        </w:rPr>
        <w:t>关于修订</w:t>
      </w:r>
      <w:r>
        <w:rPr>
          <w:rFonts w:hint="eastAsia" w:ascii="方正小标宋_GBK" w:hAnsi="方正小标宋_GBK" w:eastAsia="方正小标宋_GBK" w:cs="方正小标宋_GBK"/>
          <w:sz w:val="44"/>
          <w:szCs w:val="44"/>
        </w:rPr>
        <w:t>《郑州商品交易</w:t>
      </w:r>
      <w:r>
        <w:rPr>
          <w:rFonts w:hint="eastAsia" w:ascii="方正小标宋_GBK" w:hAnsi="方正小标宋_GBK" w:eastAsia="方正小标宋_GBK" w:cs="方正小标宋_GBK"/>
          <w:sz w:val="44"/>
          <w:szCs w:val="44"/>
          <w:lang w:eastAsia="zh-CN"/>
        </w:rPr>
        <w:t>所指</w:t>
      </w:r>
      <w:r>
        <w:rPr>
          <w:rFonts w:hint="eastAsia" w:ascii="方正小标宋_GBK" w:hAnsi="方正小标宋_GBK" w:eastAsia="方正小标宋_GBK" w:cs="方正小标宋_GBK"/>
          <w:sz w:val="44"/>
          <w:szCs w:val="44"/>
        </w:rPr>
        <w:t>定商品交割仓库管理办法》《郑州商品交易所</w:t>
      </w:r>
      <w:r>
        <w:rPr>
          <w:rFonts w:hint="eastAsia" w:ascii="方正小标宋_GBK" w:hAnsi="方正小标宋_GBK" w:eastAsia="方正小标宋_GBK" w:cs="方正小标宋_GBK"/>
          <w:sz w:val="44"/>
          <w:szCs w:val="44"/>
          <w:lang w:eastAsia="zh-CN"/>
        </w:rPr>
        <w:t>指</w:t>
      </w:r>
      <w:r>
        <w:rPr>
          <w:rFonts w:hint="eastAsia" w:ascii="方正小标宋_GBK" w:hAnsi="方正小标宋_GBK" w:eastAsia="方正小标宋_GBK" w:cs="方正小标宋_GBK"/>
          <w:sz w:val="44"/>
          <w:szCs w:val="44"/>
        </w:rPr>
        <w:t>定商品交割厂库管理办法》</w:t>
      </w:r>
      <w:r>
        <w:rPr>
          <w:rFonts w:hint="eastAsia" w:ascii="方正小标宋简体" w:eastAsia="方正小标宋简体"/>
          <w:kern w:val="0"/>
          <w:sz w:val="44"/>
          <w:szCs w:val="44"/>
        </w:rPr>
        <w:t>的说明</w:t>
      </w:r>
      <w:bookmarkEnd w:id="0"/>
    </w:p>
    <w:p>
      <w:pPr>
        <w:keepNext w:val="0"/>
        <w:keepLines w:val="0"/>
        <w:pageBreakBefore w:val="0"/>
        <w:widowControl w:val="0"/>
        <w:suppressAutoHyphens/>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仿宋"/>
          <w:color w:val="auto"/>
          <w:sz w:val="32"/>
          <w:szCs w:val="32"/>
          <w:lang w:val="en-US" w:eastAsia="zh-CN"/>
        </w:rPr>
        <w:t>为进一步提升交割业务运行质效，促进期货市场功能发挥，郑州商品交易所拟对《郑州商品交易所指定商品交割仓库管理办法》（以下简称《交割仓库管理办法》）《郑州商品交易所指定商品交割厂库管理办法》（以下简称《交割厂库管理办法》）相关规定进行修订。</w:t>
      </w:r>
      <w:r>
        <w:rPr>
          <w:rFonts w:hint="eastAsia" w:ascii="仿宋" w:hAnsi="仿宋" w:eastAsia="仿宋"/>
          <w:sz w:val="32"/>
          <w:szCs w:val="32"/>
          <w:lang w:val="en-US" w:eastAsia="zh-CN"/>
        </w:rPr>
        <w:t>现将有关事项说明如下。</w:t>
      </w:r>
    </w:p>
    <w:p>
      <w:pPr>
        <w:keepNext w:val="0"/>
        <w:keepLines w:val="0"/>
        <w:pageBreakBefore w:val="0"/>
        <w:widowControl w:val="0"/>
        <w:suppressAutoHyphens/>
        <w:kinsoku/>
        <w:wordWrap/>
        <w:overflowPunct/>
        <w:topLinePunct w:val="0"/>
        <w:autoSpaceDE/>
        <w:autoSpaceDN/>
        <w:bidi w:val="0"/>
        <w:adjustRightInd/>
        <w:snapToGrid/>
        <w:ind w:firstLine="642"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1.</w:t>
      </w:r>
      <w:r>
        <w:rPr>
          <w:rFonts w:hint="eastAsia" w:ascii="仿宋" w:hAnsi="仿宋" w:eastAsia="仿宋" w:cs="仿宋"/>
          <w:sz w:val="32"/>
          <w:szCs w:val="32"/>
          <w:lang w:val="en-US" w:eastAsia="zh-CN"/>
        </w:rPr>
        <w:t>在《交割仓库管理办法》第二条交割仓库界定条款中增加第三款内容，即：一个或多个交割仓库由交易所认可的具有集团管理能力和担保能力的机构（以下简称集团）进行集团化管理的，可以为指定商品期货提供集团交割业务；在《交割厂库管理办法》第二条交割厂库界定条款中增加第二款内容，即：一个或多个交割厂库由交易所认可的具有集团管理能力和担保能力的机构（以下简称集团）进行集团化管理的，可以为指定商品期货提供集团交割业务。该修订的主要考虑是为进一步优化交割业务管理提供制度依据。</w:t>
      </w:r>
    </w:p>
    <w:p>
      <w:pPr>
        <w:keepNext w:val="0"/>
        <w:keepLines w:val="0"/>
        <w:pageBreakBefore w:val="0"/>
        <w:widowControl w:val="0"/>
        <w:suppressAutoHyphens/>
        <w:kinsoku/>
        <w:wordWrap/>
        <w:overflowPunct/>
        <w:topLinePunct w:val="0"/>
        <w:autoSpaceDE/>
        <w:autoSpaceDN/>
        <w:bidi w:val="0"/>
        <w:adjustRightInd/>
        <w:snapToGrid/>
        <w:ind w:firstLine="64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2.</w:t>
      </w:r>
      <w:r>
        <w:rPr>
          <w:rFonts w:hint="eastAsia" w:ascii="仿宋" w:hAnsi="仿宋" w:eastAsia="仿宋" w:cs="仿宋"/>
          <w:sz w:val="32"/>
          <w:szCs w:val="32"/>
          <w:lang w:val="en-US" w:eastAsia="zh-CN"/>
        </w:rPr>
        <w:t>将《交割仓库管理办法》第三条“…，交割仓库及其有关工作人员应当遵守本办法”改为“…，交割仓库、</w:t>
      </w:r>
      <w:r>
        <w:rPr>
          <w:rFonts w:hint="eastAsia" w:ascii="仿宋" w:hAnsi="仿宋" w:eastAsia="仿宋" w:cs="仿宋"/>
          <w:b w:val="0"/>
          <w:bCs w:val="0"/>
          <w:sz w:val="32"/>
          <w:szCs w:val="32"/>
          <w:lang w:val="en-US" w:eastAsia="zh-CN"/>
        </w:rPr>
        <w:t>集团</w:t>
      </w:r>
      <w:r>
        <w:rPr>
          <w:rFonts w:hint="eastAsia" w:ascii="仿宋" w:hAnsi="仿宋" w:eastAsia="仿宋" w:cs="仿宋"/>
          <w:sz w:val="32"/>
          <w:szCs w:val="32"/>
          <w:lang w:val="en-US" w:eastAsia="zh-CN"/>
        </w:rPr>
        <w:t>及其有关工作人员应当遵守本办法”；将《交割厂库管理办法》第三条“…，厂库及其有关工作人员应当遵守本办法”改为“…，厂库、集团及其有关工作人员应当遵守本办法”。该修订的主要考虑是将上述办法的适用范围扩展到新的交割业务参与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color w:val="auto"/>
          <w:sz w:val="32"/>
          <w:szCs w:val="32"/>
          <w:lang w:val="en-US" w:eastAsia="zh-CN"/>
        </w:rPr>
        <w:t>3.</w:t>
      </w:r>
      <w:r>
        <w:rPr>
          <w:rFonts w:hint="eastAsia" w:ascii="仿宋" w:hAnsi="仿宋" w:eastAsia="仿宋" w:cs="仿宋"/>
          <w:color w:val="auto"/>
          <w:sz w:val="32"/>
          <w:szCs w:val="32"/>
          <w:lang w:val="en-US" w:eastAsia="zh-CN"/>
        </w:rPr>
        <w:t>将</w:t>
      </w:r>
      <w:r>
        <w:rPr>
          <w:rFonts w:hint="eastAsia" w:ascii="仿宋" w:hAnsi="仿宋" w:eastAsia="仿宋" w:cs="仿宋"/>
          <w:sz w:val="32"/>
          <w:szCs w:val="32"/>
          <w:lang w:val="en-US" w:eastAsia="zh-CN"/>
        </w:rPr>
        <w:t>《交割仓库管理办法》第五条第五项由“交易所要求的担保文件”修改为“交易所要求的担保文件，集团交割业务另有规定的，从其规定”。该修订充分考虑集团交割业务特点，做好现有制度与新制度的衔接。</w:t>
      </w:r>
    </w:p>
    <w:p>
      <w:pPr>
        <w:keepNext w:val="0"/>
        <w:keepLines w:val="0"/>
        <w:pageBreakBefore w:val="0"/>
        <w:widowControl/>
        <w:numPr>
          <w:ilvl w:val="-1"/>
          <w:numId w:val="0"/>
        </w:numPr>
        <w:suppressAutoHyphens/>
        <w:kinsoku/>
        <w:wordWrap/>
        <w:overflowPunct/>
        <w:topLinePunct w:val="0"/>
        <w:autoSpaceDE/>
        <w:autoSpaceDN/>
        <w:bidi w:val="0"/>
        <w:adjustRightInd/>
        <w:snapToGrid/>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4.</w:t>
      </w:r>
      <w:r>
        <w:rPr>
          <w:rFonts w:hint="eastAsia" w:ascii="仿宋" w:hAnsi="仿宋" w:eastAsia="仿宋" w:cs="仿宋"/>
          <w:b w:val="0"/>
          <w:bCs w:val="0"/>
          <w:sz w:val="32"/>
          <w:szCs w:val="32"/>
          <w:lang w:val="en-US" w:eastAsia="zh-CN"/>
        </w:rPr>
        <w:t>删除《交割仓库管理办法》第十八条内容，为后续货权人查货提供规则依据。</w:t>
      </w:r>
    </w:p>
    <w:p>
      <w:pPr>
        <w:keepNext w:val="0"/>
        <w:keepLines w:val="0"/>
        <w:pageBreakBefore w:val="0"/>
        <w:widowControl w:val="0"/>
        <w:suppressAutoHyphens/>
        <w:kinsoku/>
        <w:wordWrap/>
        <w:overflowPunct/>
        <w:topLinePunct w:val="0"/>
        <w:autoSpaceDE/>
        <w:autoSpaceDN/>
        <w:bidi w:val="0"/>
        <w:adjustRightInd/>
        <w:snapToGrid/>
        <w:ind w:firstLine="642" w:firstLineChars="200"/>
        <w:textAlignment w:val="auto"/>
        <w:rPr>
          <w:rFonts w:ascii="仿宋" w:hAnsi="仿宋" w:eastAsia="仿宋"/>
          <w:sz w:val="32"/>
        </w:rPr>
      </w:pPr>
      <w:r>
        <w:rPr>
          <w:rFonts w:hint="eastAsia" w:ascii="仿宋" w:hAnsi="仿宋" w:eastAsia="仿宋" w:cs="仿宋"/>
          <w:b/>
          <w:bCs/>
          <w:sz w:val="32"/>
          <w:szCs w:val="32"/>
          <w:lang w:val="en-US" w:eastAsia="zh-CN"/>
        </w:rPr>
        <w:t>5.</w:t>
      </w:r>
      <w:r>
        <w:rPr>
          <w:rFonts w:hint="eastAsia" w:ascii="仿宋" w:hAnsi="仿宋" w:eastAsia="仿宋" w:cs="仿宋"/>
          <w:sz w:val="32"/>
          <w:szCs w:val="32"/>
          <w:lang w:val="en-US" w:eastAsia="zh-CN"/>
        </w:rPr>
        <w:t>将《交割仓库管理办法》第二十六条和《交割厂库管理办法》第十九条“…按中国人民银行公布的同期银行活期存款利率每年计息一次”改为“…利息每季度计息一次。具体执行利率由交易所确定、调整并公布”。该修订内容与《郑州商品交易所期货结算管理办法》相关内容保持一致。</w:t>
      </w: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FF22D1"/>
    <w:rsid w:val="3E77B648"/>
    <w:rsid w:val="556DC448"/>
    <w:rsid w:val="59F0FC4A"/>
    <w:rsid w:val="6EFF6AC1"/>
    <w:rsid w:val="73AFA071"/>
    <w:rsid w:val="75FD8219"/>
    <w:rsid w:val="77BBB491"/>
    <w:rsid w:val="77D6719D"/>
    <w:rsid w:val="78031D0F"/>
    <w:rsid w:val="79D7CE1B"/>
    <w:rsid w:val="7BB740E7"/>
    <w:rsid w:val="7BEB6FDD"/>
    <w:rsid w:val="7F7F281F"/>
    <w:rsid w:val="7F7FE943"/>
    <w:rsid w:val="7FFF2932"/>
    <w:rsid w:val="7FFF761B"/>
    <w:rsid w:val="A2776DEF"/>
    <w:rsid w:val="AF6F764B"/>
    <w:rsid w:val="B3FF34CE"/>
    <w:rsid w:val="BE5CB602"/>
    <w:rsid w:val="BFFCBC0E"/>
    <w:rsid w:val="E2FD54D1"/>
    <w:rsid w:val="EBAFD9C2"/>
    <w:rsid w:val="EF53B328"/>
    <w:rsid w:val="EFF5E4E4"/>
    <w:rsid w:val="EFFF1742"/>
    <w:rsid w:val="F33F5B6C"/>
    <w:rsid w:val="FD751787"/>
    <w:rsid w:val="FD9C65CE"/>
    <w:rsid w:val="FE74DDD0"/>
    <w:rsid w:val="FF4F0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脚 Char"/>
    <w:basedOn w:val="7"/>
    <w:link w:val="3"/>
    <w:qFormat/>
    <w:uiPriority w:val="0"/>
    <w:rPr>
      <w:rFonts w:ascii="Times New Roman" w:hAnsi="Times New Roman" w:eastAsia="宋体" w:cs="Times New Roman"/>
      <w:sz w:val="18"/>
      <w:szCs w:val="18"/>
    </w:rPr>
  </w:style>
  <w:style w:type="character" w:customStyle="1" w:styleId="11">
    <w:name w:val="日期 Char"/>
    <w:basedOn w:val="7"/>
    <w:link w:val="2"/>
    <w:qFormat/>
    <w:uiPriority w:val="0"/>
    <w:rPr>
      <w:rFonts w:ascii="仿宋_GB2312" w:hAnsi="Times New Roman" w:eastAsia="仿宋_GB2312" w:cs="Times New Roman"/>
      <w:sz w:val="32"/>
      <w:szCs w:val="24"/>
    </w:rPr>
  </w:style>
  <w:style w:type="character" w:customStyle="1" w:styleId="12">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cp:lastPrinted>2026-09-13T07:01:00Z</cp:lastPrinted>
  <dcterms:modified xsi:type="dcterms:W3CDTF">2026-09-10T17:41:54Z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B06A098D2E0E4B9D6A829E6A00C81687</vt:lpwstr>
  </property>
</Properties>
</file>