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autoSpaceDE/>
        <w:autoSpaceDN/>
        <w:bidi w:val="0"/>
        <w:adjustRightInd/>
        <w:snapToGrid/>
        <w:spacing w:before="0" w:beforeLines="0" w:after="0" w:afterLines="0"/>
        <w:jc w:val="both"/>
        <w:textAlignment w:val="auto"/>
        <w:rPr>
          <w:rFonts w:hint="default" w:ascii="宋体" w:hAnsi="宋体" w:eastAsia="宋体" w:cs="宋体"/>
          <w:sz w:val="36"/>
          <w:szCs w:val="36"/>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4</w:t>
      </w:r>
    </w:p>
    <w:p>
      <w:pPr>
        <w:pStyle w:val="2"/>
        <w:keepNext w:val="0"/>
        <w:keepLines w:val="0"/>
        <w:pageBreakBefore w:val="0"/>
        <w:widowControl w:val="0"/>
        <w:kinsoku/>
        <w:wordWrap/>
        <w:overflowPunct/>
        <w:topLinePunct/>
        <w:autoSpaceDE/>
        <w:autoSpaceDN/>
        <w:bidi w:val="0"/>
        <w:spacing w:before="0" w:beforeLines="0" w:after="0" w:afterLine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郑州商品交易所丙烯期货业务细则</w:t>
      </w:r>
    </w:p>
    <w:p>
      <w:pPr>
        <w:keepNext w:val="0"/>
        <w:keepLines w:val="0"/>
        <w:pageBreakBefore w:val="0"/>
        <w:widowControl w:val="0"/>
        <w:tabs>
          <w:tab w:val="left" w:pos="1620"/>
        </w:tabs>
        <w:kinsoku/>
        <w:wordWrap/>
        <w:overflowPunct/>
        <w:topLinePunct/>
        <w:autoSpaceDE/>
        <w:autoSpaceDN/>
        <w:bidi w:val="0"/>
        <w:spacing w:line="24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2026年8月21日郑州商品交易所第九届理事会第五次会议审议通过，</w:t>
      </w:r>
      <w:r>
        <w:rPr>
          <w:rFonts w:hint="eastAsia" w:ascii="宋体" w:hAnsi="宋体" w:cs="宋体"/>
          <w:sz w:val="24"/>
          <w:szCs w:val="24"/>
          <w:highlight w:val="none"/>
          <w:lang w:val="en-US" w:eastAsia="zh-CN"/>
        </w:rPr>
        <w:t>2026年9月16日</w:t>
      </w:r>
      <w:r>
        <w:rPr>
          <w:rFonts w:hint="eastAsia" w:ascii="仿宋_GB2312" w:hAnsi="仿宋_GB2312" w:eastAsia="仿宋_GB2312" w:cs="仿宋_GB2312"/>
          <w:sz w:val="24"/>
          <w:szCs w:val="24"/>
          <w:highlight w:val="none"/>
          <w:lang w:val="en-US" w:eastAsia="zh-CN"/>
        </w:rPr>
        <w:t>〔</w:t>
      </w:r>
      <w:r>
        <w:rPr>
          <w:rFonts w:hint="eastAsia" w:ascii="宋体" w:hAnsi="宋体" w:cs="宋体"/>
          <w:sz w:val="24"/>
          <w:szCs w:val="24"/>
          <w:highlight w:val="none"/>
          <w:lang w:val="en-US" w:eastAsia="zh-CN"/>
        </w:rPr>
        <w:t>2026</w:t>
      </w:r>
      <w:r>
        <w:rPr>
          <w:rFonts w:hint="eastAsia" w:ascii="仿宋_GB2312" w:hAnsi="仿宋_GB2312" w:eastAsia="仿宋_GB2312" w:cs="仿宋_GB2312"/>
          <w:sz w:val="24"/>
          <w:szCs w:val="24"/>
          <w:highlight w:val="none"/>
          <w:lang w:val="en-US" w:eastAsia="zh-CN"/>
        </w:rPr>
        <w:t>〕</w:t>
      </w:r>
      <w:r>
        <w:rPr>
          <w:rFonts w:hint="eastAsia" w:ascii="宋体" w:hAnsi="宋体" w:cs="宋体"/>
          <w:sz w:val="24"/>
          <w:szCs w:val="24"/>
          <w:highlight w:val="none"/>
          <w:lang w:val="en-US" w:eastAsia="zh-CN"/>
        </w:rPr>
        <w:t>143号公告发布，</w:t>
      </w:r>
      <w:r>
        <w:rPr>
          <w:rFonts w:hint="eastAsia" w:ascii="宋体" w:hAnsi="宋体" w:eastAsia="宋体" w:cs="宋体"/>
          <w:sz w:val="24"/>
          <w:szCs w:val="24"/>
          <w:lang w:val="en-US" w:eastAsia="zh-CN"/>
        </w:rPr>
        <w:t>自2026年9月22日起施行</w:t>
      </w:r>
      <w:r>
        <w:rPr>
          <w:rFonts w:hint="eastAsia" w:ascii="宋体" w:hAnsi="宋体" w:eastAsia="宋体" w:cs="宋体"/>
          <w:sz w:val="24"/>
          <w:szCs w:val="24"/>
        </w:rPr>
        <w:t>）</w:t>
      </w:r>
      <w:bookmarkStart w:id="0" w:name="_GoBack"/>
      <w:bookmarkEnd w:id="0"/>
    </w:p>
    <w:p>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第一章</w:t>
      </w:r>
      <w:r>
        <w:rPr>
          <w:rFonts w:hint="eastAsia" w:ascii="黑体" w:hAnsi="黑体" w:eastAsia="黑体" w:cs="黑体"/>
          <w:b w:val="0"/>
          <w:bCs/>
          <w:lang w:val="en-US" w:eastAsia="zh-CN"/>
        </w:rPr>
        <w:t xml:space="preserve"> </w:t>
      </w:r>
      <w:r>
        <w:rPr>
          <w:rFonts w:hint="eastAsia" w:ascii="黑体" w:hAnsi="黑体" w:eastAsia="黑体" w:cs="黑体"/>
          <w:b w:val="0"/>
          <w:bCs/>
        </w:rPr>
        <w:t>总</w:t>
      </w:r>
      <w:r>
        <w:rPr>
          <w:rFonts w:hint="eastAsia" w:ascii="黑体" w:hAnsi="黑体" w:eastAsia="黑体" w:cs="黑体"/>
          <w:b w:val="0"/>
          <w:bCs/>
          <w:lang w:val="en-US" w:eastAsia="zh-CN"/>
        </w:rPr>
        <w:t xml:space="preserve"> </w:t>
      </w:r>
      <w:r>
        <w:rPr>
          <w:rFonts w:hint="eastAsia" w:ascii="黑体" w:hAnsi="黑体" w:eastAsia="黑体" w:cs="黑体"/>
          <w:b w:val="0"/>
          <w:bCs/>
        </w:rPr>
        <w:t>则</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为了规范郑州商品交易所（以下简称交易所）丙烯期货相关业务，根据《郑州商品交易所交易规则》及丙烯期货合约，制定本细则。</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交易所、会员、客户、交割仓库（以下简称仓库）、交割厂库（以下简称厂库）、指定质检机构及期货市场其他参与者应当遵守本细则。</w:t>
      </w:r>
    </w:p>
    <w:p>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第二章</w:t>
      </w:r>
      <w:r>
        <w:rPr>
          <w:rFonts w:hint="eastAsia" w:ascii="黑体" w:hAnsi="黑体" w:eastAsia="黑体" w:cs="黑体"/>
          <w:b w:val="0"/>
          <w:bCs/>
          <w:lang w:val="en-US" w:eastAsia="zh-CN"/>
        </w:rPr>
        <w:t xml:space="preserve"> </w:t>
      </w:r>
      <w:r>
        <w:rPr>
          <w:rFonts w:hint="eastAsia" w:ascii="黑体" w:hAnsi="黑体" w:eastAsia="黑体" w:cs="黑体"/>
          <w:b w:val="0"/>
          <w:bCs/>
        </w:rPr>
        <w:t>交易业务</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丙烯期货合约交易单位为20吨/手。</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第四条 </w:t>
      </w:r>
      <w:r>
        <w:rPr>
          <w:rFonts w:hint="eastAsia" w:ascii="宋体" w:hAnsi="宋体" w:eastAsia="宋体" w:cs="宋体"/>
          <w:kern w:val="0"/>
          <w:sz w:val="28"/>
          <w:szCs w:val="28"/>
        </w:rPr>
        <w:t>丙烯期货合约报价单位为元（人民币）/吨。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丙烯期货合约最小变动价位为1元/吨。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第六条 </w:t>
      </w:r>
      <w:r>
        <w:rPr>
          <w:rFonts w:hint="eastAsia" w:ascii="宋体" w:hAnsi="宋体" w:eastAsia="宋体" w:cs="宋体"/>
          <w:kern w:val="0"/>
          <w:sz w:val="28"/>
          <w:szCs w:val="28"/>
        </w:rPr>
        <w:t>丙烯期货合约交割月份为1至12月。</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第七条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丙烯期货合约交易指令每次最小下单量为1手，限价指令每次最大下单量为1000手，市价指令每次最大下单量为200手。</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交易所可以根据市场情况，对丙烯期货合约交易指令每次最小下单量、每次最大下单量进行调整，具体标准由交易所另行公布。</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第八条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丙烯期货合约交易时间分为夜盘交易时间和日盘交易时间。夜盘交易时间为</w:t>
      </w:r>
      <w:r>
        <w:rPr>
          <w:rFonts w:hint="eastAsia" w:ascii="宋体" w:hAnsi="宋体" w:eastAsia="宋体" w:cs="宋体"/>
          <w:color w:val="000000"/>
          <w:kern w:val="0"/>
          <w:sz w:val="28"/>
          <w:szCs w:val="28"/>
        </w:rPr>
        <w:t>下午</w:t>
      </w:r>
      <w:r>
        <w:rPr>
          <w:rFonts w:hint="eastAsia" w:ascii="宋体" w:hAnsi="宋体" w:eastAsia="宋体" w:cs="宋体"/>
          <w:kern w:val="0"/>
          <w:sz w:val="28"/>
          <w:szCs w:val="28"/>
        </w:rPr>
        <w:t>21:00－23:00。日盘交易时间为上午9:00－11:30，下午13:30－15:00；其中，上午10:15－10:30为休息时间。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交易所暂停、取消丙烯期货夜盘交易或者对夜盘交易时间进行调整的，以交易所公告为准。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第九条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丙烯期货合约最后交易日为合约交割月份的第10个交易日。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丙烯期货合约交易代码为PL。</w:t>
      </w:r>
    </w:p>
    <w:p>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第三章</w:t>
      </w:r>
      <w:r>
        <w:rPr>
          <w:rFonts w:hint="eastAsia" w:ascii="黑体" w:hAnsi="黑体" w:eastAsia="黑体" w:cs="黑体"/>
          <w:b w:val="0"/>
          <w:bCs/>
          <w:lang w:val="en-US" w:eastAsia="zh-CN"/>
        </w:rPr>
        <w:t xml:space="preserve"> </w:t>
      </w:r>
      <w:r>
        <w:rPr>
          <w:rFonts w:hint="eastAsia" w:ascii="黑体" w:hAnsi="黑体" w:eastAsia="黑体" w:cs="黑体"/>
          <w:b w:val="0"/>
          <w:bCs/>
        </w:rPr>
        <w:t>交割业务</w:t>
      </w:r>
    </w:p>
    <w:p>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第一节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一般规定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第十一条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丙烯期货适用期货转现货、仓库标准仓单交割和厂库标准仓单交割。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丙烯期货滚动交割的配对方式为响应配对和组织配对。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具体交割流程按照《郑州商品交易所期货交割管理办法》及本细则相关规定执行。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丙烯期货的交割单位为20吨。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丙烯期货合约的最后交割日为合约交割月份的第13个交易日。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丙烯期货标准仓单可以分为仓库标准仓单和厂库标准仓单。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丙烯期货标准仓单为非通用标准仓单。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每年1月、3月、5月、7月、9月、11月第15个交易日之前（含该日）注册的丙烯期货标准仓单，应当在当年1月、3月、5月、7月、9月、11月的第15个交易日之前（含该日）全部注销。</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第十六条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丙烯期货交割开具增值税专用发票。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第十七条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丙烯期货仓库、厂库及相关升贴水由交易所确定并公布，交易所可以视情况对丙烯期货仓库、厂库及相关升贴水进行调整。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第十八条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丙烯期货的交割基准价为基准交割品在基准交割地出库时汽车板交货的含税价格。</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第十九条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丙烯运达仓库指定货位前的一切费用和货物装到汽车板的出库费用由标准仓单注册人承担，货物出库装到汽车板后的一切费用由提货人承担。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丙烯期货交割手续费、仓储费、出入库手续费、检验费等交割相关费用标准由交易所另行公布。</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第二十条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不具备丙烯生产、储存、使用、经营或者运输资质的客户，不得参与丙烯期货交割。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第二十一条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丙烯期货标准仓单生成、流通、注销等相关业务，本细则未规定的，适用《郑州商品交易所标准仓单管理办法》相关规定。</w:t>
      </w:r>
    </w:p>
    <w:p>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第二节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交割标准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丙烯期货交割适用国家标准及本细则规定。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基准交割品：符合《中华人民共和国国家标准</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聚合级丙烯》（GB/T 7716－2024）规定的I型丙烯，其中，水含量≤20mg/kg，氢含量和羰基硫指标不作要求。</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替代交割品及升贴水：20mg/kg＜水含量≤50mg/kg且其他指标符合基准交割品要求的丙烯，可替代交割，升贴水以交易所公告为准。</w:t>
      </w:r>
    </w:p>
    <w:p>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第三节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仓库标准仓单交割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丙烯期货交割预报时，应当按75元/吨向仓库交纳交割预报定金。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丙烯仓库开具的《入库通知单》有效期为15个日历日。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第二十七条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丙烯运输应当符合国家对危险化学品运输的有关规定。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境内生产的丙烯申请入库的，应当向仓库提交本批丙烯生产厂家出具的符合交割标准的《产品质量证明书》或相关质量证明材料。《产品质量证明书》或相关质量证明材料应当载有生产厂家、生产日期、适用的质量标准以及该批商品的质量检验结果等信息。</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境外生产的丙烯申请入库的，应当向仓库提交本批商品的船运证明、进口货物报关单、相关质量证明材料等单证的复印件。标准仓单注册人应当对所提供的单证签署《进口丙烯单证合法、真实、有效保证书》。</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仓库应当对前款规定的入库商品单证以及标准仓单注册人的危险化学品经营资质进行审验。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第二十九条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入库时，采用汽车运输的，以地磅计量为准，由仓库负责重量验收；采用船舶运输的，以船舱计重为准，标准仓单注册人应委托指定质检机构进行验重，仓库应当予以配合，由此产生的费用由标准仓单注册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经交易所批准，丙烯重量验收可以使用国家质量技术监督部门认可的其他先进衡器计量。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丙烯入库采样和质量检验由指定质检机构负责，仓库应当予以协助，由此产生的费用由标准仓单注册人承担。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指定质检机构应当自完成采样之日（含）起3个工作日内出具检验结果，并及时通知仓库。</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标准仓单注册人或者仓库对入库质量检验结果有异议的，应当自收到检验结果之日起3个日历日内向交易所书面提出复检申请，并预交复检费用。具体流程按照《郑州商品交易所标准仓单管理办法》“仓库商品入库复检”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丙烯重量验收及入库采样时，标准仓单注册人应当到场监督。仓库和标准仓单注册人对验收结果签章确认，并共同对入库商品的真实性负责；入库商品未经仓库、标准仓单注册人签章确认的，不得用于期货交割。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丙烯入库后，仓库应当对标准仓单注册人的名称、联系人及联系方式、商品数量、生产厂家、存放罐号等事项登记造册，并由标准仓单注册人签字确认。</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已经在库的丙烯，能够提供指定质检机构出具的检验报告，证明该批商品符合丙烯期货交割标准的，经仓库认可后，可以申请注册标准仓单。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第三十三条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期货、现货混罐存储的丙烯，仓库应当确保整罐商品符合丙烯期货交割标准的规定，不符合规定的，不允许混罐存储或者申请注册标准仓单。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丙烯期货基准交割品与替代交割品不允许混罐存储。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提供运输工具的，应当在办理完成提货手续之日起2个工作日内开始提货，双方协商一致的除外。自提货人凭《提货通知单》与仓库联系出库事宜、运输工具到达仓库之日起，仓库开始发货，并停止收取已装运货物的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可以委托仓库代办运输，自提货人凭《提货通知单》与仓库联系确认出库事宜、指定运达地点并预交相关费用（包括港杂费等）之日起，采用汽车、船舶运输的，仓库在10个日历日内发货。仓库不能在规定时间内发出货物的，不得收取规定时间后产生的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丙烯出库重量验收由仓库和提货人共同实施，具体办法参照入库重量验收规定，其中由指定质检机构验重时，由此产生的费用由提货人承担。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丙烯出库时数量发生损耗造成短少的，仓库应当及时补足。不能及时补足的，仓库按照《提货通知单》开具日之前（含该日）丙烯期货最近交割月最高交割结算价核算短少商品价款，赔偿提货人。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第三十六条 </w:t>
      </w:r>
      <w:r>
        <w:rPr>
          <w:rFonts w:hint="eastAsia" w:ascii="宋体" w:hAnsi="宋体" w:eastAsia="宋体" w:cs="宋体"/>
          <w:color w:val="000000"/>
          <w:kern w:val="0"/>
          <w:sz w:val="28"/>
          <w:szCs w:val="28"/>
        </w:rPr>
        <w:t>丙烯出库时，</w:t>
      </w:r>
      <w:r>
        <w:rPr>
          <w:rFonts w:hint="eastAsia" w:ascii="宋体" w:hAnsi="宋体" w:eastAsia="宋体" w:cs="宋体"/>
          <w:kern w:val="0"/>
          <w:sz w:val="28"/>
          <w:szCs w:val="28"/>
        </w:rPr>
        <w:t>提货人对商品质量有异议的，可以向交易所申请一次复检，并预交复检费用。质量异议应当在《提货通知单》开具之日起10个工作日内提出。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第三十七条 </w:t>
      </w:r>
      <w:r>
        <w:rPr>
          <w:rFonts w:hint="eastAsia" w:ascii="宋体" w:hAnsi="宋体" w:eastAsia="宋体" w:cs="宋体"/>
          <w:kern w:val="0"/>
          <w:sz w:val="28"/>
          <w:szCs w:val="28"/>
        </w:rPr>
        <w:t>丙烯出库时，复检结果对应的升贴水低于标准仓单注册时对应升贴水的，以复检结果为准，由此产生的复检及相关费用由仓库承担，仓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仓库商品出库复检”有关规定办理。</w:t>
      </w:r>
    </w:p>
    <w:p>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第四节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厂库标准仓单交割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丙烯厂库允许注册标准仓单的最大数量由交易所确定，交易所可以根据情况予以调整。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丙烯厂库申请注册标准仓单前，应当按照交易所规定提供标准仓单注册担保。</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第三十九条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丙烯厂库标准仓单注销后，提货人</w:t>
      </w:r>
      <w:r>
        <w:rPr>
          <w:rFonts w:hint="eastAsia" w:ascii="宋体" w:hAnsi="宋体" w:eastAsia="宋体" w:cs="宋体"/>
          <w:kern w:val="0"/>
          <w:sz w:val="28"/>
          <w:szCs w:val="28"/>
          <w:highlight w:val="none"/>
        </w:rPr>
        <w:t>应当</w:t>
      </w:r>
      <w:r>
        <w:rPr>
          <w:rFonts w:hint="eastAsia" w:ascii="宋体" w:hAnsi="宋体" w:eastAsia="宋体" w:cs="宋体"/>
          <w:kern w:val="0"/>
          <w:sz w:val="28"/>
          <w:szCs w:val="28"/>
        </w:rPr>
        <w:t>在交易所开具《提货通知单》之日起</w:t>
      </w:r>
      <w:r>
        <w:rPr>
          <w:rFonts w:hint="eastAsia" w:ascii="宋体" w:hAnsi="宋体" w:eastAsia="宋体" w:cs="宋体"/>
          <w:kern w:val="0"/>
          <w:sz w:val="28"/>
          <w:szCs w:val="28"/>
          <w:lang w:eastAsia="zh-CN"/>
        </w:rPr>
        <w:t>（不含当日）</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个工作日内，凭提货人身份证、提货人所在单位证明及《提货通知单》验证密码到厂库办理提货手续，确认商品质量、运输方式，并预交各项费用。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eastAsia="zh-CN"/>
        </w:rPr>
        <w:t>提货人未在上述规定期限内办理提货手续的，</w:t>
      </w:r>
      <w:r>
        <w:rPr>
          <w:rFonts w:hint="eastAsia" w:ascii="宋体" w:hAnsi="宋体" w:eastAsia="宋体" w:cs="宋体"/>
          <w:kern w:val="0"/>
          <w:sz w:val="28"/>
          <w:szCs w:val="28"/>
          <w:highlight w:val="none"/>
          <w:lang w:eastAsia="zh-CN"/>
        </w:rPr>
        <w:t>应</w:t>
      </w:r>
      <w:r>
        <w:rPr>
          <w:rFonts w:hint="eastAsia" w:ascii="宋体" w:hAnsi="宋体" w:cs="宋体"/>
          <w:kern w:val="0"/>
          <w:sz w:val="28"/>
          <w:szCs w:val="28"/>
          <w:highlight w:val="none"/>
          <w:lang w:eastAsia="zh-CN"/>
        </w:rPr>
        <w:t>当</w:t>
      </w:r>
      <w:r>
        <w:rPr>
          <w:rFonts w:hint="eastAsia" w:ascii="宋体" w:hAnsi="宋体" w:eastAsia="宋体" w:cs="宋体"/>
          <w:kern w:val="0"/>
          <w:sz w:val="28"/>
          <w:szCs w:val="28"/>
          <w:lang w:eastAsia="zh-CN"/>
        </w:rPr>
        <w:t>向厂库支付滞纳金，滞纳金标准为10元/吨·天。按以下规定执行：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（一）</w:t>
      </w:r>
      <w:r>
        <w:rPr>
          <w:rFonts w:hint="eastAsia" w:ascii="宋体" w:hAnsi="宋体" w:eastAsia="宋体" w:cs="宋体"/>
          <w:kern w:val="0"/>
          <w:sz w:val="28"/>
          <w:szCs w:val="28"/>
          <w:highlight w:val="none"/>
          <w:lang w:eastAsia="zh-CN"/>
        </w:rPr>
        <w:t>在提货手续办理期限届满之日起（不含当日）且</w:t>
      </w:r>
      <w:r>
        <w:rPr>
          <w:rFonts w:hint="eastAsia" w:ascii="宋体" w:hAnsi="宋体" w:eastAsia="宋体" w:cs="宋体"/>
          <w:kern w:val="0"/>
          <w:sz w:val="28"/>
          <w:szCs w:val="28"/>
          <w:lang w:eastAsia="zh-CN"/>
        </w:rPr>
        <w:t>在标准仓单注销日起（不含注销日）10个工作日内办理提货手续的，厂库仍应</w:t>
      </w:r>
      <w:r>
        <w:rPr>
          <w:rFonts w:hint="eastAsia" w:ascii="宋体" w:hAnsi="宋体" w:cs="宋体"/>
          <w:kern w:val="0"/>
          <w:sz w:val="28"/>
          <w:szCs w:val="28"/>
          <w:lang w:eastAsia="zh-CN"/>
        </w:rPr>
        <w:t>当</w:t>
      </w:r>
      <w:r>
        <w:rPr>
          <w:rFonts w:hint="eastAsia" w:ascii="宋体" w:hAnsi="宋体" w:eastAsia="宋体" w:cs="宋体"/>
          <w:kern w:val="0"/>
          <w:sz w:val="28"/>
          <w:szCs w:val="28"/>
          <w:lang w:eastAsia="zh-CN"/>
        </w:rPr>
        <w:t>按期货标准承担商品质量、发货时间及发货速度的责任。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滞纳金自提货手续办理期限届满之日起（不含当日）计收，至约定计划提货之日（不含当日），滞纳金金额=10（元/吨</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lang w:eastAsia="zh-CN"/>
        </w:rPr>
        <w:t>天）×全部商品数量×延误天数。</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（二）</w:t>
      </w:r>
      <w:r>
        <w:rPr>
          <w:rFonts w:hint="eastAsia" w:ascii="宋体" w:hAnsi="宋体" w:eastAsia="宋体" w:cs="宋体"/>
          <w:kern w:val="0"/>
          <w:sz w:val="28"/>
          <w:szCs w:val="28"/>
          <w:lang w:val="en-US" w:eastAsia="zh-CN"/>
        </w:rPr>
        <w:t>在</w:t>
      </w:r>
      <w:r>
        <w:rPr>
          <w:rFonts w:hint="eastAsia" w:ascii="宋体" w:hAnsi="宋体" w:eastAsia="宋体" w:cs="宋体"/>
          <w:kern w:val="0"/>
          <w:sz w:val="28"/>
          <w:szCs w:val="28"/>
          <w:lang w:eastAsia="zh-CN"/>
        </w:rPr>
        <w:t>标准仓单注销日</w:t>
      </w:r>
      <w:r>
        <w:rPr>
          <w:rFonts w:hint="eastAsia" w:ascii="宋体" w:hAnsi="宋体" w:eastAsia="宋体" w:cs="宋体"/>
          <w:kern w:val="0"/>
          <w:sz w:val="28"/>
          <w:szCs w:val="28"/>
          <w:lang w:val="en-US" w:eastAsia="zh-CN"/>
        </w:rPr>
        <w:t>起</w:t>
      </w:r>
      <w:r>
        <w:rPr>
          <w:rFonts w:hint="eastAsia" w:ascii="宋体" w:hAnsi="宋体" w:eastAsia="宋体" w:cs="宋体"/>
          <w:kern w:val="0"/>
          <w:sz w:val="28"/>
          <w:szCs w:val="28"/>
          <w:lang w:eastAsia="zh-CN"/>
        </w:rPr>
        <w:t>（不含注销日）10个工作日</w:t>
      </w:r>
      <w:r>
        <w:rPr>
          <w:rFonts w:hint="eastAsia" w:ascii="宋体" w:hAnsi="宋体" w:eastAsia="宋体" w:cs="宋体"/>
          <w:kern w:val="0"/>
          <w:sz w:val="28"/>
          <w:szCs w:val="28"/>
          <w:lang w:val="en-US" w:eastAsia="zh-CN"/>
        </w:rPr>
        <w:t>内</w:t>
      </w:r>
      <w:r>
        <w:rPr>
          <w:rFonts w:hint="eastAsia" w:ascii="宋体" w:hAnsi="宋体" w:eastAsia="宋体" w:cs="宋体"/>
          <w:kern w:val="0"/>
          <w:sz w:val="28"/>
          <w:szCs w:val="28"/>
          <w:lang w:eastAsia="zh-CN"/>
        </w:rPr>
        <w:t>未办理提货手续的，厂库不再按期货标准承担商品质量、发货时间及发货速度的责任。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lang w:eastAsia="zh-CN"/>
        </w:rPr>
        <w:t>提货人应</w:t>
      </w:r>
      <w:r>
        <w:rPr>
          <w:rFonts w:hint="eastAsia" w:ascii="宋体" w:hAnsi="宋体" w:cs="宋体"/>
          <w:kern w:val="0"/>
          <w:sz w:val="28"/>
          <w:szCs w:val="28"/>
          <w:lang w:eastAsia="zh-CN"/>
        </w:rPr>
        <w:t>当</w:t>
      </w:r>
      <w:r>
        <w:rPr>
          <w:rFonts w:hint="eastAsia" w:ascii="宋体" w:hAnsi="宋体" w:eastAsia="宋体" w:cs="宋体"/>
          <w:kern w:val="0"/>
          <w:sz w:val="28"/>
          <w:szCs w:val="28"/>
          <w:lang w:eastAsia="zh-CN"/>
        </w:rPr>
        <w:t>向厂库支付滞纳金，滞纳金金额=10（元/吨</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lang w:eastAsia="zh-CN"/>
        </w:rPr>
        <w:t>天）×全部商品数量×10个工作日对应的日历日数。</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lang w:val="en-US" w:eastAsia="zh-CN"/>
        </w:rPr>
        <w:t>提货人办理提货手续时，应</w:t>
      </w:r>
      <w:r>
        <w:rPr>
          <w:rFonts w:hint="eastAsia" w:ascii="宋体" w:hAnsi="宋体" w:cs="宋体"/>
          <w:kern w:val="0"/>
          <w:sz w:val="28"/>
          <w:szCs w:val="28"/>
          <w:lang w:val="en-US" w:eastAsia="zh-CN"/>
        </w:rPr>
        <w:t>当</w:t>
      </w:r>
      <w:r>
        <w:rPr>
          <w:rFonts w:hint="eastAsia" w:ascii="宋体" w:hAnsi="宋体" w:eastAsia="宋体" w:cs="宋体"/>
          <w:kern w:val="0"/>
          <w:sz w:val="28"/>
          <w:szCs w:val="28"/>
          <w:lang w:val="en-US" w:eastAsia="zh-CN"/>
        </w:rPr>
        <w:t>与厂库协商确定发货速度及最后完成出库时间。双方协商一致的，按双方约定执行；双方不能协商一致的，厂库应</w:t>
      </w:r>
      <w:r>
        <w:rPr>
          <w:rFonts w:hint="eastAsia" w:ascii="宋体" w:hAnsi="宋体" w:cs="宋体"/>
          <w:kern w:val="0"/>
          <w:sz w:val="28"/>
          <w:szCs w:val="28"/>
          <w:lang w:val="en-US" w:eastAsia="zh-CN"/>
        </w:rPr>
        <w:t>当</w:t>
      </w:r>
      <w:r>
        <w:rPr>
          <w:rFonts w:hint="eastAsia" w:ascii="宋体" w:hAnsi="宋体" w:eastAsia="宋体" w:cs="宋体"/>
          <w:kern w:val="0"/>
          <w:sz w:val="28"/>
          <w:szCs w:val="28"/>
          <w:lang w:val="en-US" w:eastAsia="zh-CN"/>
        </w:rPr>
        <w:t>自提货人提供身份证、单位证明及《提货通知单》验证密码之日（含当日）起3个日历日内，按照交易所批准的日发货速度发货。</w:t>
      </w:r>
      <w:r>
        <w:rPr>
          <w:rFonts w:hint="eastAsia" w:ascii="宋体" w:hAnsi="宋体" w:eastAsia="宋体" w:cs="宋体"/>
          <w:kern w:val="0"/>
          <w:sz w:val="28"/>
          <w:szCs w:val="28"/>
        </w:rPr>
        <w:t>提货人可以自行到库提货或者委托厂库代为发运。</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b w:val="0"/>
          <w:bCs w:val="0"/>
          <w:color w:val="000000"/>
          <w:kern w:val="0"/>
          <w:sz w:val="28"/>
          <w:szCs w:val="28"/>
          <w:highlight w:val="none"/>
          <w:lang w:val="en-US" w:eastAsia="zh-CN" w:bidi="ar-SA"/>
        </w:rPr>
      </w:pPr>
      <w:r>
        <w:rPr>
          <w:rFonts w:hint="eastAsia" w:ascii="宋体" w:hAnsi="宋体" w:eastAsia="宋体" w:cs="宋体"/>
          <w:b w:val="0"/>
          <w:bCs w:val="0"/>
          <w:color w:val="000000"/>
          <w:kern w:val="0"/>
          <w:sz w:val="28"/>
          <w:szCs w:val="28"/>
          <w:highlight w:val="none"/>
          <w:lang w:val="en-US" w:eastAsia="zh-CN" w:bidi="ar-SA"/>
        </w:rPr>
        <w:t>本细则所称厂库日发货速度，是指厂库在24小时内安排期货商品发货的最低数量。厂库日发货速度由交易所确定和调整。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厂库丙烯出库重量验收由提货人与厂库共同实施，足量出库。采用汽车运输的，以厂库地磅计量为准；采用船舶运输的，以指定质检机构船舱计重为准，费用由厂库承担。双方协商一致的除外。</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丙烯出库重量发生短少的，厂库应当及时补足。不能补足且短少量低于5%的，厂库应当按照《提货通知单》开具日之前（含该日）丙烯期货最近交割月最高交割结算价核算短少商品价款，赔偿提货人。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提货人在货物交收时应到交收地点监发，未到场监发的，视为对货物重量没有异议。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第四十二条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厂库应当保证交割商品的质量符合交易所规定的交割标准，双方协商一致的除外。</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第四十三条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提货人有权决定是否对厂库出库货物抽样，并应当在货物出库前至少提前2个日历日以书面形式告知厂库，未在规定时间内告知厂库选择抽样的，视为提货人选择不抽样。若提货人选择抽样，应当在出库前至少提前2个日历日委托指定质检机构在厂库储罐中进行抽样并支付相应费用。指定质检机构应当在货物出库当天到场抽样，每次可以抽取2个样品，由提货人和厂库共同签字封样，交指定质检机构留存。指定质检机构应当保留样品至封存后（不含当日）第3个日历日，作为发生质量争议的处理依据；若提货人选择不抽样，则视为对厂库出库货物无异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提货人或者厂库对丙烯重量、质量有异议的，由提货人和厂库协商解决；协商不成的，可以向交易所申请一次复检，并由申请方预交复检及相关费用。重量异议应当在丙烯运输工具离开厂库或港口码头前提出；质量异议应当在样本封存之日（不含当日）起3个日历日内提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第四十五</w:t>
      </w:r>
      <w:r>
        <w:rPr>
          <w:rFonts w:hint="eastAsia" w:ascii="宋体" w:hAnsi="宋体" w:eastAsia="宋体" w:cs="宋体"/>
          <w:kern w:val="0"/>
          <w:sz w:val="28"/>
          <w:szCs w:val="28"/>
        </w:rPr>
        <w:t>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出库时，复检结果对应的升贴水低于标准仓单注册时对应升贴水的，以复检结果为准，由此产生的复检及相关费用由厂库承担，厂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厂库商品出库复检”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厂库或者提货人因故不能按照约定计划发货或者提货的，双方应当及时协商并妥善调整发货速度或者发货计划，并且过错方应当支付滞纳金。滞纳金额=∑[10（元/吨•天）×延误天数×应发（收）而未发（收）商品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因厂库原因在约定的最后发货日起5个日历日内仍不能完成所有商品发货的，提货人可以要求厂库终止发货并支付赔偿金。赔偿金额=丙烯期货最近交割月最高交割结算价×应发未发的商品数量×120%。</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因天气原因及其他不可抗力因素导致无法按计划发货或者提货的，厂库或者提货人不需支付滞纳金或者赔偿金。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b w:val="0"/>
          <w:bCs w:val="0"/>
          <w:kern w:val="0"/>
          <w:sz w:val="28"/>
          <w:szCs w:val="28"/>
        </w:rPr>
      </w:pPr>
      <w:r>
        <w:rPr>
          <w:rFonts w:hint="eastAsia" w:ascii="宋体" w:hAnsi="宋体" w:eastAsia="宋体" w:cs="宋体"/>
          <w:kern w:val="0"/>
          <w:sz w:val="28"/>
          <w:szCs w:val="28"/>
        </w:rPr>
        <w:t>厂库和提货人应当妥善保管商品发货计划、协商确认材料以及发货和提货单据等，作为纠纷</w:t>
      </w:r>
      <w:r>
        <w:rPr>
          <w:rFonts w:hint="eastAsia" w:ascii="宋体" w:hAnsi="宋体" w:eastAsia="宋体" w:cs="宋体"/>
          <w:b w:val="0"/>
          <w:bCs w:val="0"/>
          <w:kern w:val="0"/>
          <w:sz w:val="28"/>
          <w:szCs w:val="28"/>
        </w:rPr>
        <w:t>解决的依据。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第四十七条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多名提货人同时提货的，厂库可以根据提货人预约时间及办理提货手续的先后顺序等因素合理安排发货。</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厂库发生违约行为，且厂库未赔偿或者赔偿金额不足的，交易所可以动用厂库提供的担保对提货人进行赔偿。</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第四十九条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厂库发货完毕后，交易所书面确认无质量、数量责任的，经厂库申请，交易所退还厂库提交的担保财产或者担保凭证。</w:t>
      </w:r>
    </w:p>
    <w:p>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第四章</w:t>
      </w:r>
      <w:r>
        <w:rPr>
          <w:rFonts w:hint="eastAsia" w:ascii="黑体" w:hAnsi="黑体" w:eastAsia="黑体" w:cs="黑体"/>
          <w:b w:val="0"/>
          <w:bCs/>
          <w:lang w:val="en-US" w:eastAsia="zh-CN"/>
        </w:rPr>
        <w:t xml:space="preserve"> </w:t>
      </w:r>
      <w:r>
        <w:rPr>
          <w:rFonts w:hint="eastAsia" w:ascii="黑体" w:hAnsi="黑体" w:eastAsia="黑体" w:cs="黑体"/>
          <w:b w:val="0"/>
          <w:bCs/>
        </w:rPr>
        <w:t>风险管理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丙烯期货合约最低交易保证金标准为合约价值的5%。</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丙烯期货合约交易保证金标准见下表：</w:t>
      </w:r>
    </w:p>
    <w:tbl>
      <w:tblPr>
        <w:tblStyle w:val="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343"/>
        <w:gridCol w:w="31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交易时间段</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自合约挂牌至交割月前一个月第15个日历日期间的交易日</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自交割月前一个月第16个日历日至交割月前一个月最后一个日历日期间的交易日</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交割月份</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合约价值的20%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第五十一条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丙烯期货合约每日涨跌停板幅度为前一交易日结算价的±4%。</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丙烯期货合约限仓标准见下表：</w:t>
      </w:r>
    </w:p>
    <w:tbl>
      <w:tblPr>
        <w:tblStyle w:val="8"/>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15" w:type="dxa"/>
          <w:left w:w="15" w:type="dxa"/>
          <w:bottom w:w="15" w:type="dxa"/>
          <w:right w:w="15" w:type="dxa"/>
        </w:tblCellMar>
      </w:tblPr>
      <w:tblGrid>
        <w:gridCol w:w="5303"/>
        <w:gridCol w:w="32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交易时间段</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自合约挂牌至交割月前一个月第15个日历日期间的交易日</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自交割月前一个月第16个日历日至交割月前一个月最后一个日历日期间的交易日</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交割月份</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（自然人客户最大单边持仓量为0）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本条所称限仓是指交易所规定会员或者客户按单边计算的、可以持有某一期货合约投机持仓的最大数量。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第五十三条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根据《郑州商品交易所期货交易风险控制管理办法》等有关规定，交易所对丙烯期货合约交易保证金标准、涨跌停板幅度进行调整的，按照相关标准执行。</w:t>
      </w:r>
    </w:p>
    <w:p>
      <w:pPr>
        <w:pStyle w:val="3"/>
        <w:keepNext w:val="0"/>
        <w:keepLines w:val="0"/>
        <w:pageBreakBefore w:val="0"/>
        <w:widowControl w:val="0"/>
        <w:kinsoku/>
        <w:wordWrap/>
        <w:overflow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第五章</w:t>
      </w:r>
      <w:r>
        <w:rPr>
          <w:rFonts w:hint="eastAsia" w:ascii="黑体" w:hAnsi="黑体" w:eastAsia="黑体" w:cs="黑体"/>
          <w:b w:val="0"/>
          <w:bCs/>
          <w:lang w:val="en-US" w:eastAsia="zh-CN"/>
        </w:rPr>
        <w:t xml:space="preserve"> </w:t>
      </w:r>
      <w:r>
        <w:rPr>
          <w:rFonts w:hint="eastAsia" w:ascii="黑体" w:hAnsi="黑体" w:eastAsia="黑体" w:cs="黑体"/>
          <w:b w:val="0"/>
          <w:bCs/>
        </w:rPr>
        <w:t>附</w:t>
      </w:r>
      <w:r>
        <w:rPr>
          <w:rFonts w:hint="eastAsia" w:ascii="黑体" w:hAnsi="黑体" w:eastAsia="黑体" w:cs="黑体"/>
          <w:b w:val="0"/>
          <w:bCs/>
          <w:lang w:val="en-US" w:eastAsia="zh-CN"/>
        </w:rPr>
        <w:t xml:space="preserve"> </w:t>
      </w:r>
      <w:r>
        <w:rPr>
          <w:rFonts w:hint="eastAsia" w:ascii="黑体" w:hAnsi="黑体" w:eastAsia="黑体" w:cs="黑体"/>
          <w:b w:val="0"/>
          <w:bCs/>
        </w:rPr>
        <w:t>则</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违反本细则规定的，交易所按照《郑州商品交易所违规处理办法》和其他业务规则的有关规定处理。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本细则未规定的，按照交易所相关业务规则的规定执行。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本细则解释权属于郑州商品交易所。</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ascii="仿宋" w:hAnsi="仿宋" w:eastAsia="仿宋"/>
          <w:sz w:val="32"/>
        </w:rPr>
      </w:pPr>
      <w:r>
        <w:rPr>
          <w:rFonts w:hint="eastAsia" w:ascii="宋体" w:hAnsi="宋体" w:eastAsia="宋体" w:cs="宋体"/>
          <w:b/>
          <w:bCs/>
          <w:color w:val="000000"/>
          <w:kern w:val="0"/>
          <w:sz w:val="28"/>
          <w:szCs w:val="28"/>
          <w:highlight w:val="none"/>
          <w:lang w:val="en-US" w:eastAsia="zh-CN" w:bidi="ar-SA"/>
        </w:rPr>
        <w:t>第五十七条</w:t>
      </w:r>
      <w:r>
        <w:rPr>
          <w:rFonts w:hint="eastAsia" w:ascii="宋体" w:hAnsi="宋体" w:eastAsia="宋体" w:cs="宋体"/>
          <w:kern w:val="0"/>
          <w:sz w:val="28"/>
          <w:szCs w:val="28"/>
        </w:rPr>
        <w:t xml:space="preserve"> 本细则自20</w:t>
      </w:r>
      <w:r>
        <w:rPr>
          <w:rFonts w:hint="eastAsia" w:ascii="宋体" w:hAnsi="宋体" w:eastAsia="宋体" w:cs="宋体"/>
          <w:kern w:val="0"/>
          <w:sz w:val="28"/>
          <w:szCs w:val="28"/>
          <w:lang w:val="en-US" w:eastAsia="zh-CN"/>
        </w:rPr>
        <w:t>26</w:t>
      </w:r>
      <w:r>
        <w:rPr>
          <w:rFonts w:hint="eastAsia" w:ascii="宋体" w:hAnsi="宋体" w:eastAsia="宋体" w:cs="宋体"/>
          <w:kern w:val="0"/>
          <w:sz w:val="28"/>
          <w:szCs w:val="28"/>
        </w:rPr>
        <w:t>年</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月</w:t>
      </w:r>
      <w:r>
        <w:rPr>
          <w:rFonts w:hint="eastAsia" w:ascii="宋体" w:hAnsi="宋体" w:eastAsia="宋体" w:cs="宋体"/>
          <w:kern w:val="0"/>
          <w:sz w:val="28"/>
          <w:szCs w:val="28"/>
          <w:lang w:val="en-US"/>
        </w:rPr>
        <w:t>22</w:t>
      </w:r>
      <w:r>
        <w:rPr>
          <w:rFonts w:hint="eastAsia" w:ascii="宋体" w:hAnsi="宋体" w:eastAsia="宋体" w:cs="宋体"/>
          <w:kern w:val="0"/>
          <w:sz w:val="28"/>
          <w:szCs w:val="28"/>
        </w:rPr>
        <w:t>日起施行。</w:t>
      </w:r>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Times New Roman Bold">
    <w:altName w:val="Times New Roman"/>
    <w:panose1 w:val="02020603050405020304"/>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677342C"/>
    <w:rsid w:val="3DEF5F0D"/>
    <w:rsid w:val="3DFBCB31"/>
    <w:rsid w:val="3FFE78C5"/>
    <w:rsid w:val="54BDDC94"/>
    <w:rsid w:val="5FFF46E1"/>
    <w:rsid w:val="67CF01CA"/>
    <w:rsid w:val="6B75495F"/>
    <w:rsid w:val="6FFB9E6F"/>
    <w:rsid w:val="77FF6F8C"/>
    <w:rsid w:val="78031D0F"/>
    <w:rsid w:val="79FE4CE4"/>
    <w:rsid w:val="7B4F957B"/>
    <w:rsid w:val="7CF7F75A"/>
    <w:rsid w:val="7DFF01F4"/>
    <w:rsid w:val="D3B7EBF7"/>
    <w:rsid w:val="DAFF0256"/>
    <w:rsid w:val="DFD7CA60"/>
    <w:rsid w:val="F3EFC78D"/>
    <w:rsid w:val="F3F5CAFD"/>
    <w:rsid w:val="FB7C657A"/>
    <w:rsid w:val="FBC474B8"/>
    <w:rsid w:val="FBFF1A37"/>
    <w:rsid w:val="FBFFDA0B"/>
    <w:rsid w:val="FDBF6302"/>
    <w:rsid w:val="FFE038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paragraph" w:styleId="4">
    <w:name w:val="heading 3"/>
    <w:basedOn w:val="3"/>
    <w:next w:val="1"/>
    <w:unhideWhenUsed/>
    <w:qFormat/>
    <w:uiPriority w:val="0"/>
    <w:pPr>
      <w:wordWrap/>
      <w:spacing w:before="30" w:beforeLines="30" w:after="30" w:afterLines="30" w:line="240" w:lineRule="auto"/>
      <w:outlineLvl w:val="2"/>
    </w:p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2"/>
    <w:qFormat/>
    <w:uiPriority w:val="0"/>
    <w:rPr>
      <w:rFonts w:ascii="仿宋_GB2312" w:eastAsia="仿宋_GB2312"/>
      <w:sz w:val="32"/>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页脚 Char"/>
    <w:basedOn w:val="9"/>
    <w:link w:val="6"/>
    <w:qFormat/>
    <w:uiPriority w:val="0"/>
    <w:rPr>
      <w:rFonts w:ascii="Times New Roman" w:hAnsi="Times New Roman" w:eastAsia="宋体" w:cs="Times New Roman"/>
      <w:sz w:val="18"/>
      <w:szCs w:val="18"/>
    </w:rPr>
  </w:style>
  <w:style w:type="character" w:customStyle="1" w:styleId="12">
    <w:name w:val="日期 Char"/>
    <w:basedOn w:val="9"/>
    <w:link w:val="5"/>
    <w:qFormat/>
    <w:uiPriority w:val="0"/>
    <w:rPr>
      <w:rFonts w:ascii="仿宋_GB2312" w:hAnsi="Times New Roman" w:eastAsia="仿宋_GB2312" w:cs="Times New Roman"/>
      <w:sz w:val="32"/>
      <w:szCs w:val="24"/>
    </w:rPr>
  </w:style>
  <w:style w:type="character" w:customStyle="1" w:styleId="13">
    <w:name w:val="页眉 Char"/>
    <w:basedOn w:val="9"/>
    <w:link w:val="7"/>
    <w:qFormat/>
    <w:uiPriority w:val="99"/>
    <w:rPr>
      <w:rFonts w:ascii="Times New Roman" w:hAnsi="Times New Roman" w:eastAsia="宋体" w:cs="Times New Roman"/>
      <w:sz w:val="18"/>
      <w:szCs w:val="18"/>
    </w:rPr>
  </w:style>
  <w:style w:type="paragraph" w:customStyle="1" w:styleId="14">
    <w:name w:val="正文内容"/>
    <w:basedOn w:val="1"/>
    <w:qFormat/>
    <w:uiPriority w:val="0"/>
    <w:pPr>
      <w:spacing w:line="360" w:lineRule="auto"/>
      <w:ind w:firstLine="200" w:firstLineChars="200"/>
    </w:pPr>
    <w:rPr>
      <w:rFonts w:eastAsia="仿宋"/>
      <w:kern w:val="0"/>
      <w:sz w:val="32"/>
      <w:szCs w:val="32"/>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2019-09-18T22:10:00Z</dcterms:created>
  <dc:creator>CN=李小鹏/OU=办公室/O=CZCE</dc:creator>
  <cp:lastModifiedBy>王新宇</cp:lastModifiedBy>
  <dcterms:modified xsi:type="dcterms:W3CDTF">2026-09-16T09:50:58Z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33615F776C78332E044EA36AE054C695</vt:lpwstr>
  </property>
</Properties>
</file>