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kern w:val="0"/>
          <w:sz w:val="32"/>
          <w:szCs w:val="32"/>
          <w:lang w:val="en-US" w:eastAsia="zh-CN"/>
        </w:rPr>
      </w:pPr>
      <w:r>
        <w:rPr>
          <w:rFonts w:hint="eastAsia" w:ascii="黑体" w:hAnsi="黑体" w:eastAsia="黑体" w:cs="黑体"/>
          <w:kern w:val="0"/>
          <w:sz w:val="32"/>
          <w:szCs w:val="32"/>
          <w:lang w:val="en-US" w:eastAsia="zh-CN"/>
        </w:rPr>
        <w:t>附件2</w:t>
      </w:r>
    </w:p>
    <w:p>
      <w:pPr>
        <w:spacing w:after="240"/>
        <w:jc w:val="center"/>
        <w:rPr>
          <w:rFonts w:hint="eastAsia" w:ascii="黑体" w:hAnsi="黑体" w:eastAsia="黑体"/>
          <w:kern w:val="0"/>
          <w:sz w:val="44"/>
          <w:szCs w:val="44"/>
        </w:rPr>
      </w:pPr>
      <w:bookmarkStart w:id="0" w:name="_Toc31383"/>
      <w:bookmarkStart w:id="1" w:name="_Toc20212"/>
      <w:r>
        <w:rPr>
          <w:rFonts w:hint="eastAsia" w:ascii="黑体" w:hAnsi="黑体" w:eastAsia="黑体"/>
          <w:kern w:val="0"/>
          <w:sz w:val="44"/>
          <w:szCs w:val="44"/>
        </w:rPr>
        <w:t>郑州商品交易所烧碱期货业务细则</w:t>
      </w:r>
      <w:bookmarkEnd w:id="0"/>
      <w:bookmarkEnd w:id="1"/>
    </w:p>
    <w:p>
      <w:pPr>
        <w:rPr>
          <w:rFonts w:hint="eastAsia" w:ascii="宋体" w:hAnsi="宋体" w:cs="宋体"/>
          <w:kern w:val="2"/>
          <w:sz w:val="24"/>
          <w:highlight w:val="none"/>
          <w:lang w:eastAsia="zh-CN"/>
        </w:rPr>
      </w:pPr>
      <w:bookmarkStart w:id="2" w:name="_Toc1637342033"/>
      <w:r>
        <w:rPr>
          <w:rFonts w:hint="eastAsia" w:ascii="宋体" w:hAnsi="宋体" w:cs="宋体"/>
          <w:kern w:val="2"/>
          <w:sz w:val="24"/>
          <w:highlight w:val="none"/>
          <w:lang w:eastAsia="zh-CN"/>
        </w:rPr>
        <w:t>（</w:t>
      </w:r>
      <w:r>
        <w:rPr>
          <w:rFonts w:hint="eastAsia" w:ascii="宋体" w:hAnsi="宋体" w:cs="宋体"/>
          <w:kern w:val="2"/>
          <w:sz w:val="24"/>
          <w:highlight w:val="none"/>
          <w:lang w:val="en-US" w:eastAsia="zh-CN"/>
        </w:rPr>
        <w:t>2026年8月21日郑州商品交易所第九届理事会第五次会议审议通过，2026年9月16日</w:t>
      </w:r>
      <w:r>
        <w:rPr>
          <w:rFonts w:hint="eastAsia" w:ascii="仿宋_GB2312" w:hAnsi="仿宋_GB2312" w:eastAsia="仿宋_GB2312" w:cs="仿宋_GB2312"/>
          <w:kern w:val="2"/>
          <w:sz w:val="24"/>
          <w:highlight w:val="none"/>
          <w:lang w:val="en-US" w:eastAsia="zh-CN"/>
        </w:rPr>
        <w:t>〔</w:t>
      </w:r>
      <w:r>
        <w:rPr>
          <w:rFonts w:hint="eastAsia" w:ascii="宋体" w:hAnsi="宋体" w:cs="宋体"/>
          <w:kern w:val="2"/>
          <w:sz w:val="24"/>
          <w:highlight w:val="none"/>
          <w:lang w:val="en-US" w:eastAsia="zh-CN"/>
        </w:rPr>
        <w:t>2026</w:t>
      </w:r>
      <w:r>
        <w:rPr>
          <w:rFonts w:hint="eastAsia" w:ascii="仿宋_GB2312" w:hAnsi="仿宋_GB2312" w:eastAsia="仿宋_GB2312" w:cs="仿宋_GB2312"/>
          <w:kern w:val="2"/>
          <w:sz w:val="24"/>
          <w:highlight w:val="none"/>
          <w:lang w:val="en-US" w:eastAsia="zh-CN"/>
        </w:rPr>
        <w:t>〕</w:t>
      </w:r>
      <w:r>
        <w:rPr>
          <w:rFonts w:hint="eastAsia" w:ascii="宋体" w:hAnsi="宋体" w:cs="宋体"/>
          <w:kern w:val="2"/>
          <w:sz w:val="24"/>
          <w:highlight w:val="none"/>
          <w:lang w:val="en-US" w:eastAsia="zh-CN"/>
        </w:rPr>
        <w:t>143号公告发布，自2026年9月22日起施行</w:t>
      </w:r>
      <w:r>
        <w:rPr>
          <w:rFonts w:hint="eastAsia" w:ascii="宋体" w:hAnsi="宋体" w:cs="宋体"/>
          <w:kern w:val="2"/>
          <w:sz w:val="24"/>
          <w:highlight w:val="none"/>
          <w:lang w:eastAsia="zh-CN"/>
        </w:rPr>
        <w:t>）</w:t>
      </w:r>
      <w:bookmarkEnd w:id="2"/>
    </w:p>
    <w:p>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3" w:name="_Toc1619679959"/>
      <w:bookmarkStart w:id="4" w:name="_Toc831"/>
      <w:r>
        <w:rPr>
          <w:rFonts w:hint="eastAsia" w:ascii="黑体" w:hAnsi="黑体" w:eastAsia="黑体" w:cs="黑体"/>
          <w:b w:val="0"/>
          <w:bCs/>
        </w:rPr>
        <w:t>第一章 总 则</w:t>
      </w:r>
      <w:bookmarkEnd w:id="3"/>
      <w:bookmarkEnd w:id="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第一条 </w:t>
      </w:r>
      <w:r>
        <w:rPr>
          <w:rFonts w:hint="eastAsia" w:ascii="宋体" w:hAnsi="宋体" w:eastAsia="宋体" w:cs="宋体"/>
          <w:color w:val="000000"/>
          <w:kern w:val="0"/>
          <w:sz w:val="28"/>
          <w:szCs w:val="28"/>
          <w:highlight w:val="none"/>
        </w:rPr>
        <w:t>为了规范郑州商品交易所（以下简称交易所）烧碱期货相关业务，根据《郑州商品交易所交易规则》及烧碱期货合约，制定本细则。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第二条 </w:t>
      </w:r>
      <w:r>
        <w:rPr>
          <w:rFonts w:hint="eastAsia" w:ascii="宋体" w:hAnsi="宋体" w:eastAsia="宋体" w:cs="宋体"/>
          <w:color w:val="000000"/>
          <w:kern w:val="0"/>
          <w:sz w:val="28"/>
          <w:szCs w:val="28"/>
          <w:highlight w:val="none"/>
        </w:rPr>
        <w:t>交易所、会员、客户、交割仓库（以下简称仓库）、交割厂库（以下简称厂库）、指定质检机构及期货市场其他参与者应当遵守本细则。</w:t>
      </w:r>
    </w:p>
    <w:p>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5" w:name="_Toc2142703714"/>
      <w:bookmarkStart w:id="6" w:name="_Toc20739"/>
      <w:r>
        <w:rPr>
          <w:rFonts w:hint="eastAsia" w:ascii="黑体" w:hAnsi="黑体" w:eastAsia="黑体" w:cs="黑体"/>
          <w:b w:val="0"/>
          <w:bCs/>
        </w:rPr>
        <w:t>第二章 交易业务</w:t>
      </w:r>
      <w:bookmarkEnd w:id="5"/>
      <w:bookmarkEnd w:id="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第三条</w:t>
      </w:r>
      <w:r>
        <w:rPr>
          <w:rFonts w:hint="eastAsia" w:ascii="宋体" w:hAnsi="宋体" w:eastAsia="宋体" w:cs="宋体"/>
          <w:color w:val="000000"/>
          <w:kern w:val="0"/>
          <w:sz w:val="28"/>
          <w:szCs w:val="28"/>
          <w:highlight w:val="none"/>
        </w:rPr>
        <w:t xml:space="preserve"> 烧碱期货合约交易单位为30吨/手（干吨重量）。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第四条 </w:t>
      </w:r>
      <w:r>
        <w:rPr>
          <w:rFonts w:hint="eastAsia" w:ascii="宋体" w:hAnsi="宋体" w:eastAsia="宋体" w:cs="宋体"/>
          <w:color w:val="000000"/>
          <w:kern w:val="0"/>
          <w:sz w:val="28"/>
          <w:szCs w:val="28"/>
          <w:highlight w:val="none"/>
        </w:rPr>
        <w:t>烧碱期货合约报价单位为元（人民币）/吨。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第五条</w:t>
      </w:r>
      <w:r>
        <w:rPr>
          <w:rFonts w:hint="eastAsia" w:ascii="宋体" w:hAnsi="宋体" w:eastAsia="宋体" w:cs="宋体"/>
          <w:color w:val="000000"/>
          <w:kern w:val="0"/>
          <w:sz w:val="28"/>
          <w:szCs w:val="28"/>
          <w:highlight w:val="none"/>
        </w:rPr>
        <w:t xml:space="preserve"> 烧碱期货合约最小变动价位为1元/吨。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第六条</w:t>
      </w:r>
      <w:r>
        <w:rPr>
          <w:rFonts w:hint="eastAsia" w:ascii="宋体" w:hAnsi="宋体" w:eastAsia="宋体" w:cs="宋体"/>
          <w:color w:val="000000"/>
          <w:kern w:val="0"/>
          <w:sz w:val="28"/>
          <w:szCs w:val="28"/>
          <w:highlight w:val="none"/>
        </w:rPr>
        <w:t xml:space="preserve"> 烧碱期货合约交割月份为1至12月。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第七条</w:t>
      </w:r>
      <w:r>
        <w:rPr>
          <w:rFonts w:hint="eastAsia" w:ascii="宋体" w:hAnsi="宋体" w:eastAsia="宋体" w:cs="宋体"/>
          <w:color w:val="000000"/>
          <w:kern w:val="0"/>
          <w:sz w:val="28"/>
          <w:szCs w:val="28"/>
          <w:highlight w:val="none"/>
        </w:rPr>
        <w:t xml:space="preserve"> 烧碱期货合约交易指令</w:t>
      </w:r>
      <w:r>
        <w:rPr>
          <w:rFonts w:hint="eastAsia" w:ascii="宋体" w:hAnsi="宋体" w:eastAsia="宋体" w:cs="宋体"/>
          <w:sz w:val="28"/>
          <w:szCs w:val="28"/>
          <w:highlight w:val="none"/>
        </w:rPr>
        <w:t>每次最小下单量为1手，</w:t>
      </w:r>
      <w:r>
        <w:rPr>
          <w:rFonts w:hint="eastAsia" w:ascii="宋体" w:hAnsi="宋体" w:eastAsia="宋体" w:cs="宋体"/>
          <w:color w:val="000000"/>
          <w:kern w:val="0"/>
          <w:sz w:val="28"/>
          <w:szCs w:val="28"/>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sz w:val="28"/>
          <w:szCs w:val="28"/>
          <w:highlight w:val="none"/>
        </w:rPr>
        <w:t>交易所可以根据市场情况，对烧碱期货合约交易指令每次最小下单量、每次最大下单量进行调整，具体标准由交易所另行公布。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第八条</w:t>
      </w:r>
      <w:r>
        <w:rPr>
          <w:rFonts w:hint="eastAsia" w:ascii="宋体" w:hAnsi="宋体" w:eastAsia="宋体" w:cs="宋体"/>
          <w:color w:val="000000"/>
          <w:kern w:val="0"/>
          <w:sz w:val="28"/>
          <w:szCs w:val="28"/>
          <w:highlight w:val="none"/>
        </w:rPr>
        <w:t xml:space="preserve"> </w:t>
      </w:r>
      <w:r>
        <w:rPr>
          <w:rFonts w:hint="eastAsia" w:ascii="宋体" w:hAnsi="宋体" w:eastAsia="宋体" w:cs="宋体"/>
          <w:sz w:val="28"/>
          <w:szCs w:val="28"/>
          <w:highlight w:val="none"/>
        </w:rPr>
        <w:t>烧碱期货合约交易时间分为夜盘交易时间和日盘交易时间。夜盘交易时间为下21:00—23：00。日盘交易时间为上午9:00—11:30，下午13:30—15:00；其中，上午10:15—10:30为休息时间。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sz w:val="28"/>
          <w:szCs w:val="28"/>
          <w:highlight w:val="none"/>
        </w:rPr>
        <w:t>交易所暂停、取消烧碱期货夜盘交易或者对夜盘交易时间进行调整的，以交易所公告为准。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第九条</w:t>
      </w:r>
      <w:r>
        <w:rPr>
          <w:rFonts w:hint="eastAsia" w:ascii="宋体" w:hAnsi="宋体" w:eastAsia="宋体" w:cs="宋体"/>
          <w:color w:val="000000"/>
          <w:kern w:val="0"/>
          <w:sz w:val="28"/>
          <w:szCs w:val="28"/>
          <w:highlight w:val="none"/>
        </w:rPr>
        <w:t xml:space="preserve"> 烧碱期货合约最后交易日为合约交割月份的第10个交易日。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第十条</w:t>
      </w:r>
      <w:r>
        <w:rPr>
          <w:rFonts w:hint="eastAsia" w:ascii="宋体" w:hAnsi="宋体" w:eastAsia="宋体" w:cs="宋体"/>
          <w:color w:val="000000"/>
          <w:kern w:val="0"/>
          <w:sz w:val="28"/>
          <w:szCs w:val="28"/>
          <w:highlight w:val="none"/>
        </w:rPr>
        <w:t xml:space="preserve"> 烧碱期货合约交易代码为SH。</w:t>
      </w:r>
    </w:p>
    <w:p>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7" w:name="_Toc742544040"/>
      <w:bookmarkStart w:id="8" w:name="_Toc18353"/>
      <w:r>
        <w:rPr>
          <w:rFonts w:hint="eastAsia" w:ascii="黑体" w:hAnsi="黑体" w:eastAsia="黑体" w:cs="黑体"/>
          <w:b w:val="0"/>
          <w:bCs/>
        </w:rPr>
        <w:t>第三章 交割业务</w:t>
      </w:r>
      <w:bookmarkEnd w:id="7"/>
      <w:bookmarkEnd w:id="8"/>
    </w:p>
    <w:p>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9" w:name="_Toc1766271591"/>
      <w:r>
        <w:rPr>
          <w:rFonts w:hint="eastAsia" w:ascii="楷体" w:hAnsi="楷体" w:eastAsia="楷体" w:cs="楷体"/>
          <w:b w:val="0"/>
          <w:bCs/>
          <w:sz w:val="30"/>
          <w:szCs w:val="30"/>
        </w:rPr>
        <w:t>第一节 一般规定</w:t>
      </w:r>
      <w:bookmarkEnd w:id="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第十一条</w:t>
      </w:r>
      <w:r>
        <w:rPr>
          <w:rFonts w:hint="eastAsia" w:ascii="宋体" w:hAnsi="宋体" w:eastAsia="宋体" w:cs="宋体"/>
          <w:color w:val="000000"/>
          <w:kern w:val="0"/>
          <w:sz w:val="28"/>
          <w:szCs w:val="28"/>
          <w:highlight w:val="none"/>
        </w:rPr>
        <w:t xml:space="preserve"> 烧碱期货适用期货转现货、仓库标准仓单交割和厂库标准仓单交割。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烧碱期货滚动交割的配对方式为响应配对和组织配对。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第十二条</w:t>
      </w:r>
      <w:r>
        <w:rPr>
          <w:rFonts w:hint="eastAsia" w:ascii="宋体" w:hAnsi="宋体" w:eastAsia="宋体" w:cs="宋体"/>
          <w:color w:val="000000"/>
          <w:kern w:val="0"/>
          <w:sz w:val="28"/>
          <w:szCs w:val="28"/>
          <w:highlight w:val="none"/>
        </w:rPr>
        <w:t xml:space="preserve"> 烧碱期货的交割单位为</w:t>
      </w:r>
      <w:r>
        <w:rPr>
          <w:rFonts w:hint="eastAsia" w:ascii="宋体" w:hAnsi="宋体" w:eastAsia="宋体" w:cs="宋体"/>
          <w:kern w:val="0"/>
          <w:sz w:val="28"/>
          <w:szCs w:val="28"/>
          <w:highlight w:val="none"/>
        </w:rPr>
        <w:t>30吨（干吨重量）。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第十三条</w:t>
      </w:r>
      <w:r>
        <w:rPr>
          <w:rFonts w:hint="eastAsia" w:ascii="宋体" w:hAnsi="宋体" w:eastAsia="宋体" w:cs="宋体"/>
          <w:color w:val="000000"/>
          <w:kern w:val="0"/>
          <w:sz w:val="28"/>
          <w:szCs w:val="28"/>
          <w:highlight w:val="none"/>
        </w:rPr>
        <w:t xml:space="preserve"> 烧碱期货合约的最后交割日为合约交割月份的第13个交易日。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第十四条</w:t>
      </w:r>
      <w:r>
        <w:rPr>
          <w:rFonts w:hint="eastAsia" w:ascii="宋体" w:hAnsi="宋体" w:eastAsia="宋体" w:cs="宋体"/>
          <w:color w:val="000000"/>
          <w:kern w:val="0"/>
          <w:sz w:val="28"/>
          <w:szCs w:val="28"/>
          <w:highlight w:val="none"/>
        </w:rPr>
        <w:t xml:space="preserve"> 烧碱期货标准仓单可以分为仓库标准仓单和厂库标准仓单。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烧碱期货标准仓单为非通用标准仓单。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第十五条</w:t>
      </w:r>
      <w:r>
        <w:rPr>
          <w:rFonts w:hint="eastAsia" w:ascii="宋体" w:hAnsi="宋体" w:eastAsia="宋体" w:cs="宋体"/>
          <w:color w:val="000000"/>
          <w:kern w:val="0"/>
          <w:sz w:val="28"/>
          <w:szCs w:val="28"/>
          <w:highlight w:val="none"/>
        </w:rPr>
        <w:t xml:space="preserve"> </w:t>
      </w:r>
      <w:r>
        <w:rPr>
          <w:rFonts w:hint="eastAsia" w:ascii="宋体" w:hAnsi="宋体" w:eastAsia="宋体" w:cs="宋体"/>
          <w:sz w:val="28"/>
          <w:szCs w:val="28"/>
          <w:highlight w:val="none"/>
        </w:rPr>
        <w:t>每年1月、3月、5月、7月、9月、11月第15个交易日之前（含该日）注册的烧碱标准仓单，应当在当年1月、3月、5月、7月、9月、11月的第15个交易日之前（含该日）全部注销。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第十六条 烧碱期货交割开具增值税专用发票。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第十七条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烧碱期货仓库、厂库及相关升贴水由交易所确定并公布，交易所可以视情况对烧碱仓库、厂库及相关升贴水进行调整。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第十八条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烧碱期货的</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基准价为基准</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品在基准</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地出库时的汽车板交货的含税价格</w:t>
      </w:r>
      <w:r>
        <w:rPr>
          <w:rFonts w:hint="eastAsia" w:ascii="宋体" w:hAnsi="宋体" w:eastAsia="宋体" w:cs="宋体"/>
          <w:color w:val="000000"/>
          <w:kern w:val="0"/>
          <w:sz w:val="28"/>
          <w:szCs w:val="28"/>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第十九条</w:t>
      </w:r>
      <w:r>
        <w:rPr>
          <w:rFonts w:hint="eastAsia" w:ascii="宋体" w:hAnsi="宋体" w:eastAsia="宋体" w:cs="宋体"/>
          <w:color w:val="000000"/>
          <w:kern w:val="0"/>
          <w:sz w:val="28"/>
          <w:szCs w:val="28"/>
          <w:highlight w:val="none"/>
        </w:rPr>
        <w:t xml:space="preserve"> 烧碱运达仓库指定货位前的一切费用和货物装到汽车板的出库费用由标准仓单注册人承担，货物出库装到汽车板后的一切费用由提货人承担。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烧碱期货</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手续费、仓储费、出入库手续费、检验费等</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第二十条</w:t>
      </w:r>
      <w:r>
        <w:rPr>
          <w:rFonts w:hint="eastAsia" w:ascii="宋体" w:hAnsi="宋体" w:eastAsia="宋体" w:cs="宋体"/>
          <w:b/>
          <w:bCs/>
          <w:color w:val="000000"/>
          <w:kern w:val="0"/>
          <w:sz w:val="28"/>
          <w:szCs w:val="28"/>
          <w:highlight w:val="none"/>
          <w:lang w:val="en-US"/>
        </w:rPr>
        <w:t xml:space="preserve"> </w:t>
      </w:r>
      <w:r>
        <w:rPr>
          <w:rFonts w:hint="eastAsia" w:ascii="宋体" w:hAnsi="宋体" w:eastAsia="宋体" w:cs="宋体"/>
          <w:kern w:val="0"/>
          <w:sz w:val="28"/>
          <w:szCs w:val="28"/>
          <w:highlight w:val="none"/>
        </w:rPr>
        <w:t>不具备烧碱生产、储存、使用、经营或者运输资质的客户，不得参与烧碱期货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第二十一条 </w:t>
      </w:r>
      <w:r>
        <w:rPr>
          <w:rFonts w:hint="eastAsia" w:ascii="宋体" w:hAnsi="宋体" w:eastAsia="宋体" w:cs="宋体"/>
          <w:kern w:val="0"/>
          <w:sz w:val="28"/>
          <w:szCs w:val="28"/>
          <w:highlight w:val="none"/>
        </w:rPr>
        <w:t>烧碱期货标准仓单生成、流通、注销等相关业务，本细则未规定的，适用《郑州商品交易所标准仓单管理办法》相关规定。</w:t>
      </w:r>
    </w:p>
    <w:p>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10" w:name="_Toc627152111"/>
      <w:r>
        <w:rPr>
          <w:rFonts w:hint="eastAsia" w:ascii="楷体" w:hAnsi="楷体" w:eastAsia="楷体" w:cs="楷体"/>
          <w:b w:val="0"/>
          <w:bCs/>
          <w:sz w:val="30"/>
          <w:szCs w:val="30"/>
        </w:rPr>
        <w:t>第二节 交割标准</w:t>
      </w:r>
      <w:bookmarkEnd w:id="1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第二十二条</w:t>
      </w:r>
      <w:r>
        <w:rPr>
          <w:rFonts w:hint="eastAsia" w:ascii="宋体" w:hAnsi="宋体" w:eastAsia="宋体" w:cs="宋体"/>
          <w:color w:val="000000"/>
          <w:kern w:val="0"/>
          <w:sz w:val="28"/>
          <w:szCs w:val="28"/>
          <w:highlight w:val="none"/>
          <w:lang w:val="en-US"/>
        </w:rPr>
        <w:t xml:space="preserve"> </w:t>
      </w:r>
      <w:r>
        <w:rPr>
          <w:rFonts w:hint="eastAsia" w:ascii="宋体" w:hAnsi="宋体" w:eastAsia="宋体" w:cs="宋体"/>
          <w:color w:val="000000"/>
          <w:kern w:val="0"/>
          <w:sz w:val="28"/>
          <w:szCs w:val="28"/>
          <w:highlight w:val="none"/>
        </w:rPr>
        <w:t>烧碱期货交割适用国家标准及本细则规定。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 xml:space="preserve">第二十三条 </w:t>
      </w:r>
      <w:r>
        <w:rPr>
          <w:rFonts w:hint="eastAsia" w:ascii="宋体" w:hAnsi="宋体" w:eastAsia="宋体" w:cs="宋体"/>
          <w:sz w:val="28"/>
          <w:szCs w:val="28"/>
          <w:highlight w:val="none"/>
        </w:rPr>
        <w:t>基准</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品：符合《中华人民共和国国家标准 工业用氢氧化钠》（GB/T</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209-2018）规定的IL-III型液碱，且氢氧化钠含量≥32%。</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基准</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品的干吨重量=湿吨重量×0.32。</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 xml:space="preserve">第二十四条 </w:t>
      </w:r>
      <w:r>
        <w:rPr>
          <w:rFonts w:hint="eastAsia" w:ascii="宋体" w:hAnsi="宋体" w:eastAsia="宋体" w:cs="宋体"/>
          <w:sz w:val="28"/>
          <w:szCs w:val="28"/>
          <w:highlight w:val="none"/>
        </w:rPr>
        <w:t>替代</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品及升贴水：符合《中华人民共和国国家标准 工业用氢氧化钠》（GB/T</w:t>
      </w:r>
      <w:r>
        <w:rPr>
          <w:rFonts w:hint="eastAsia" w:ascii="宋体" w:hAnsi="宋体" w:eastAsia="宋体" w:cs="宋体"/>
          <w:sz w:val="28"/>
          <w:szCs w:val="28"/>
          <w:highlight w:val="none"/>
          <w:lang w:val="en-US" w:eastAsia="zh-CN"/>
        </w:rPr>
        <w:t xml:space="preserve"> </w:t>
      </w:r>
      <w:r>
        <w:rPr>
          <w:rFonts w:hint="eastAsia" w:ascii="宋体" w:hAnsi="宋体" w:eastAsia="宋体" w:cs="宋体"/>
          <w:sz w:val="28"/>
          <w:szCs w:val="28"/>
          <w:highlight w:val="none"/>
        </w:rPr>
        <w:t>209-2018）规定的IL-I型液碱，升贴水以交易所公告为准。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40"/>
        <w:jc w:val="left"/>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替代</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品的干吨重量=湿吨重量×0.5。</w:t>
      </w:r>
    </w:p>
    <w:p>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11" w:name="_Toc2139102238"/>
      <w:r>
        <w:rPr>
          <w:rFonts w:hint="eastAsia" w:ascii="楷体" w:hAnsi="楷体" w:eastAsia="楷体" w:cs="楷体"/>
          <w:b w:val="0"/>
          <w:bCs/>
          <w:sz w:val="30"/>
          <w:szCs w:val="30"/>
        </w:rPr>
        <w:t>第三节 仓库标准仓单交割</w:t>
      </w:r>
      <w:bookmarkEnd w:id="1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第二十五条 </w:t>
      </w:r>
      <w:r>
        <w:rPr>
          <w:rFonts w:hint="eastAsia" w:ascii="宋体" w:hAnsi="宋体" w:eastAsia="宋体" w:cs="宋体"/>
          <w:kern w:val="0"/>
          <w:sz w:val="28"/>
          <w:szCs w:val="28"/>
          <w:highlight w:val="none"/>
        </w:rPr>
        <w:t>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预报时，应当按30元/吨（湿吨重量）向仓库交纳</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第二十六条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b/>
          <w:kern w:val="0"/>
          <w:sz w:val="28"/>
          <w:szCs w:val="28"/>
          <w:highlight w:val="none"/>
        </w:rPr>
      </w:pPr>
      <w:r>
        <w:rPr>
          <w:rFonts w:hint="eastAsia" w:ascii="宋体" w:hAnsi="宋体" w:eastAsia="宋体" w:cs="宋体"/>
          <w:b/>
          <w:bCs/>
          <w:color w:val="000000"/>
          <w:kern w:val="0"/>
          <w:sz w:val="28"/>
          <w:szCs w:val="28"/>
          <w:highlight w:val="none"/>
        </w:rPr>
        <w:t>第二十七条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烧碱运输应当符合国家对危险化学品运输的有关规定。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第二十八条 </w:t>
      </w:r>
      <w:r>
        <w:rPr>
          <w:rFonts w:hint="eastAsia" w:ascii="宋体" w:hAnsi="宋体" w:eastAsia="宋体" w:cs="宋体"/>
          <w:kern w:val="0"/>
          <w:sz w:val="28"/>
          <w:szCs w:val="28"/>
          <w:highlight w:val="none"/>
        </w:rPr>
        <w:t>烧碱入库时，应当向仓库提交本批烧碱生产厂家出具的符合</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标准的《产品质量证明书》或者其他能证明产品质量的书面材料。《产品质量证明书》应当载有生产厂家、生产日期、适用的质量标准以及该批商品的质量检验结果等信息。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仓库应当对前款规定的入库商品单证以及标准仓单注册人的危险化学品经营资质进行审验。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第二十九条 </w:t>
      </w:r>
      <w:r>
        <w:rPr>
          <w:rFonts w:hint="eastAsia" w:ascii="宋体" w:hAnsi="宋体" w:eastAsia="宋体" w:cs="宋体"/>
          <w:kern w:val="0"/>
          <w:sz w:val="28"/>
          <w:szCs w:val="28"/>
          <w:highlight w:val="none"/>
        </w:rPr>
        <w:t>烧碱入库时，采用汽车运输的，以地磅计量为准，由仓库负责重量验收；采用火车、船舶运输的，</w:t>
      </w:r>
      <w:r>
        <w:rPr>
          <w:rFonts w:hint="eastAsia" w:ascii="宋体" w:hAnsi="宋体" w:eastAsia="宋体" w:cs="宋体"/>
          <w:color w:val="000000"/>
          <w:kern w:val="0"/>
          <w:sz w:val="28"/>
          <w:szCs w:val="28"/>
          <w:highlight w:val="none"/>
        </w:rPr>
        <w:t>以仓库储罐打尺计量为准。</w:t>
      </w:r>
      <w:r>
        <w:rPr>
          <w:rFonts w:hint="eastAsia" w:ascii="宋体" w:hAnsi="宋体" w:eastAsia="宋体" w:cs="宋体"/>
          <w:kern w:val="0"/>
          <w:sz w:val="28"/>
          <w:szCs w:val="28"/>
          <w:highlight w:val="none"/>
        </w:rPr>
        <w:t>标准仓单注册人可以委托指定质检机构进行验重，仓库应当予以配合，由此产生的费用由标准仓单注册人承担。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经交易所批准，烧碱重量验收可以使用国家质量技术监督部门认可的其他先进衡器计量。</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第三十条 </w:t>
      </w:r>
      <w:r>
        <w:rPr>
          <w:rFonts w:hint="eastAsia" w:ascii="宋体" w:hAnsi="宋体" w:eastAsia="宋体" w:cs="宋体"/>
          <w:kern w:val="0"/>
          <w:sz w:val="28"/>
          <w:szCs w:val="28"/>
          <w:highlight w:val="none"/>
        </w:rPr>
        <w:t>烧碱入库采样和质量检验由指定质检机构负责，按有关国家标准执行，由此产生的费用（不含仓库配合费用）由标准仓单注册人承担。标准仓单注册人与</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仓库协商一致的，可以委托</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仓库进行采样。指定质检机构应当自完成采样之日起3个工作日内出具检验结果，并及时通知仓库。</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标准仓单注册人或者仓库对入库质量检验结果有异议的，可以向交易所提出质量复检申请。具体流程按照《郑州商品交易所标准仓单管理办法》“仓库商品入库复检”有关规定办理。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第三十一条</w:t>
      </w:r>
      <w:r>
        <w:rPr>
          <w:rFonts w:hint="eastAsia" w:ascii="宋体" w:hAnsi="宋体" w:eastAsia="宋体" w:cs="宋体"/>
          <w:color w:val="000000"/>
          <w:kern w:val="0"/>
          <w:sz w:val="28"/>
          <w:szCs w:val="28"/>
          <w:highlight w:val="none"/>
        </w:rPr>
        <w:t xml:space="preserve"> 烧碱重量验收及入库采样时，标准仓单注册人应当到场监督。</w:t>
      </w:r>
      <w:r>
        <w:rPr>
          <w:rFonts w:hint="eastAsia" w:ascii="宋体" w:hAnsi="宋体" w:eastAsia="宋体" w:cs="宋体"/>
          <w:kern w:val="0"/>
          <w:sz w:val="28"/>
          <w:szCs w:val="28"/>
          <w:highlight w:val="none"/>
        </w:rPr>
        <w:t>仓库和标准仓单注册人对验收结果签章确认，并共同对入库商品的真实性负责；入库商品未经仓库、标准仓单注册人签章确认的，不得用于期货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烧碱入库后，仓库应当对标准仓单注册人的名称、联系人及联系方式、商品数量、生产厂家、存放罐号、氢氧化钠含量等事项登记造册，并由标准仓单注册人签字确认。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第三十二条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已经在库的烧碱，能够提供指定质检机构出具的检验报告，证明该批商品符合烧碱期货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标准的，经仓库认可后，可以申请注册标准仓单。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第三十三条 </w:t>
      </w:r>
      <w:r>
        <w:rPr>
          <w:rFonts w:hint="eastAsia" w:ascii="宋体" w:hAnsi="宋体" w:eastAsia="宋体" w:cs="宋体"/>
          <w:b w:val="0"/>
          <w:bCs w:val="0"/>
          <w:kern w:val="0"/>
          <w:sz w:val="28"/>
          <w:szCs w:val="28"/>
          <w:highlight w:val="none"/>
        </w:rPr>
        <w:t>期</w:t>
      </w:r>
      <w:r>
        <w:rPr>
          <w:rFonts w:hint="eastAsia" w:ascii="宋体" w:hAnsi="宋体" w:eastAsia="宋体" w:cs="宋体"/>
          <w:kern w:val="0"/>
          <w:sz w:val="28"/>
          <w:szCs w:val="28"/>
          <w:highlight w:val="none"/>
        </w:rPr>
        <w:t>货、现货混罐存储的烧碱，仓库应当确保整罐商品符合烧碱期货</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标准的规定，不符合规定的，不允许混罐存储或者申请注册标准仓单。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第三十四条 </w:t>
      </w:r>
      <w:r>
        <w:rPr>
          <w:rFonts w:hint="eastAsia" w:ascii="宋体" w:hAnsi="宋体" w:eastAsia="宋体" w:cs="宋体"/>
          <w:kern w:val="0"/>
          <w:sz w:val="28"/>
          <w:szCs w:val="28"/>
          <w:highlight w:val="none"/>
        </w:rPr>
        <w:t>烧碱仓库标准仓单注销后，提货人应当在交易所开具《提货通知单》之日起10个工作日内，凭提货人身份证、提货人所在单位证明及《提货通知单》验证密码到仓库办理提货手续，确认商品质量、运输方式，并预交各项费用。提货人应当在办理完成提货手续之日起2个工作日内开始提货，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提货人可以委托仓库代办运输，自提货人凭《提货通知单》与仓库联系确认出库事宜、指定运达地点并预交相关费用（包括铁路代办费、港杂费等）之日起，采用汽车、船舶运输的，仓库在10个日历日内开始发货；采用火车运输的，仓库在20个日历日内开始发货。仓库不能在规定时间内发货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第三十五条</w:t>
      </w:r>
      <w:r>
        <w:rPr>
          <w:rFonts w:hint="eastAsia" w:ascii="宋体" w:hAnsi="宋体" w:eastAsia="宋体" w:cs="宋体"/>
          <w:color w:val="000000"/>
          <w:kern w:val="0"/>
          <w:sz w:val="28"/>
          <w:szCs w:val="28"/>
          <w:highlight w:val="none"/>
          <w:lang w:val="en-US"/>
        </w:rPr>
        <w:t xml:space="preserve"> </w:t>
      </w:r>
      <w:r>
        <w:rPr>
          <w:rFonts w:hint="eastAsia" w:ascii="宋体" w:hAnsi="宋体" w:eastAsia="宋体" w:cs="宋体"/>
          <w:kern w:val="0"/>
          <w:sz w:val="28"/>
          <w:szCs w:val="28"/>
          <w:highlight w:val="none"/>
        </w:rPr>
        <w:t>烧碱出库重量验收由仓库和提货人共同实施，具体办法参照入库重量验收规定。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sz w:val="28"/>
          <w:szCs w:val="28"/>
          <w:highlight w:val="none"/>
        </w:rPr>
      </w:pPr>
      <w:r>
        <w:rPr>
          <w:rFonts w:hint="eastAsia" w:ascii="宋体" w:hAnsi="宋体" w:eastAsia="宋体" w:cs="宋体"/>
          <w:sz w:val="28"/>
          <w:szCs w:val="28"/>
          <w:highlight w:val="none"/>
        </w:rPr>
        <w:t>烧碱出库时数量发生损耗造成短少的，仓库应当及时补足。不能及时补足的，仓库按照《提货通知单》开具日（含该日）之前烧碱期货最近</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月最高</w:t>
      </w:r>
      <w:r>
        <w:rPr>
          <w:rFonts w:hint="eastAsia" w:ascii="宋体" w:hAnsi="宋体" w:eastAsia="宋体" w:cs="宋体"/>
          <w:color w:val="000000"/>
          <w:kern w:val="0"/>
          <w:sz w:val="28"/>
          <w:szCs w:val="28"/>
          <w:highlight w:val="none"/>
        </w:rPr>
        <w:t>交割</w:t>
      </w:r>
      <w:r>
        <w:rPr>
          <w:rFonts w:hint="eastAsia" w:ascii="宋体" w:hAnsi="宋体" w:eastAsia="宋体" w:cs="宋体"/>
          <w:sz w:val="28"/>
          <w:szCs w:val="28"/>
          <w:highlight w:val="none"/>
        </w:rPr>
        <w:t>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第三十六条 </w:t>
      </w:r>
      <w:r>
        <w:rPr>
          <w:rFonts w:hint="eastAsia" w:ascii="宋体" w:hAnsi="宋体" w:eastAsia="宋体" w:cs="宋体"/>
          <w:sz w:val="28"/>
          <w:szCs w:val="28"/>
          <w:highlight w:val="none"/>
        </w:rPr>
        <w:t>烧碱出库时，</w:t>
      </w:r>
      <w:r>
        <w:rPr>
          <w:rFonts w:hint="eastAsia" w:ascii="宋体" w:hAnsi="宋体" w:eastAsia="宋体" w:cs="宋体"/>
          <w:kern w:val="0"/>
          <w:sz w:val="28"/>
          <w:szCs w:val="28"/>
          <w:highlight w:val="none"/>
        </w:rPr>
        <w:t>提货人</w:t>
      </w:r>
      <w:r>
        <w:rPr>
          <w:rFonts w:hint="eastAsia" w:ascii="宋体" w:hAnsi="宋体" w:eastAsia="宋体" w:cs="宋体"/>
          <w:color w:val="000000"/>
          <w:kern w:val="0"/>
          <w:sz w:val="28"/>
          <w:szCs w:val="28"/>
          <w:highlight w:val="none"/>
        </w:rPr>
        <w:t>对商品质量有异议的，可以向交易所申请一次复检，并预交复检费用。质量异议应当在</w:t>
      </w:r>
      <w:r>
        <w:rPr>
          <w:rFonts w:hint="eastAsia" w:ascii="宋体" w:hAnsi="宋体" w:eastAsia="宋体" w:cs="宋体"/>
          <w:kern w:val="0"/>
          <w:sz w:val="28"/>
          <w:szCs w:val="28"/>
          <w:highlight w:val="none"/>
        </w:rPr>
        <w:t>《提货通知单》开具之日起10个工作日内</w:t>
      </w:r>
      <w:r>
        <w:rPr>
          <w:rFonts w:hint="eastAsia" w:ascii="宋体" w:hAnsi="宋体" w:eastAsia="宋体" w:cs="宋体"/>
          <w:color w:val="000000"/>
          <w:kern w:val="0"/>
          <w:sz w:val="28"/>
          <w:szCs w:val="28"/>
          <w:highlight w:val="none"/>
        </w:rPr>
        <w:t>提出。</w:t>
      </w:r>
      <w:r>
        <w:rPr>
          <w:rFonts w:hint="eastAsia" w:ascii="宋体" w:hAnsi="宋体" w:eastAsia="宋体" w:cs="宋体"/>
          <w:kern w:val="0"/>
          <w:sz w:val="28"/>
          <w:szCs w:val="28"/>
          <w:highlight w:val="none"/>
        </w:rPr>
        <w:t>具体流程按照《郑州商品交易所标准仓单管理办法》“仓库商品出库复检”有关规定办理。</w:t>
      </w:r>
    </w:p>
    <w:p>
      <w:pPr>
        <w:pStyle w:val="4"/>
        <w:keepNext w:val="0"/>
        <w:keepLines w:val="0"/>
        <w:pageBreakBefore w:val="0"/>
        <w:widowControl w:val="0"/>
        <w:kinsoku/>
        <w:wordWrap/>
        <w:overflowPunct/>
        <w:topLinePunct/>
        <w:autoSpaceDE/>
        <w:autoSpaceDN/>
        <w:bidi w:val="0"/>
        <w:textAlignment w:val="auto"/>
        <w:rPr>
          <w:rFonts w:hint="eastAsia" w:ascii="楷体" w:hAnsi="楷体" w:eastAsia="楷体" w:cs="楷体"/>
          <w:b w:val="0"/>
          <w:bCs/>
          <w:sz w:val="30"/>
          <w:szCs w:val="30"/>
        </w:rPr>
      </w:pPr>
      <w:bookmarkStart w:id="12" w:name="_Toc1067037668"/>
      <w:r>
        <w:rPr>
          <w:rFonts w:hint="eastAsia" w:ascii="楷体" w:hAnsi="楷体" w:eastAsia="楷体" w:cs="楷体"/>
          <w:b w:val="0"/>
          <w:bCs/>
          <w:sz w:val="30"/>
          <w:szCs w:val="30"/>
        </w:rPr>
        <w:t>第四节 厂库标准仓单交割</w:t>
      </w:r>
      <w:bookmarkEnd w:id="1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第三十七条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第三十八条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烧碱厂库标准仓单注销后，提货人应当在交易所开具《提货通知单》之日起</w:t>
      </w:r>
      <w:r>
        <w:rPr>
          <w:rFonts w:hint="eastAsia" w:ascii="宋体" w:hAnsi="宋体" w:eastAsia="宋体" w:cs="宋体"/>
          <w:kern w:val="0"/>
          <w:sz w:val="28"/>
          <w:szCs w:val="28"/>
          <w:highlight w:val="none"/>
          <w:lang w:eastAsia="zh-CN"/>
        </w:rPr>
        <w:t>（不含当日）</w:t>
      </w:r>
      <w:r>
        <w:rPr>
          <w:rFonts w:hint="eastAsia" w:ascii="宋体" w:hAnsi="宋体" w:eastAsia="宋体" w:cs="宋体"/>
          <w:kern w:val="0"/>
          <w:sz w:val="28"/>
          <w:szCs w:val="28"/>
          <w:highlight w:val="none"/>
          <w:lang w:val="en-US" w:eastAsia="zh-CN"/>
        </w:rPr>
        <w:t>5</w:t>
      </w:r>
      <w:r>
        <w:rPr>
          <w:rFonts w:hint="eastAsia" w:ascii="宋体" w:hAnsi="宋体" w:eastAsia="宋体" w:cs="宋体"/>
          <w:kern w:val="0"/>
          <w:sz w:val="28"/>
          <w:szCs w:val="28"/>
          <w:highlight w:val="none"/>
        </w:rPr>
        <w:t>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val="en-US" w:eastAsia="zh-CN"/>
        </w:rPr>
      </w:pPr>
      <w:r>
        <w:rPr>
          <w:rFonts w:hint="eastAsia" w:ascii="宋体" w:hAnsi="宋体" w:eastAsia="宋体" w:cs="宋体"/>
          <w:color w:val="000000"/>
          <w:kern w:val="0"/>
          <w:sz w:val="28"/>
          <w:szCs w:val="28"/>
          <w:highlight w:val="none"/>
          <w:lang w:eastAsia="zh-CN"/>
        </w:rPr>
        <w:t>提货人未在上述规定期限内办理提货手续的，应</w:t>
      </w:r>
      <w:r>
        <w:rPr>
          <w:rFonts w:hint="eastAsia" w:ascii="宋体" w:hAnsi="宋体" w:cs="宋体"/>
          <w:color w:val="000000"/>
          <w:kern w:val="0"/>
          <w:sz w:val="28"/>
          <w:szCs w:val="28"/>
          <w:highlight w:val="none"/>
          <w:lang w:eastAsia="zh-CN"/>
        </w:rPr>
        <w:t>当</w:t>
      </w:r>
      <w:r>
        <w:rPr>
          <w:rFonts w:hint="eastAsia" w:ascii="宋体" w:hAnsi="宋体" w:eastAsia="宋体" w:cs="宋体"/>
          <w:color w:val="000000"/>
          <w:kern w:val="0"/>
          <w:sz w:val="28"/>
          <w:szCs w:val="28"/>
          <w:highlight w:val="none"/>
          <w:lang w:eastAsia="zh-CN"/>
        </w:rPr>
        <w:t>向厂库支付滞纳金，滞纳金标准为</w:t>
      </w:r>
      <w:r>
        <w:rPr>
          <w:rFonts w:hint="eastAsia" w:ascii="宋体" w:hAnsi="宋体" w:eastAsia="宋体" w:cs="宋体"/>
          <w:color w:val="000000"/>
          <w:kern w:val="0"/>
          <w:sz w:val="28"/>
          <w:szCs w:val="28"/>
          <w:highlight w:val="none"/>
          <w:lang w:val="en-US" w:eastAsia="zh-CN"/>
        </w:rPr>
        <w:t>5</w:t>
      </w:r>
      <w:r>
        <w:rPr>
          <w:rFonts w:hint="eastAsia" w:ascii="宋体" w:hAnsi="宋体" w:eastAsia="宋体" w:cs="宋体"/>
          <w:color w:val="000000"/>
          <w:kern w:val="0"/>
          <w:sz w:val="28"/>
          <w:szCs w:val="28"/>
          <w:highlight w:val="none"/>
          <w:lang w:eastAsia="zh-CN"/>
        </w:rPr>
        <w:t>元/吨（湿吨重量）</w:t>
      </w:r>
      <w:r>
        <w:rPr>
          <w:rFonts w:hint="eastAsia" w:ascii="宋体" w:hAnsi="宋体" w:eastAsia="宋体" w:cs="宋体"/>
          <w:color w:val="000000"/>
          <w:kern w:val="0"/>
          <w:sz w:val="28"/>
          <w:szCs w:val="28"/>
          <w:highlight w:val="none"/>
          <w:lang w:val="en-US" w:eastAsia="zh-CN"/>
        </w:rPr>
        <w:t>·天。</w:t>
      </w:r>
      <w:r>
        <w:rPr>
          <w:rFonts w:hint="eastAsia" w:ascii="宋体" w:hAnsi="宋体" w:eastAsia="宋体" w:cs="宋体"/>
          <w:color w:val="000000"/>
          <w:kern w:val="0"/>
          <w:sz w:val="28"/>
          <w:szCs w:val="28"/>
          <w:highlight w:val="none"/>
          <w:lang w:eastAsia="zh-CN"/>
        </w:rPr>
        <w:t>按以下</w:t>
      </w:r>
      <w:r>
        <w:rPr>
          <w:rFonts w:hint="eastAsia" w:ascii="宋体" w:hAnsi="宋体" w:eastAsia="宋体" w:cs="宋体"/>
          <w:color w:val="000000"/>
          <w:kern w:val="0"/>
          <w:sz w:val="28"/>
          <w:szCs w:val="28"/>
          <w:highlight w:val="none"/>
          <w:lang w:val="en-US" w:eastAsia="zh-CN"/>
        </w:rPr>
        <w:t>规定</w:t>
      </w:r>
      <w:r>
        <w:rPr>
          <w:rFonts w:hint="eastAsia" w:ascii="宋体" w:hAnsi="宋体" w:eastAsia="宋体" w:cs="宋体"/>
          <w:color w:val="000000"/>
          <w:kern w:val="0"/>
          <w:sz w:val="28"/>
          <w:szCs w:val="28"/>
          <w:highlight w:val="none"/>
          <w:lang w:eastAsia="zh-CN"/>
        </w:rPr>
        <w:t>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（一）</w:t>
      </w:r>
      <w:r>
        <w:rPr>
          <w:rFonts w:hint="eastAsia" w:ascii="宋体" w:hAnsi="宋体" w:eastAsia="宋体" w:cs="宋体"/>
          <w:color w:val="000000"/>
          <w:kern w:val="0"/>
          <w:sz w:val="28"/>
          <w:szCs w:val="28"/>
          <w:highlight w:val="none"/>
          <w:lang w:val="en-US" w:eastAsia="zh-CN"/>
        </w:rPr>
        <w:t>在</w:t>
      </w:r>
      <w:r>
        <w:rPr>
          <w:rFonts w:hint="eastAsia" w:ascii="宋体" w:hAnsi="宋体" w:eastAsia="宋体" w:cs="宋体"/>
          <w:color w:val="000000"/>
          <w:kern w:val="0"/>
          <w:sz w:val="28"/>
          <w:szCs w:val="28"/>
          <w:highlight w:val="none"/>
          <w:lang w:eastAsia="zh-CN"/>
        </w:rPr>
        <w:t>提货手续办理期限届满之日起（不含当日）且在标准仓单注销日</w:t>
      </w:r>
      <w:r>
        <w:rPr>
          <w:rFonts w:hint="eastAsia" w:ascii="宋体" w:hAnsi="宋体" w:eastAsia="宋体" w:cs="宋体"/>
          <w:color w:val="000000"/>
          <w:kern w:val="0"/>
          <w:sz w:val="28"/>
          <w:szCs w:val="28"/>
          <w:highlight w:val="none"/>
          <w:lang w:val="en-US" w:eastAsia="zh-CN"/>
        </w:rPr>
        <w:t>起</w:t>
      </w:r>
      <w:r>
        <w:rPr>
          <w:rFonts w:hint="eastAsia" w:ascii="宋体" w:hAnsi="宋体" w:eastAsia="宋体" w:cs="宋体"/>
          <w:color w:val="000000"/>
          <w:kern w:val="0"/>
          <w:sz w:val="28"/>
          <w:szCs w:val="28"/>
          <w:highlight w:val="none"/>
          <w:lang w:eastAsia="zh-CN"/>
        </w:rPr>
        <w:t>（不含注销日）10个工作日内办理提货手续的，厂库仍应</w:t>
      </w:r>
      <w:r>
        <w:rPr>
          <w:rFonts w:hint="eastAsia" w:ascii="宋体" w:hAnsi="宋体" w:cs="宋体"/>
          <w:color w:val="000000"/>
          <w:kern w:val="0"/>
          <w:sz w:val="28"/>
          <w:szCs w:val="28"/>
          <w:highlight w:val="none"/>
          <w:lang w:eastAsia="zh-CN"/>
        </w:rPr>
        <w:t>当</w:t>
      </w:r>
      <w:r>
        <w:rPr>
          <w:rFonts w:hint="eastAsia" w:ascii="宋体" w:hAnsi="宋体" w:eastAsia="宋体" w:cs="宋体"/>
          <w:color w:val="000000"/>
          <w:kern w:val="0"/>
          <w:sz w:val="28"/>
          <w:szCs w:val="28"/>
          <w:highlight w:val="none"/>
          <w:lang w:eastAsia="zh-CN"/>
        </w:rPr>
        <w:t>按期货标准承担商品质量、发货时间及发货速度的责任。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滞纳金自办理提货手续期限届满之日起（不含当日）计收，至约定计划提货之日（不含当日），滞纳金金额=</w:t>
      </w:r>
      <w:r>
        <w:rPr>
          <w:rFonts w:hint="eastAsia" w:ascii="宋体" w:hAnsi="宋体" w:eastAsia="宋体" w:cs="宋体"/>
          <w:color w:val="000000"/>
          <w:kern w:val="0"/>
          <w:sz w:val="28"/>
          <w:szCs w:val="28"/>
          <w:highlight w:val="none"/>
          <w:lang w:val="en-US" w:eastAsia="zh-CN"/>
        </w:rPr>
        <w:t>5（</w:t>
      </w:r>
      <w:r>
        <w:rPr>
          <w:rFonts w:hint="eastAsia" w:ascii="宋体" w:hAnsi="宋体" w:eastAsia="宋体" w:cs="宋体"/>
          <w:color w:val="000000"/>
          <w:kern w:val="0"/>
          <w:sz w:val="28"/>
          <w:szCs w:val="28"/>
          <w:highlight w:val="none"/>
          <w:lang w:eastAsia="zh-CN"/>
        </w:rPr>
        <w:t>元/吨（湿吨重量）</w:t>
      </w:r>
      <w:r>
        <w:rPr>
          <w:rFonts w:hint="eastAsia" w:ascii="宋体" w:hAnsi="宋体" w:eastAsia="宋体" w:cs="宋体"/>
          <w:color w:val="000000"/>
          <w:kern w:val="0"/>
          <w:sz w:val="28"/>
          <w:szCs w:val="28"/>
          <w:highlight w:val="none"/>
          <w:lang w:val="en-US" w:eastAsia="zh-CN"/>
        </w:rPr>
        <w:t>·天）</w:t>
      </w:r>
      <w:r>
        <w:rPr>
          <w:rFonts w:hint="eastAsia" w:ascii="宋体" w:hAnsi="宋体" w:eastAsia="宋体" w:cs="宋体"/>
          <w:color w:val="000000"/>
          <w:kern w:val="0"/>
          <w:sz w:val="28"/>
          <w:szCs w:val="28"/>
          <w:highlight w:val="none"/>
          <w:lang w:eastAsia="zh-CN"/>
        </w:rPr>
        <w:t>×全部商品数量×延误天数。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（二）</w:t>
      </w:r>
      <w:r>
        <w:rPr>
          <w:rFonts w:hint="eastAsia" w:ascii="宋体" w:hAnsi="宋体" w:eastAsia="宋体" w:cs="宋体"/>
          <w:color w:val="000000"/>
          <w:kern w:val="0"/>
          <w:sz w:val="28"/>
          <w:szCs w:val="28"/>
          <w:highlight w:val="none"/>
          <w:lang w:val="en-US" w:eastAsia="zh-CN"/>
        </w:rPr>
        <w:t>在</w:t>
      </w:r>
      <w:r>
        <w:rPr>
          <w:rFonts w:hint="eastAsia" w:ascii="宋体" w:hAnsi="宋体" w:eastAsia="宋体" w:cs="宋体"/>
          <w:color w:val="000000"/>
          <w:kern w:val="0"/>
          <w:sz w:val="28"/>
          <w:szCs w:val="28"/>
          <w:highlight w:val="none"/>
          <w:lang w:eastAsia="zh-CN"/>
        </w:rPr>
        <w:t>标准仓单注销日</w:t>
      </w:r>
      <w:r>
        <w:rPr>
          <w:rFonts w:hint="eastAsia" w:ascii="宋体" w:hAnsi="宋体" w:eastAsia="宋体" w:cs="宋体"/>
          <w:color w:val="000000"/>
          <w:kern w:val="0"/>
          <w:sz w:val="28"/>
          <w:szCs w:val="28"/>
          <w:highlight w:val="none"/>
          <w:lang w:val="en-US" w:eastAsia="zh-CN"/>
        </w:rPr>
        <w:t>起</w:t>
      </w:r>
      <w:r>
        <w:rPr>
          <w:rFonts w:hint="eastAsia" w:ascii="宋体" w:hAnsi="宋体" w:eastAsia="宋体" w:cs="宋体"/>
          <w:color w:val="000000"/>
          <w:kern w:val="0"/>
          <w:sz w:val="28"/>
          <w:szCs w:val="28"/>
          <w:highlight w:val="none"/>
          <w:lang w:eastAsia="zh-CN"/>
        </w:rPr>
        <w:t>（不含注销日）10个工作日</w:t>
      </w:r>
      <w:r>
        <w:rPr>
          <w:rFonts w:hint="eastAsia" w:ascii="宋体" w:hAnsi="宋体" w:eastAsia="宋体" w:cs="宋体"/>
          <w:color w:val="000000"/>
          <w:kern w:val="0"/>
          <w:sz w:val="28"/>
          <w:szCs w:val="28"/>
          <w:highlight w:val="none"/>
          <w:lang w:val="en-US" w:eastAsia="zh-CN"/>
        </w:rPr>
        <w:t>内</w:t>
      </w:r>
      <w:r>
        <w:rPr>
          <w:rFonts w:hint="eastAsia" w:ascii="宋体" w:hAnsi="宋体" w:eastAsia="宋体" w:cs="宋体"/>
          <w:color w:val="000000"/>
          <w:kern w:val="0"/>
          <w:sz w:val="28"/>
          <w:szCs w:val="28"/>
          <w:highlight w:val="none"/>
          <w:lang w:eastAsia="zh-CN"/>
        </w:rPr>
        <w:t>未办理提货手续的，厂库不再按期货标准承担商品质量、发货时间及发货速度的责任。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lang w:eastAsia="zh-CN"/>
        </w:rPr>
      </w:pPr>
      <w:r>
        <w:rPr>
          <w:rFonts w:hint="eastAsia" w:ascii="宋体" w:hAnsi="宋体" w:eastAsia="宋体" w:cs="宋体"/>
          <w:color w:val="000000"/>
          <w:kern w:val="0"/>
          <w:sz w:val="28"/>
          <w:szCs w:val="28"/>
          <w:highlight w:val="none"/>
          <w:lang w:eastAsia="zh-CN"/>
        </w:rPr>
        <w:t>提货人应</w:t>
      </w:r>
      <w:r>
        <w:rPr>
          <w:rFonts w:hint="eastAsia" w:ascii="宋体" w:hAnsi="宋体" w:cs="宋体"/>
          <w:color w:val="000000"/>
          <w:kern w:val="0"/>
          <w:sz w:val="28"/>
          <w:szCs w:val="28"/>
          <w:highlight w:val="none"/>
          <w:lang w:eastAsia="zh-CN"/>
        </w:rPr>
        <w:t>当</w:t>
      </w:r>
      <w:r>
        <w:rPr>
          <w:rFonts w:hint="eastAsia" w:ascii="宋体" w:hAnsi="宋体" w:eastAsia="宋体" w:cs="宋体"/>
          <w:color w:val="000000"/>
          <w:kern w:val="0"/>
          <w:sz w:val="28"/>
          <w:szCs w:val="28"/>
          <w:highlight w:val="none"/>
          <w:lang w:eastAsia="zh-CN"/>
        </w:rPr>
        <w:t>向厂库支付滞纳金，滞纳金金额=</w:t>
      </w:r>
      <w:r>
        <w:rPr>
          <w:rFonts w:hint="eastAsia" w:ascii="宋体" w:hAnsi="宋体" w:eastAsia="宋体" w:cs="宋体"/>
          <w:color w:val="000000"/>
          <w:kern w:val="0"/>
          <w:sz w:val="28"/>
          <w:szCs w:val="28"/>
          <w:highlight w:val="none"/>
          <w:lang w:val="en-US" w:eastAsia="zh-CN"/>
        </w:rPr>
        <w:t>5（</w:t>
      </w:r>
      <w:r>
        <w:rPr>
          <w:rFonts w:hint="eastAsia" w:ascii="宋体" w:hAnsi="宋体" w:eastAsia="宋体" w:cs="宋体"/>
          <w:color w:val="000000"/>
          <w:kern w:val="0"/>
          <w:sz w:val="28"/>
          <w:szCs w:val="28"/>
          <w:highlight w:val="none"/>
          <w:lang w:eastAsia="zh-CN"/>
        </w:rPr>
        <w:t>元/吨（湿吨重量）</w:t>
      </w:r>
      <w:r>
        <w:rPr>
          <w:rFonts w:hint="eastAsia" w:ascii="宋体" w:hAnsi="宋体" w:eastAsia="宋体" w:cs="宋体"/>
          <w:color w:val="000000"/>
          <w:kern w:val="0"/>
          <w:sz w:val="28"/>
          <w:szCs w:val="28"/>
          <w:highlight w:val="none"/>
          <w:lang w:val="en-US" w:eastAsia="zh-CN"/>
        </w:rPr>
        <w:t>·天）</w:t>
      </w:r>
      <w:r>
        <w:rPr>
          <w:rFonts w:hint="eastAsia" w:ascii="宋体" w:hAnsi="宋体" w:eastAsia="宋体" w:cs="宋体"/>
          <w:color w:val="000000"/>
          <w:kern w:val="0"/>
          <w:sz w:val="28"/>
          <w:szCs w:val="28"/>
          <w:highlight w:val="none"/>
          <w:lang w:eastAsia="zh-CN"/>
        </w:rPr>
        <w:t>×全部商品数量×10个工作日对应的日历日数。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第三十九条</w:t>
      </w:r>
      <w:r>
        <w:rPr>
          <w:rFonts w:hint="eastAsia" w:ascii="宋体" w:hAnsi="宋体" w:eastAsia="宋体" w:cs="宋体"/>
          <w:color w:val="000000"/>
          <w:kern w:val="0"/>
          <w:sz w:val="28"/>
          <w:szCs w:val="28"/>
          <w:highlight w:val="none"/>
          <w:lang w:val="en-US"/>
        </w:rPr>
        <w:t xml:space="preserve"> </w:t>
      </w:r>
      <w:r>
        <w:rPr>
          <w:rFonts w:hint="eastAsia" w:ascii="宋体" w:hAnsi="宋体" w:eastAsia="宋体" w:cs="宋体"/>
          <w:color w:val="000000"/>
          <w:kern w:val="0"/>
          <w:sz w:val="28"/>
          <w:szCs w:val="28"/>
          <w:highlight w:val="none"/>
          <w:lang w:val="en-US" w:eastAsia="zh-CN"/>
        </w:rPr>
        <w:t>提货人办理提货手续时，应</w:t>
      </w:r>
      <w:r>
        <w:rPr>
          <w:rFonts w:hint="eastAsia" w:ascii="宋体" w:hAnsi="宋体" w:cs="宋体"/>
          <w:color w:val="000000"/>
          <w:kern w:val="0"/>
          <w:sz w:val="28"/>
          <w:szCs w:val="28"/>
          <w:highlight w:val="none"/>
          <w:lang w:val="en-US" w:eastAsia="zh-CN"/>
        </w:rPr>
        <w:t>当</w:t>
      </w:r>
      <w:r>
        <w:rPr>
          <w:rFonts w:hint="eastAsia" w:ascii="宋体" w:hAnsi="宋体" w:eastAsia="宋体" w:cs="宋体"/>
          <w:color w:val="000000"/>
          <w:kern w:val="0"/>
          <w:sz w:val="28"/>
          <w:szCs w:val="28"/>
          <w:highlight w:val="none"/>
          <w:lang w:val="en-US" w:eastAsia="zh-CN"/>
        </w:rPr>
        <w:t>与厂库协商确定发货速度及最后完成出库时间。双方协商一致的，按双方约定执行；双方不能协商一致的，厂库应</w:t>
      </w:r>
      <w:r>
        <w:rPr>
          <w:rFonts w:hint="eastAsia" w:ascii="宋体" w:hAnsi="宋体" w:cs="宋体"/>
          <w:color w:val="000000"/>
          <w:kern w:val="0"/>
          <w:sz w:val="28"/>
          <w:szCs w:val="28"/>
          <w:highlight w:val="none"/>
          <w:lang w:val="en-US" w:eastAsia="zh-CN"/>
        </w:rPr>
        <w:t>当</w:t>
      </w:r>
      <w:r>
        <w:rPr>
          <w:rFonts w:hint="eastAsia" w:ascii="宋体" w:hAnsi="宋体" w:eastAsia="宋体" w:cs="宋体"/>
          <w:color w:val="000000"/>
          <w:kern w:val="0"/>
          <w:sz w:val="28"/>
          <w:szCs w:val="28"/>
          <w:highlight w:val="none"/>
          <w:lang w:val="en-US" w:eastAsia="zh-CN"/>
        </w:rPr>
        <w:t>自提货人提供身份证、单位证明及《提货通知单》验证密码之日（含当日）起3个日历日内，按照交易所批准的日发货速度发货。</w:t>
      </w:r>
      <w:r>
        <w:rPr>
          <w:rFonts w:hint="eastAsia" w:ascii="宋体" w:hAnsi="宋体" w:eastAsia="宋体" w:cs="宋体"/>
          <w:kern w:val="0"/>
          <w:sz w:val="28"/>
          <w:szCs w:val="28"/>
          <w:highlight w:val="none"/>
        </w:rPr>
        <w:t>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b w:val="0"/>
          <w:bCs w:val="0"/>
          <w:color w:val="000000"/>
          <w:kern w:val="0"/>
          <w:sz w:val="28"/>
          <w:szCs w:val="28"/>
          <w:highlight w:val="none"/>
        </w:rPr>
      </w:pPr>
      <w:r>
        <w:rPr>
          <w:rFonts w:hint="eastAsia" w:ascii="宋体" w:hAnsi="宋体" w:eastAsia="宋体" w:cs="宋体"/>
          <w:b w:val="0"/>
          <w:bCs w:val="0"/>
          <w:color w:val="000000"/>
          <w:kern w:val="0"/>
          <w:sz w:val="28"/>
          <w:szCs w:val="28"/>
          <w:highlight w:val="none"/>
          <w:lang w:val="en-US" w:eastAsia="zh-CN"/>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第四十条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烧碱厂库出库重量验收由提货人与厂库共同实施，以厂库检重为准，足量出库。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烧碱出库重量发生短少的，厂库应当及时补足。不能补足的，厂库应当按照《提货通知单》开具日（含该日）之前烧碱期货最近</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月最高</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提货人在货物交收时应当到交收地点监发，未到场监发的，视为对货物重量无异议。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第四十一条 </w:t>
      </w:r>
      <w:r>
        <w:rPr>
          <w:rFonts w:hint="eastAsia" w:ascii="宋体" w:hAnsi="宋体" w:eastAsia="宋体" w:cs="宋体"/>
          <w:kern w:val="0"/>
          <w:sz w:val="28"/>
          <w:szCs w:val="28"/>
          <w:highlight w:val="none"/>
        </w:rPr>
        <w:t>厂库应当保证烧碱商品的质量符合交易所规定的</w:t>
      </w:r>
      <w:r>
        <w:rPr>
          <w:rFonts w:hint="eastAsia" w:ascii="宋体" w:hAnsi="宋体" w:eastAsia="宋体" w:cs="宋体"/>
          <w:color w:val="000000"/>
          <w:kern w:val="0"/>
          <w:sz w:val="28"/>
          <w:szCs w:val="28"/>
          <w:highlight w:val="none"/>
        </w:rPr>
        <w:t>交割</w:t>
      </w:r>
      <w:r>
        <w:rPr>
          <w:rFonts w:hint="eastAsia" w:ascii="宋体" w:hAnsi="宋体" w:eastAsia="宋体" w:cs="宋体"/>
          <w:kern w:val="0"/>
          <w:sz w:val="28"/>
          <w:szCs w:val="28"/>
          <w:highlight w:val="none"/>
        </w:rPr>
        <w:t>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烧碱厂库出库时，厂库应当在提货人监督下在货物装运到提货人运输工具前进行抽样，双方确认后共同封样。样品一式三份，一份由提货人保存，两份由厂库保存。厂库应当在发货后至少保留样品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第四十二条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提货人或者厂库</w:t>
      </w:r>
      <w:r>
        <w:rPr>
          <w:rFonts w:hint="eastAsia" w:ascii="宋体" w:hAnsi="宋体" w:eastAsia="宋体" w:cs="宋体"/>
          <w:color w:val="000000"/>
          <w:kern w:val="0"/>
          <w:sz w:val="28"/>
          <w:szCs w:val="28"/>
          <w:highlight w:val="none"/>
        </w:rPr>
        <w:t>对烧碱重量、质量有异议的，由</w:t>
      </w:r>
      <w:r>
        <w:rPr>
          <w:rFonts w:hint="eastAsia" w:ascii="宋体" w:hAnsi="宋体" w:eastAsia="宋体" w:cs="宋体"/>
          <w:kern w:val="0"/>
          <w:sz w:val="28"/>
          <w:szCs w:val="28"/>
          <w:highlight w:val="none"/>
        </w:rPr>
        <w:t>提货人</w:t>
      </w:r>
      <w:r>
        <w:rPr>
          <w:rFonts w:hint="eastAsia" w:ascii="宋体" w:hAnsi="宋体" w:eastAsia="宋体" w:cs="宋体"/>
          <w:color w:val="000000"/>
          <w:kern w:val="0"/>
          <w:sz w:val="28"/>
          <w:szCs w:val="28"/>
          <w:highlight w:val="none"/>
        </w:rPr>
        <w:t>和厂库协商解决；协商不成的，可以向交易所申请一次复检，并由申请方预交复检及相关费用。重量异议应当在烧碱出库前提出；质量异议应当在烧碱出库之日起5个工作日内提出。烧碱质量复检样品仅限于保留样品。</w:t>
      </w:r>
      <w:r>
        <w:rPr>
          <w:rFonts w:hint="eastAsia" w:ascii="宋体" w:hAnsi="宋体" w:eastAsia="宋体" w:cs="宋体"/>
          <w:kern w:val="0"/>
          <w:sz w:val="28"/>
          <w:szCs w:val="28"/>
          <w:highlight w:val="none"/>
        </w:rPr>
        <w:t>具体流程按照《郑州商品交易所标准仓单管理办法》“厂库商品出库复检”有关规定办理。</w:t>
      </w:r>
    </w:p>
    <w:p>
      <w:pPr>
        <w:keepNext w:val="0"/>
        <w:keepLines w:val="0"/>
        <w:pageBreakBefore w:val="0"/>
        <w:widowControl w:val="0"/>
        <w:shd w:val="clear" w:color="auto" w:fill="auto"/>
        <w:tabs>
          <w:tab w:val="left" w:pos="1620"/>
        </w:tabs>
        <w:suppressAutoHyphens/>
        <w:kinsoku/>
        <w:wordWrap/>
        <w:overflowPunct/>
        <w:topLinePunct/>
        <w:autoSpaceDE/>
        <w:autoSpaceDN/>
        <w:bidi w:val="0"/>
        <w:adjustRightInd w:val="0"/>
        <w:snapToGrid w:val="0"/>
        <w:spacing w:line="312" w:lineRule="auto"/>
        <w:ind w:firstLine="562" w:firstLineChars="200"/>
        <w:jc w:val="both"/>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第四十三条</w:t>
      </w:r>
      <w:r>
        <w:rPr>
          <w:rFonts w:hint="eastAsia" w:ascii="宋体" w:hAnsi="宋体" w:eastAsia="宋体" w:cs="宋体"/>
          <w:color w:val="000000"/>
          <w:kern w:val="0"/>
          <w:sz w:val="28"/>
          <w:szCs w:val="28"/>
          <w:highlight w:val="none"/>
        </w:rPr>
        <w:t xml:space="preserve"> 厂库或者提货人因故不能按照约定计划发货或者提货的，双方应当及时协商并妥善调整发货速度或者发货计划，并且过错方应当支付滞纳金。滞纳金额=∑[5（元/吨（湿吨重量）•天）×延误天数×应发（收）而未发（收）商品数量]。</w:t>
      </w:r>
    </w:p>
    <w:p>
      <w:pPr>
        <w:keepNext w:val="0"/>
        <w:keepLines w:val="0"/>
        <w:pageBreakBefore w:val="0"/>
        <w:widowControl w:val="0"/>
        <w:shd w:val="clear" w:color="auto" w:fill="auto"/>
        <w:tabs>
          <w:tab w:val="left" w:pos="1620"/>
        </w:tabs>
        <w:suppressAutoHyphens/>
        <w:kinsoku/>
        <w:wordWrap/>
        <w:overflowPunct/>
        <w:topLinePunct/>
        <w:autoSpaceDE/>
        <w:autoSpaceDN/>
        <w:bidi w:val="0"/>
        <w:adjustRightInd w:val="0"/>
        <w:snapToGrid w:val="0"/>
        <w:spacing w:line="312" w:lineRule="auto"/>
        <w:ind w:firstLine="560" w:firstLineChars="200"/>
        <w:jc w:val="both"/>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因厂库原因在约定的最后发货日起5个日历日内仍不能完成所有商品发货的，提货人可以要求厂库终止发货并支付赔偿金。赔偿金额=烧碱期货最近交割月最高交割结算价×应发未发的商品数量×120%。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kern w:val="0"/>
          <w:sz w:val="28"/>
          <w:szCs w:val="28"/>
          <w:highlight w:val="none"/>
        </w:rPr>
      </w:pPr>
      <w:r>
        <w:rPr>
          <w:rFonts w:hint="eastAsia" w:ascii="宋体" w:hAnsi="宋体" w:eastAsia="宋体" w:cs="宋体"/>
          <w:color w:val="000000"/>
          <w:kern w:val="0"/>
          <w:sz w:val="28"/>
          <w:szCs w:val="28"/>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70" w:firstLineChars="203"/>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第四十四条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第四十五条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第四十六条</w:t>
      </w:r>
      <w:r>
        <w:rPr>
          <w:rFonts w:hint="eastAsia" w:ascii="宋体" w:hAnsi="宋体" w:eastAsia="宋体" w:cs="宋体"/>
          <w:color w:val="000000"/>
          <w:kern w:val="0"/>
          <w:sz w:val="28"/>
          <w:szCs w:val="28"/>
          <w:highlight w:val="none"/>
        </w:rPr>
        <w:t xml:space="preserve"> </w:t>
      </w:r>
      <w:r>
        <w:rPr>
          <w:rFonts w:hint="eastAsia" w:ascii="宋体" w:hAnsi="宋体" w:eastAsia="宋体" w:cs="宋体"/>
          <w:kern w:val="0"/>
          <w:sz w:val="28"/>
          <w:szCs w:val="28"/>
          <w:highlight w:val="none"/>
        </w:rPr>
        <w:t>厂库发货完毕后，交易所书面确认无质量、数量责任的，经厂库申请，交易所退还厂库提交的担保财产或者担保凭证。</w:t>
      </w:r>
    </w:p>
    <w:p>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13" w:name="_Toc15908"/>
      <w:bookmarkStart w:id="14" w:name="_Toc128941396"/>
      <w:r>
        <w:rPr>
          <w:rFonts w:hint="eastAsia" w:ascii="黑体" w:hAnsi="黑体" w:eastAsia="黑体" w:cs="黑体"/>
          <w:b w:val="0"/>
          <w:bCs/>
        </w:rPr>
        <w:t>第四章 风险管理</w:t>
      </w:r>
      <w:bookmarkEnd w:id="13"/>
      <w:bookmarkEnd w:id="1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第四十七条</w:t>
      </w:r>
      <w:r>
        <w:rPr>
          <w:rFonts w:hint="eastAsia" w:ascii="宋体" w:hAnsi="宋体" w:eastAsia="宋体" w:cs="宋体"/>
          <w:color w:val="000000"/>
          <w:kern w:val="0"/>
          <w:sz w:val="28"/>
          <w:szCs w:val="28"/>
          <w:highlight w:val="none"/>
        </w:rPr>
        <w:t xml:space="preserve"> 烧碱期货合约最低交易保证金标准为合约价值的5%。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jc w:val="left"/>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烧碱期货合约交易保证金标准见下表：</w:t>
      </w:r>
    </w:p>
    <w:tbl>
      <w:tblPr>
        <w:tblStyle w:val="8"/>
        <w:tblW w:w="98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352"/>
        <w:gridCol w:w="34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jc w:val="center"/>
        </w:trPr>
        <w:tc>
          <w:tcPr>
            <w:tcW w:w="635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46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635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自合约挂牌至交割月前一个月第15个日历日期间的交易日</w:t>
            </w:r>
          </w:p>
        </w:tc>
        <w:tc>
          <w:tcPr>
            <w:tcW w:w="346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635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自交割月前一个月第16个日历日至交割月前一个月最后一个日历日期间的交易日</w:t>
            </w:r>
          </w:p>
        </w:tc>
        <w:tc>
          <w:tcPr>
            <w:tcW w:w="346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jc w:val="center"/>
        </w:trPr>
        <w:tc>
          <w:tcPr>
            <w:tcW w:w="635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46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8"/>
          <w:szCs w:val="28"/>
          <w:highlight w:val="none"/>
        </w:rPr>
        <w:t xml:space="preserve">第四十八条 </w:t>
      </w:r>
      <w:r>
        <w:rPr>
          <w:rFonts w:hint="eastAsia" w:ascii="宋体" w:hAnsi="宋体" w:eastAsia="宋体" w:cs="宋体"/>
          <w:kern w:val="0"/>
          <w:sz w:val="28"/>
          <w:szCs w:val="28"/>
          <w:highlight w:val="none"/>
        </w:rPr>
        <w:t>烧碱期货合约每日涨跌停板幅度为前一交易日结算价的±4%。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 xml:space="preserve">第四十九条 </w:t>
      </w:r>
      <w:r>
        <w:rPr>
          <w:rFonts w:hint="eastAsia" w:ascii="宋体" w:hAnsi="宋体" w:eastAsia="宋体" w:cs="宋体"/>
          <w:kern w:val="0"/>
          <w:sz w:val="28"/>
          <w:szCs w:val="28"/>
          <w:highlight w:val="none"/>
        </w:rPr>
        <w:t>烧碱</w:t>
      </w:r>
      <w:r>
        <w:rPr>
          <w:rFonts w:hint="eastAsia" w:ascii="宋体" w:hAnsi="宋体" w:eastAsia="宋体" w:cs="宋体"/>
          <w:color w:val="000000"/>
          <w:kern w:val="0"/>
          <w:sz w:val="28"/>
          <w:szCs w:val="28"/>
          <w:highlight w:val="none"/>
        </w:rPr>
        <w:t>期货合约限仓标准见下表：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74"/>
        <w:gridCol w:w="34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340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自合约挂牌至交割月前一个月第15个日历日期间的交易日</w:t>
            </w:r>
          </w:p>
        </w:tc>
        <w:tc>
          <w:tcPr>
            <w:tcW w:w="340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自交割月前一个月第16个日历日至交割月前一个月最后一个日历日期间的交易日</w:t>
            </w:r>
          </w:p>
        </w:tc>
        <w:tc>
          <w:tcPr>
            <w:tcW w:w="340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627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40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10</w:t>
            </w:r>
            <w:r>
              <w:rPr>
                <w:rFonts w:hint="eastAsia" w:ascii="宋体" w:hAnsi="宋体" w:eastAsia="宋体" w:cs="宋体"/>
                <w:color w:val="000000"/>
                <w:kern w:val="0"/>
                <w:sz w:val="24"/>
                <w:szCs w:val="24"/>
                <w:highlight w:val="none"/>
              </w:rPr>
              <w:t>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（自然人客户最大单边持仓量为0手）</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0"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color w:val="000000"/>
          <w:kern w:val="0"/>
          <w:sz w:val="28"/>
          <w:szCs w:val="28"/>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第五十条</w:t>
      </w:r>
      <w:r>
        <w:rPr>
          <w:rFonts w:hint="eastAsia" w:ascii="宋体" w:hAnsi="宋体" w:eastAsia="宋体" w:cs="宋体"/>
          <w:color w:val="000000"/>
          <w:kern w:val="0"/>
          <w:sz w:val="28"/>
          <w:szCs w:val="28"/>
          <w:highlight w:val="none"/>
        </w:rPr>
        <w:t xml:space="preserve"> 根据《郑州商品交易所期货交易风险控制管理办法》等有关规定，交易所对烧碱期货合约交易保证金标准、涨跌停板幅度进行调整的，按照相关标准执行。</w:t>
      </w:r>
    </w:p>
    <w:p>
      <w:pPr>
        <w:pStyle w:val="3"/>
        <w:keepNext w:val="0"/>
        <w:keepLines w:val="0"/>
        <w:pageBreakBefore w:val="0"/>
        <w:widowControl w:val="0"/>
        <w:kinsoku/>
        <w:wordWrap/>
        <w:overflowPunct/>
        <w:topLinePunct/>
        <w:autoSpaceDE/>
        <w:autoSpaceDN/>
        <w:bidi w:val="0"/>
        <w:textAlignment w:val="auto"/>
        <w:rPr>
          <w:rFonts w:hint="eastAsia" w:ascii="黑体" w:hAnsi="黑体" w:eastAsia="黑体" w:cs="黑体"/>
          <w:b w:val="0"/>
          <w:bCs/>
        </w:rPr>
      </w:pPr>
      <w:bookmarkStart w:id="15" w:name="_Toc358562746"/>
      <w:bookmarkStart w:id="16" w:name="_Toc7173"/>
      <w:r>
        <w:rPr>
          <w:rFonts w:hint="eastAsia" w:ascii="黑体" w:hAnsi="黑体" w:eastAsia="黑体" w:cs="黑体"/>
          <w:b w:val="0"/>
          <w:bCs/>
        </w:rPr>
        <w:t>第五章 附 则</w:t>
      </w:r>
      <w:bookmarkEnd w:id="15"/>
      <w:bookmarkEnd w:id="1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第五十一条</w:t>
      </w:r>
      <w:r>
        <w:rPr>
          <w:rFonts w:hint="eastAsia" w:ascii="宋体" w:hAnsi="宋体" w:eastAsia="宋体" w:cs="宋体"/>
          <w:color w:val="000000"/>
          <w:kern w:val="0"/>
          <w:sz w:val="28"/>
          <w:szCs w:val="28"/>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b/>
          <w:color w:val="000000"/>
          <w:kern w:val="0"/>
          <w:sz w:val="28"/>
          <w:szCs w:val="28"/>
          <w:highlight w:val="none"/>
        </w:rPr>
      </w:pPr>
      <w:r>
        <w:rPr>
          <w:rFonts w:hint="eastAsia" w:ascii="宋体" w:hAnsi="宋体" w:eastAsia="宋体" w:cs="宋体"/>
          <w:b/>
          <w:bCs/>
          <w:color w:val="000000"/>
          <w:kern w:val="0"/>
          <w:sz w:val="28"/>
          <w:szCs w:val="28"/>
          <w:highlight w:val="none"/>
        </w:rPr>
        <w:t>第五十二条</w:t>
      </w:r>
      <w:r>
        <w:rPr>
          <w:rFonts w:hint="eastAsia" w:ascii="宋体" w:hAnsi="宋体" w:eastAsia="宋体" w:cs="宋体"/>
          <w:color w:val="000000"/>
          <w:kern w:val="0"/>
          <w:sz w:val="28"/>
          <w:szCs w:val="28"/>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color w:val="000000"/>
          <w:kern w:val="0"/>
          <w:sz w:val="28"/>
          <w:szCs w:val="28"/>
          <w:highlight w:val="none"/>
        </w:rPr>
      </w:pPr>
      <w:r>
        <w:rPr>
          <w:rFonts w:hint="eastAsia" w:ascii="宋体" w:hAnsi="宋体" w:eastAsia="宋体" w:cs="宋体"/>
          <w:b/>
          <w:bCs/>
          <w:color w:val="000000"/>
          <w:kern w:val="0"/>
          <w:sz w:val="28"/>
          <w:szCs w:val="28"/>
          <w:highlight w:val="none"/>
        </w:rPr>
        <w:t>第五十三条</w:t>
      </w:r>
      <w:r>
        <w:rPr>
          <w:rFonts w:hint="eastAsia" w:ascii="宋体" w:hAnsi="宋体" w:eastAsia="宋体" w:cs="宋体"/>
          <w:sz w:val="28"/>
          <w:szCs w:val="28"/>
          <w:highlight w:val="none"/>
        </w:rPr>
        <w:t xml:space="preserve"> </w:t>
      </w:r>
      <w:r>
        <w:rPr>
          <w:rFonts w:hint="eastAsia" w:ascii="宋体" w:hAnsi="宋体" w:eastAsia="宋体" w:cs="宋体"/>
          <w:color w:val="000000"/>
          <w:kern w:val="0"/>
          <w:sz w:val="28"/>
          <w:szCs w:val="28"/>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62" w:firstLineChars="200"/>
        <w:textAlignment w:val="auto"/>
        <w:rPr>
          <w:rFonts w:hint="eastAsia" w:ascii="宋体" w:hAnsi="宋体" w:eastAsia="宋体" w:cs="宋体"/>
          <w:sz w:val="28"/>
          <w:szCs w:val="28"/>
          <w:highlight w:val="none"/>
        </w:rPr>
      </w:pPr>
      <w:r>
        <w:rPr>
          <w:rFonts w:hint="eastAsia" w:ascii="宋体" w:hAnsi="宋体" w:eastAsia="宋体" w:cs="宋体"/>
          <w:b/>
          <w:bCs/>
          <w:color w:val="000000"/>
          <w:kern w:val="0"/>
          <w:sz w:val="28"/>
          <w:szCs w:val="28"/>
          <w:highlight w:val="none"/>
        </w:rPr>
        <w:t>第五十四条</w:t>
      </w:r>
      <w:r>
        <w:rPr>
          <w:rFonts w:hint="eastAsia" w:ascii="宋体" w:hAnsi="宋体" w:eastAsia="宋体" w:cs="宋体"/>
          <w:b/>
          <w:bCs/>
          <w:sz w:val="28"/>
          <w:szCs w:val="28"/>
          <w:highlight w:val="none"/>
          <w:lang w:val="en-US"/>
        </w:rPr>
        <w:t xml:space="preserve"> </w:t>
      </w:r>
      <w:r>
        <w:rPr>
          <w:rFonts w:hint="eastAsia" w:ascii="宋体" w:hAnsi="宋体" w:eastAsia="宋体" w:cs="宋体"/>
          <w:color w:val="000000"/>
          <w:kern w:val="0"/>
          <w:sz w:val="28"/>
          <w:szCs w:val="28"/>
          <w:highlight w:val="none"/>
        </w:rPr>
        <w:t>本细则自</w:t>
      </w:r>
      <w:r>
        <w:rPr>
          <w:rFonts w:hint="eastAsia" w:ascii="宋体" w:hAnsi="宋体" w:eastAsia="宋体" w:cs="宋体"/>
          <w:color w:val="000000"/>
          <w:kern w:val="0"/>
          <w:sz w:val="28"/>
          <w:szCs w:val="28"/>
          <w:highlight w:val="none"/>
          <w:lang w:val="en-US" w:eastAsia="zh-CN"/>
        </w:rPr>
        <w:t>2026年9月22日</w:t>
      </w:r>
      <w:r>
        <w:rPr>
          <w:rFonts w:hint="eastAsia" w:ascii="宋体" w:hAnsi="宋体" w:eastAsia="宋体" w:cs="宋体"/>
          <w:color w:val="000000"/>
          <w:kern w:val="0"/>
          <w:sz w:val="28"/>
          <w:szCs w:val="28"/>
          <w:highlight w:val="none"/>
        </w:rPr>
        <w:t>起施行。</w:t>
      </w:r>
    </w:p>
    <w:p>
      <w:pPr>
        <w:rPr>
          <w:rFonts w:ascii="仿宋" w:hAnsi="仿宋" w:eastAsia="仿宋"/>
          <w:sz w:val="32"/>
        </w:rPr>
      </w:pPr>
      <w:bookmarkStart w:id="17" w:name="_GoBack"/>
      <w:bookmarkEnd w:id="17"/>
    </w:p>
    <w:sectPr>
      <w:headerReference r:id="rId4" w:type="first"/>
      <w:footerReference r:id="rId7" w:type="first"/>
      <w:footerReference r:id="rId5" w:type="default"/>
      <w:headerReference r:id="rId3" w:type="even"/>
      <w:footerReference r:id="rId6" w:type="even"/>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Times New Roman Bold">
    <w:altName w:val="Times New Roman"/>
    <w:panose1 w:val="02020603050405020304"/>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wordWrap w:val="0"/>
      <w:jc w:val="right"/>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1</w:t>
    </w:r>
    <w:r>
      <w:rPr>
        <w:rStyle w:val="10"/>
        <w:sz w:val="28"/>
      </w:rPr>
      <w:fldChar w:fldCharType="end"/>
    </w:r>
    <w:r>
      <w:rPr>
        <w:rFonts w:hint="eastAsia"/>
        <w:sz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1677342C"/>
    <w:rsid w:val="3DEF5F0D"/>
    <w:rsid w:val="3DFBCB31"/>
    <w:rsid w:val="3FFE78C5"/>
    <w:rsid w:val="54BDDC94"/>
    <w:rsid w:val="5FFF46E1"/>
    <w:rsid w:val="67CF01CA"/>
    <w:rsid w:val="6B75495F"/>
    <w:rsid w:val="6FFB9E6F"/>
    <w:rsid w:val="77FF6F8C"/>
    <w:rsid w:val="78031D0F"/>
    <w:rsid w:val="79FE4CE4"/>
    <w:rsid w:val="7B4F957B"/>
    <w:rsid w:val="7CF7F75A"/>
    <w:rsid w:val="7DFF01F4"/>
    <w:rsid w:val="D3B7EBF7"/>
    <w:rsid w:val="DAFF0256"/>
    <w:rsid w:val="DFD7CA60"/>
    <w:rsid w:val="F3EFC78D"/>
    <w:rsid w:val="F3F5CAFD"/>
    <w:rsid w:val="F6FFD822"/>
    <w:rsid w:val="FB7C657A"/>
    <w:rsid w:val="FBC474B8"/>
    <w:rsid w:val="FBFF1A37"/>
    <w:rsid w:val="FBFFDA0B"/>
    <w:rsid w:val="FFE038C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paragraph" w:styleId="4">
    <w:name w:val="heading 3"/>
    <w:basedOn w:val="3"/>
    <w:next w:val="1"/>
    <w:unhideWhenUsed/>
    <w:qFormat/>
    <w:uiPriority w:val="0"/>
    <w:pPr>
      <w:wordWrap/>
      <w:spacing w:before="30" w:beforeLines="30" w:after="30" w:afterLines="30" w:line="240" w:lineRule="auto"/>
      <w:outlineLvl w:val="2"/>
    </w:p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Date"/>
    <w:basedOn w:val="1"/>
    <w:next w:val="1"/>
    <w:link w:val="12"/>
    <w:qFormat/>
    <w:uiPriority w:val="0"/>
    <w:rPr>
      <w:rFonts w:ascii="仿宋_GB2312" w:eastAsia="仿宋_GB2312"/>
      <w:sz w:val="32"/>
    </w:rPr>
  </w:style>
  <w:style w:type="paragraph" w:styleId="6">
    <w:name w:val="footer"/>
    <w:basedOn w:val="1"/>
    <w:link w:val="11"/>
    <w:qFormat/>
    <w:uiPriority w:val="0"/>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page number"/>
    <w:basedOn w:val="9"/>
    <w:qFormat/>
    <w:uiPriority w:val="0"/>
  </w:style>
  <w:style w:type="character" w:customStyle="1" w:styleId="11">
    <w:name w:val="页脚 Char"/>
    <w:basedOn w:val="9"/>
    <w:link w:val="6"/>
    <w:qFormat/>
    <w:uiPriority w:val="0"/>
    <w:rPr>
      <w:rFonts w:ascii="Times New Roman" w:hAnsi="Times New Roman" w:eastAsia="宋体" w:cs="Times New Roman"/>
      <w:sz w:val="18"/>
      <w:szCs w:val="18"/>
    </w:rPr>
  </w:style>
  <w:style w:type="character" w:customStyle="1" w:styleId="12">
    <w:name w:val="日期 Char"/>
    <w:basedOn w:val="9"/>
    <w:link w:val="5"/>
    <w:qFormat/>
    <w:uiPriority w:val="0"/>
    <w:rPr>
      <w:rFonts w:ascii="仿宋_GB2312" w:hAnsi="Times New Roman" w:eastAsia="仿宋_GB2312" w:cs="Times New Roman"/>
      <w:sz w:val="32"/>
      <w:szCs w:val="24"/>
    </w:rPr>
  </w:style>
  <w:style w:type="character" w:customStyle="1" w:styleId="13">
    <w:name w:val="页眉 Char"/>
    <w:basedOn w:val="9"/>
    <w:link w:val="7"/>
    <w:qFormat/>
    <w:uiPriority w:val="99"/>
    <w:rPr>
      <w:rFonts w:ascii="Times New Roman" w:hAnsi="Times New Roman" w:eastAsia="宋体" w:cs="Times New Roman"/>
      <w:sz w:val="18"/>
      <w:szCs w:val="18"/>
    </w:rPr>
  </w:style>
  <w:style w:type="paragraph" w:customStyle="1" w:styleId="14">
    <w:name w:val="正文内容"/>
    <w:basedOn w:val="1"/>
    <w:qFormat/>
    <w:uiPriority w:val="0"/>
    <w:pPr>
      <w:spacing w:line="360" w:lineRule="auto"/>
      <w:ind w:firstLine="200" w:firstLineChars="200"/>
    </w:pPr>
    <w:rPr>
      <w:rFonts w:eastAsia="仿宋"/>
      <w:kern w:val="0"/>
      <w:sz w:val="32"/>
      <w:szCs w:val="32"/>
      <w:lang w:val="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Pages>
  <Words>43</Words>
  <Characters>246</Characters>
  <Lines>2</Lines>
  <Paragraphs>1</Paragraphs>
  <TotalTime>0</TotalTime>
  <ScaleCrop>false</ScaleCrop>
  <LinksUpToDate>false</LinksUpToDate>
  <CharactersWithSpaces>288</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2019-09-18T22:10:00Z</dcterms:created>
  <dc:creator>CN=李小鹏/OU=办公室/O=CZCE</dc:creator>
  <cp:lastModifiedBy>王新宇</cp:lastModifiedBy>
  <dcterms:modified xsi:type="dcterms:W3CDTF">2026-09-16T09:48:38Z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33615F776C78332E044EA36AE054C695</vt:lpwstr>
  </property>
</Properties>
</file>