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eastAsia="黑体"/>
          <w:color w:val="auto"/>
          <w:sz w:val="32"/>
          <w:szCs w:val="32"/>
          <w:highlight w:val="none"/>
          <w:lang w:val="en-US" w:eastAsia="zh-CN"/>
        </w:rPr>
      </w:pPr>
      <w:bookmarkStart w:id="0" w:name="_GoBack"/>
      <w:r>
        <w:rPr>
          <w:rFonts w:hint="eastAsia" w:ascii="Times New Roman" w:hAnsi="Times New Roman" w:eastAsia="黑体"/>
          <w:color w:val="auto"/>
          <w:sz w:val="32"/>
          <w:szCs w:val="32"/>
          <w:highlight w:val="none"/>
          <w:lang w:val="en-US" w:eastAsia="zh-CN"/>
        </w:rPr>
        <w:t>附件1</w:t>
      </w:r>
    </w:p>
    <w:p>
      <w:pPr>
        <w:jc w:val="center"/>
        <w:rPr>
          <w:rFonts w:hint="eastAsia" w:ascii="方正小标宋_GBK" w:hAnsi="方正小标宋_GBK" w:eastAsia="方正小标宋_GBK" w:cs="方正小标宋_GBK"/>
          <w:sz w:val="44"/>
          <w:szCs w:val="44"/>
          <w:highlight w:val="none"/>
          <w:lang w:val="en-US"/>
        </w:rPr>
      </w:pPr>
      <w:r>
        <w:rPr>
          <w:rFonts w:hint="eastAsia" w:ascii="方正小标宋_GBK" w:hAnsi="方正小标宋_GBK" w:eastAsia="方正小标宋_GBK" w:cs="方正小标宋_GBK"/>
          <w:sz w:val="44"/>
          <w:szCs w:val="44"/>
          <w:highlight w:val="none"/>
          <w:lang w:val="en-US" w:eastAsia="zh-CN"/>
        </w:rPr>
        <w:t>关于制定《郑州商品交易所集团交割业务管理办法（征求意见稿）》的说明</w:t>
      </w:r>
    </w:p>
    <w:bookmarkEnd w:id="0"/>
    <w:p>
      <w:pPr>
        <w:keepNext w:val="0"/>
        <w:keepLines w:val="0"/>
        <w:pageBreakBefore w:val="0"/>
        <w:widowControl w:val="0"/>
        <w:suppressAutoHyphens/>
        <w:kinsoku/>
        <w:wordWrap/>
        <w:overflowPunct/>
        <w:topLinePunct w:val="0"/>
        <w:autoSpaceDE/>
        <w:autoSpaceDN/>
        <w:bidi w:val="0"/>
        <w:adjustRightInd/>
        <w:snapToGrid/>
        <w:ind w:firstLine="640" w:firstLineChars="200"/>
        <w:jc w:val="both"/>
        <w:textAlignment w:val="auto"/>
        <w:rPr>
          <w:rFonts w:ascii="Times New Roman" w:hAnsi="Times New Roman" w:eastAsia="仿宋"/>
          <w:color w:val="auto"/>
          <w:sz w:val="32"/>
          <w:szCs w:val="32"/>
          <w:highlight w:val="none"/>
        </w:rPr>
      </w:pPr>
      <w:r>
        <w:rPr>
          <w:rFonts w:hint="eastAsia" w:ascii="仿宋" w:hAnsi="仿宋" w:eastAsia="仿宋" w:cs="仿宋"/>
          <w:i w:val="0"/>
          <w:iCs w:val="0"/>
          <w:caps w:val="0"/>
          <w:color w:val="0F1115"/>
          <w:spacing w:val="0"/>
          <w:sz w:val="32"/>
          <w:szCs w:val="32"/>
          <w:shd w:val="clear" w:color="auto" w:fill="FFFFFF"/>
          <w:lang w:eastAsia="zh-CN"/>
        </w:rPr>
        <w:t>为进一步</w:t>
      </w:r>
      <w:r>
        <w:rPr>
          <w:rFonts w:hint="eastAsia" w:ascii="仿宋" w:hAnsi="仿宋" w:eastAsia="仿宋" w:cs="仿宋"/>
          <w:i w:val="0"/>
          <w:iCs w:val="0"/>
          <w:caps w:val="0"/>
          <w:color w:val="0F1115"/>
          <w:spacing w:val="0"/>
          <w:sz w:val="32"/>
          <w:szCs w:val="32"/>
          <w:shd w:val="clear" w:color="auto" w:fill="FFFFFF"/>
        </w:rPr>
        <w:t>提升交割</w:t>
      </w:r>
      <w:r>
        <w:rPr>
          <w:rFonts w:hint="eastAsia" w:ascii="仿宋" w:hAnsi="仿宋" w:eastAsia="仿宋" w:cs="仿宋"/>
          <w:i w:val="0"/>
          <w:iCs w:val="0"/>
          <w:caps w:val="0"/>
          <w:color w:val="0F1115"/>
          <w:spacing w:val="0"/>
          <w:sz w:val="32"/>
          <w:szCs w:val="32"/>
          <w:shd w:val="clear" w:color="auto" w:fill="FFFFFF"/>
          <w:lang w:eastAsia="zh-CN"/>
        </w:rPr>
        <w:t>业务</w:t>
      </w:r>
      <w:r>
        <w:rPr>
          <w:rFonts w:hint="eastAsia" w:ascii="仿宋" w:hAnsi="仿宋" w:eastAsia="仿宋" w:cs="仿宋"/>
          <w:i w:val="0"/>
          <w:iCs w:val="0"/>
          <w:caps w:val="0"/>
          <w:color w:val="0F1115"/>
          <w:spacing w:val="0"/>
          <w:sz w:val="32"/>
          <w:szCs w:val="32"/>
          <w:shd w:val="clear" w:color="auto" w:fill="FFFFFF"/>
        </w:rPr>
        <w:t>运行质量</w:t>
      </w:r>
      <w:r>
        <w:rPr>
          <w:rFonts w:hint="eastAsia" w:ascii="仿宋" w:hAnsi="仿宋" w:eastAsia="仿宋" w:cs="仿宋"/>
          <w:i w:val="0"/>
          <w:iCs w:val="0"/>
          <w:caps w:val="0"/>
          <w:color w:val="0F1115"/>
          <w:spacing w:val="0"/>
          <w:sz w:val="32"/>
          <w:szCs w:val="32"/>
          <w:shd w:val="clear" w:color="auto" w:fill="FFFFFF"/>
          <w:lang w:eastAsia="zh-CN"/>
        </w:rPr>
        <w:t>，</w:t>
      </w:r>
      <w:r>
        <w:rPr>
          <w:rFonts w:hint="eastAsia" w:ascii="Times New Roman" w:hAnsi="Times New Roman" w:eastAsia="仿宋"/>
          <w:sz w:val="32"/>
          <w:szCs w:val="32"/>
          <w:highlight w:val="none"/>
          <w:lang w:val="en-US" w:eastAsia="zh-CN"/>
        </w:rPr>
        <w:t>提升期货市场服务实体经济的能力，</w:t>
      </w:r>
      <w:r>
        <w:rPr>
          <w:rFonts w:hint="eastAsia" w:ascii="仿宋" w:hAnsi="仿宋" w:eastAsia="仿宋" w:cs="仿宋"/>
          <w:i w:val="0"/>
          <w:iCs w:val="0"/>
          <w:caps w:val="0"/>
          <w:color w:val="0F1115"/>
          <w:spacing w:val="0"/>
          <w:sz w:val="32"/>
          <w:szCs w:val="32"/>
          <w:shd w:val="clear" w:color="auto" w:fill="FFFFFF"/>
          <w:lang w:eastAsia="zh-CN"/>
        </w:rPr>
        <w:t>郑州商品交易所（以下简称郑商所）</w:t>
      </w:r>
      <w:r>
        <w:rPr>
          <w:rFonts w:hint="eastAsia" w:ascii="仿宋" w:hAnsi="仿宋" w:eastAsia="仿宋" w:cs="仿宋"/>
          <w:color w:val="000000"/>
          <w:kern w:val="0"/>
          <w:sz w:val="32"/>
          <w:szCs w:val="32"/>
          <w:highlight w:val="none"/>
        </w:rPr>
        <w:t>根据《</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交易所交易规则》</w:t>
      </w:r>
      <w:r>
        <w:rPr>
          <w:rFonts w:hint="eastAsia" w:ascii="仿宋" w:hAnsi="仿宋" w:eastAsia="仿宋" w:cs="仿宋"/>
          <w:color w:val="000000"/>
          <w:kern w:val="0"/>
          <w:sz w:val="32"/>
          <w:szCs w:val="32"/>
          <w:highlight w:val="none"/>
          <w:lang w:eastAsia="zh-CN"/>
        </w:rPr>
        <w:t>《郑州商品交易所结算规则》</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仓库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厂库</w:t>
      </w:r>
      <w:r>
        <w:rPr>
          <w:rFonts w:hint="eastAsia" w:ascii="仿宋" w:hAnsi="仿宋" w:eastAsia="仿宋" w:cs="仿宋"/>
          <w:color w:val="000000"/>
          <w:kern w:val="0"/>
          <w:sz w:val="32"/>
          <w:szCs w:val="32"/>
          <w:highlight w:val="none"/>
        </w:rPr>
        <w:t>管理办法》等业务规则</w:t>
      </w:r>
      <w:r>
        <w:rPr>
          <w:rFonts w:hint="eastAsia" w:ascii="Times New Roman" w:hAnsi="Times New Roman" w:eastAsia="仿宋" w:cs="仿宋"/>
          <w:color w:val="auto"/>
          <w:sz w:val="32"/>
          <w:szCs w:val="32"/>
          <w:highlight w:val="none"/>
          <w:lang w:val="en-US" w:eastAsia="zh-CN"/>
        </w:rPr>
        <w:t>，起草了《郑州商品交易所集团交割业务管理办法（征求意见稿）》（以下简称《办法》）。现将有关情况说明如下。</w:t>
      </w:r>
    </w:p>
    <w:p>
      <w:pPr>
        <w:ind w:firstLine="640" w:firstLineChars="200"/>
        <w:outlineLvl w:val="0"/>
        <w:rPr>
          <w:rFonts w:hint="default" w:ascii="Times New Roman" w:hAnsi="Times New Roman" w:eastAsia="黑体"/>
          <w:sz w:val="32"/>
          <w:szCs w:val="32"/>
          <w:highlight w:val="none"/>
          <w:lang w:val="en-US" w:eastAsia="zh-CN"/>
        </w:rPr>
      </w:pPr>
      <w:r>
        <w:rPr>
          <w:rFonts w:hint="eastAsia" w:ascii="Times New Roman" w:hAnsi="Times New Roman" w:eastAsia="黑体"/>
          <w:color w:val="auto"/>
          <w:sz w:val="32"/>
          <w:szCs w:val="32"/>
          <w:highlight w:val="none"/>
        </w:rPr>
        <w:t>一、</w:t>
      </w:r>
      <w:r>
        <w:rPr>
          <w:rFonts w:hint="eastAsia" w:ascii="Times New Roman" w:hAnsi="Times New Roman" w:eastAsia="黑体"/>
          <w:color w:val="auto"/>
          <w:sz w:val="32"/>
          <w:szCs w:val="32"/>
          <w:highlight w:val="none"/>
          <w:lang w:eastAsia="zh-CN"/>
        </w:rPr>
        <w:t>起草背景</w:t>
      </w:r>
    </w:p>
    <w:p>
      <w:pPr>
        <w:ind w:firstLine="640" w:firstLineChars="200"/>
        <w:rPr>
          <w:rFonts w:hint="eastAsia" w:hAnsi="仿宋" w:eastAsia="仿宋"/>
          <w:sz w:val="32"/>
          <w:szCs w:val="32"/>
          <w:highlight w:val="none"/>
          <w:lang w:eastAsia="zh-CN"/>
        </w:rPr>
      </w:pPr>
      <w:r>
        <w:rPr>
          <w:rFonts w:hint="eastAsia" w:ascii="Times New Roman" w:hAnsi="Times New Roman" w:eastAsia="仿宋"/>
          <w:sz w:val="32"/>
          <w:szCs w:val="32"/>
          <w:highlight w:val="none"/>
          <w:lang w:eastAsia="zh-CN"/>
        </w:rPr>
        <w:t>期货交割是连接期货市场与现货市场的纽带，是保证期货市场功能发挥的主要机制之一，同时也是期货市场服务实体经济的重要渠道。近年来，为满足实体企业持续增长的多样化的交割需求，交易所不断扩大主要期货品种交割区域范围，增加交割库数量，探索新的交割服务方式</w:t>
      </w:r>
      <w:r>
        <w:rPr>
          <w:rFonts w:hint="eastAsia" w:ascii="Times New Roman" w:hAnsi="Times New Roman" w:eastAsia="仿宋"/>
          <w:sz w:val="32"/>
          <w:szCs w:val="32"/>
          <w:highlight w:val="none"/>
          <w:lang w:val="en-US" w:eastAsia="zh-CN"/>
        </w:rPr>
        <w:t>。其中，</w:t>
      </w:r>
      <w:r>
        <w:rPr>
          <w:rFonts w:hint="eastAsia" w:ascii="仿宋" w:hAnsi="仿宋" w:eastAsia="仿宋" w:cs="仿宋"/>
          <w:i w:val="0"/>
          <w:iCs w:val="0"/>
          <w:caps w:val="0"/>
          <w:color w:val="0F1115"/>
          <w:spacing w:val="0"/>
          <w:sz w:val="32"/>
          <w:szCs w:val="32"/>
          <w:shd w:val="clear" w:color="auto" w:fill="FFFFFF"/>
        </w:rPr>
        <w:t>集团交割业务</w:t>
      </w:r>
      <w:r>
        <w:rPr>
          <w:rFonts w:hint="eastAsia" w:ascii="仿宋" w:hAnsi="仿宋" w:eastAsia="仿宋" w:cs="仿宋"/>
          <w:i w:val="0"/>
          <w:iCs w:val="0"/>
          <w:caps w:val="0"/>
          <w:color w:val="0F1115"/>
          <w:spacing w:val="0"/>
          <w:sz w:val="32"/>
          <w:szCs w:val="32"/>
          <w:shd w:val="clear" w:color="auto" w:fill="FFFFFF"/>
          <w:lang w:eastAsia="zh-CN"/>
        </w:rPr>
        <w:t>可以</w:t>
      </w:r>
      <w:r>
        <w:rPr>
          <w:rFonts w:hint="eastAsia" w:ascii="Times New Roman" w:hAnsi="Times New Roman" w:eastAsia="仿宋"/>
          <w:sz w:val="32"/>
          <w:szCs w:val="32"/>
          <w:highlight w:val="none"/>
          <w:lang w:val="en-US" w:eastAsia="zh-CN"/>
        </w:rPr>
        <w:t>将更多信誉好、资金实力强的企业集团引入期货市场参与交割业务，并依托集团信用兜底交割履约，</w:t>
      </w:r>
      <w:r>
        <w:rPr>
          <w:rFonts w:hint="eastAsia" w:ascii="仿宋" w:hAnsi="仿宋" w:eastAsia="仿宋" w:cs="仿宋"/>
          <w:i w:val="0"/>
          <w:iCs w:val="0"/>
          <w:caps w:val="0"/>
          <w:color w:val="0F1115"/>
          <w:spacing w:val="0"/>
          <w:sz w:val="32"/>
          <w:szCs w:val="32"/>
          <w:shd w:val="clear" w:color="auto" w:fill="FFFFFF"/>
        </w:rPr>
        <w:t>在提升交割</w:t>
      </w:r>
      <w:r>
        <w:rPr>
          <w:rFonts w:hint="eastAsia" w:ascii="仿宋" w:hAnsi="仿宋" w:eastAsia="仿宋" w:cs="仿宋"/>
          <w:i w:val="0"/>
          <w:iCs w:val="0"/>
          <w:caps w:val="0"/>
          <w:color w:val="0F1115"/>
          <w:spacing w:val="0"/>
          <w:sz w:val="32"/>
          <w:szCs w:val="32"/>
          <w:shd w:val="clear" w:color="auto" w:fill="FFFFFF"/>
          <w:lang w:eastAsia="zh-CN"/>
        </w:rPr>
        <w:t>业务监管效率和交割业务抗风险能力</w:t>
      </w:r>
      <w:r>
        <w:rPr>
          <w:rFonts w:hint="eastAsia" w:ascii="仿宋" w:hAnsi="仿宋" w:eastAsia="仿宋" w:cs="仿宋"/>
          <w:i w:val="0"/>
          <w:iCs w:val="0"/>
          <w:caps w:val="0"/>
          <w:color w:val="0F1115"/>
          <w:spacing w:val="0"/>
          <w:sz w:val="32"/>
          <w:szCs w:val="32"/>
          <w:shd w:val="clear" w:color="auto" w:fill="FFFFFF"/>
        </w:rPr>
        <w:t>方面具有积极作用。</w:t>
      </w:r>
      <w:r>
        <w:rPr>
          <w:rFonts w:hint="eastAsia" w:ascii="仿宋" w:hAnsi="仿宋" w:eastAsia="仿宋" w:cs="仿宋"/>
          <w:i w:val="0"/>
          <w:iCs w:val="0"/>
          <w:caps w:val="0"/>
          <w:color w:val="0F1115"/>
          <w:spacing w:val="0"/>
          <w:sz w:val="32"/>
          <w:szCs w:val="32"/>
          <w:shd w:val="clear" w:color="auto" w:fill="FFFFFF"/>
          <w:lang w:eastAsia="zh-CN"/>
        </w:rPr>
        <w:t>因此，为</w:t>
      </w:r>
      <w:r>
        <w:rPr>
          <w:rFonts w:hint="eastAsia" w:ascii="Times New Roman" w:hAnsi="Times New Roman" w:eastAsia="仿宋"/>
          <w:sz w:val="32"/>
          <w:szCs w:val="32"/>
          <w:highlight w:val="none"/>
          <w:lang w:val="en-US" w:eastAsia="zh-CN"/>
        </w:rPr>
        <w:t>进一步提升交割业务运行质量，促进期货市场功能发挥，郑商所基于现有交割制度，制定了《办法》。</w:t>
      </w:r>
    </w:p>
    <w:p>
      <w:pPr>
        <w:ind w:firstLine="640" w:firstLineChars="200"/>
        <w:outlineLvl w:val="0"/>
        <w:rPr>
          <w:rFonts w:hint="eastAsia" w:ascii="Times New Roman" w:hAnsi="Times New Roman" w:eastAsia="黑体" w:cs="Times New Roman"/>
          <w:color w:val="auto"/>
          <w:sz w:val="32"/>
          <w:szCs w:val="32"/>
          <w:highlight w:val="none"/>
          <w:lang w:val="en-US" w:eastAsia="zh-CN"/>
        </w:rPr>
      </w:pPr>
      <w:r>
        <w:rPr>
          <w:rFonts w:hint="eastAsia" w:ascii="Times New Roman" w:hAnsi="Times New Roman" w:eastAsia="黑体" w:cs="Times New Roman"/>
          <w:color w:val="auto"/>
          <w:sz w:val="32"/>
          <w:szCs w:val="32"/>
          <w:highlight w:val="none"/>
          <w:lang w:val="en-US" w:eastAsia="zh-CN"/>
        </w:rPr>
        <w:t>二、主要内容</w:t>
      </w:r>
    </w:p>
    <w:p>
      <w:pPr>
        <w:keepNext w:val="0"/>
        <w:keepLines w:val="0"/>
        <w:pageBreakBefore w:val="0"/>
        <w:widowControl w:val="0"/>
        <w:suppressAutoHyphens/>
        <w:kinsoku/>
        <w:wordWrap/>
        <w:overflowPunct/>
        <w:topLinePunct w:val="0"/>
        <w:autoSpaceDE/>
        <w:autoSpaceDN/>
        <w:bidi w:val="0"/>
        <w:adjustRightInd/>
        <w:snapToGrid/>
        <w:ind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Times New Roman" w:hAnsi="Times New Roman" w:eastAsia="仿宋" w:cs="仿宋"/>
          <w:color w:val="auto"/>
          <w:sz w:val="32"/>
          <w:szCs w:val="32"/>
          <w:highlight w:val="none"/>
          <w:lang w:val="en-US" w:eastAsia="zh-CN"/>
        </w:rPr>
        <w:t>《办法》包括总则、申请和审批、业务管理、监督管理、附则，共五部分三十二条，主要内容如下。</w:t>
      </w:r>
    </w:p>
    <w:p>
      <w:pPr>
        <w:keepNext w:val="0"/>
        <w:keepLines w:val="0"/>
        <w:pageBreakBefore w:val="0"/>
        <w:widowControl/>
        <w:suppressAutoHyphens/>
        <w:kinsoku/>
        <w:wordWrap/>
        <w:overflowPunct/>
        <w:topLinePunct w:val="0"/>
        <w:autoSpaceDE/>
        <w:autoSpaceDN/>
        <w:bidi w:val="0"/>
        <w:adjustRightInd/>
        <w:snapToGrid/>
        <w:ind w:firstLine="640" w:firstLineChars="200"/>
        <w:textAlignment w:val="auto"/>
        <w:outlineLvl w:val="1"/>
        <w:rPr>
          <w:rFonts w:hint="eastAsia" w:ascii="楷体" w:hAnsi="楷体" w:eastAsia="楷体" w:cs="楷体"/>
          <w:sz w:val="32"/>
          <w:szCs w:val="32"/>
          <w:highlight w:val="none"/>
          <w:lang w:val="en-US" w:eastAsia="zh-CN"/>
        </w:rPr>
      </w:pPr>
      <w:r>
        <w:rPr>
          <w:rFonts w:hint="eastAsia" w:ascii="楷体" w:hAnsi="楷体" w:eastAsia="楷体" w:cs="楷体"/>
          <w:sz w:val="32"/>
          <w:szCs w:val="32"/>
          <w:highlight w:val="none"/>
          <w:lang w:val="en-US" w:eastAsia="zh-CN"/>
        </w:rPr>
        <w:t>（一）总则</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Times New Roman" w:hAnsi="Times New Roman" w:eastAsia="仿宋" w:cs="仿宋"/>
          <w:color w:val="auto"/>
          <w:sz w:val="32"/>
          <w:szCs w:val="32"/>
          <w:highlight w:val="none"/>
          <w:lang w:val="en-US" w:eastAsia="zh-CN"/>
        </w:rPr>
        <w:t>第一章总则主要明确《办法》的制定目的、适用范围，并对集团交割业务进行了界定。</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仿宋" w:hAnsi="仿宋" w:eastAsia="仿宋" w:cs="仿宋"/>
          <w:b w:val="0"/>
          <w:color w:val="000000"/>
          <w:kern w:val="0"/>
          <w:sz w:val="32"/>
          <w:szCs w:val="32"/>
          <w:highlight w:val="none"/>
          <w:lang w:eastAsia="zh-CN"/>
        </w:rPr>
        <w:t>集团交割业务是经交易所批准的，由具备</w:t>
      </w:r>
      <w:r>
        <w:rPr>
          <w:rFonts w:hint="eastAsia" w:ascii="仿宋" w:hAnsi="仿宋" w:eastAsia="仿宋" w:cs="仿宋"/>
          <w:color w:val="000000"/>
          <w:kern w:val="0"/>
          <w:sz w:val="32"/>
          <w:szCs w:val="32"/>
          <w:highlight w:val="none"/>
        </w:rPr>
        <w:t>集团管理</w:t>
      </w:r>
      <w:r>
        <w:rPr>
          <w:rFonts w:hint="eastAsia" w:ascii="仿宋" w:hAnsi="仿宋" w:eastAsia="仿宋" w:cs="仿宋"/>
          <w:color w:val="000000"/>
          <w:kern w:val="0"/>
          <w:sz w:val="32"/>
          <w:szCs w:val="32"/>
          <w:highlight w:val="none"/>
          <w:lang w:eastAsia="zh-CN"/>
        </w:rPr>
        <w:t>能力和担保能力</w:t>
      </w:r>
      <w:r>
        <w:rPr>
          <w:rFonts w:hint="eastAsia" w:ascii="仿宋" w:hAnsi="仿宋" w:eastAsia="仿宋" w:cs="仿宋"/>
          <w:color w:val="000000"/>
          <w:kern w:val="0"/>
          <w:sz w:val="32"/>
          <w:szCs w:val="32"/>
          <w:highlight w:val="none"/>
        </w:rPr>
        <w:t>的机构（以下简称集团）</w:t>
      </w:r>
      <w:r>
        <w:rPr>
          <w:rFonts w:hint="eastAsia" w:ascii="仿宋" w:hAnsi="仿宋" w:eastAsia="仿宋" w:cs="仿宋"/>
          <w:color w:val="000000"/>
          <w:kern w:val="0"/>
          <w:sz w:val="32"/>
          <w:szCs w:val="32"/>
          <w:highlight w:val="none"/>
          <w:lang w:eastAsia="zh-CN"/>
        </w:rPr>
        <w:t>通过对一个或多个交割库和交收库进行集团化管理，为指定商品期货</w:t>
      </w:r>
      <w:r>
        <w:rPr>
          <w:rFonts w:hint="eastAsia" w:ascii="仿宋" w:hAnsi="仿宋" w:eastAsia="仿宋" w:cs="仿宋"/>
          <w:color w:val="000000"/>
          <w:kern w:val="0"/>
          <w:sz w:val="32"/>
          <w:szCs w:val="32"/>
          <w:highlight w:val="none"/>
        </w:rPr>
        <w:t>提供</w:t>
      </w:r>
      <w:r>
        <w:rPr>
          <w:rFonts w:hint="eastAsia" w:ascii="仿宋" w:hAnsi="仿宋" w:eastAsia="仿宋" w:cs="仿宋"/>
          <w:color w:val="000000"/>
          <w:kern w:val="0"/>
          <w:sz w:val="32"/>
          <w:szCs w:val="32"/>
          <w:highlight w:val="none"/>
          <w:lang w:eastAsia="zh-CN"/>
        </w:rPr>
        <w:t>的</w:t>
      </w:r>
      <w:r>
        <w:rPr>
          <w:rFonts w:hint="eastAsia" w:ascii="仿宋" w:hAnsi="仿宋" w:eastAsia="仿宋" w:cs="仿宋"/>
          <w:color w:val="000000"/>
          <w:kern w:val="0"/>
          <w:sz w:val="32"/>
          <w:szCs w:val="32"/>
          <w:highlight w:val="none"/>
        </w:rPr>
        <w:t>标准仓单</w:t>
      </w:r>
      <w:r>
        <w:rPr>
          <w:rFonts w:hint="eastAsia" w:ascii="仿宋" w:hAnsi="仿宋" w:eastAsia="仿宋" w:cs="仿宋"/>
          <w:color w:val="000000"/>
          <w:kern w:val="0"/>
          <w:sz w:val="32"/>
          <w:szCs w:val="32"/>
          <w:highlight w:val="none"/>
          <w:lang w:eastAsia="zh-CN"/>
        </w:rPr>
        <w:t>注册、注销</w:t>
      </w:r>
      <w:r>
        <w:rPr>
          <w:rFonts w:hint="eastAsia" w:ascii="仿宋" w:hAnsi="仿宋" w:eastAsia="仿宋" w:cs="仿宋"/>
          <w:color w:val="000000"/>
          <w:kern w:val="0"/>
          <w:sz w:val="32"/>
          <w:szCs w:val="32"/>
          <w:highlight w:val="none"/>
        </w:rPr>
        <w:t>等交割业务</w:t>
      </w:r>
      <w:r>
        <w:rPr>
          <w:rFonts w:hint="eastAsia" w:ascii="仿宋" w:hAnsi="仿宋" w:eastAsia="仿宋" w:cs="仿宋"/>
          <w:color w:val="000000"/>
          <w:kern w:val="0"/>
          <w:sz w:val="32"/>
          <w:szCs w:val="32"/>
          <w:highlight w:val="none"/>
          <w:lang w:eastAsia="zh-CN"/>
        </w:rPr>
        <w:t>和异地交收等交收服务；</w:t>
      </w:r>
      <w:r>
        <w:rPr>
          <w:rFonts w:hint="eastAsia" w:ascii="仿宋" w:hAnsi="仿宋" w:eastAsia="仿宋" w:cs="仿宋"/>
          <w:i w:val="0"/>
          <w:iCs w:val="0"/>
          <w:caps w:val="0"/>
          <w:color w:val="0F1115"/>
          <w:spacing w:val="0"/>
          <w:sz w:val="32"/>
          <w:szCs w:val="32"/>
          <w:shd w:val="clear" w:color="auto" w:fill="FFFFFF"/>
        </w:rPr>
        <w:t>交割库或交收库出现违约</w:t>
      </w:r>
      <w:r>
        <w:rPr>
          <w:rFonts w:hint="eastAsia" w:ascii="仿宋" w:hAnsi="仿宋" w:eastAsia="仿宋" w:cs="仿宋"/>
          <w:i w:val="0"/>
          <w:iCs w:val="0"/>
          <w:caps w:val="0"/>
          <w:color w:val="0F1115"/>
          <w:spacing w:val="0"/>
          <w:sz w:val="32"/>
          <w:szCs w:val="32"/>
          <w:shd w:val="clear" w:color="auto" w:fill="FFFFFF"/>
          <w:lang w:val="en-US" w:eastAsia="zh-CN"/>
        </w:rPr>
        <w:t>时</w:t>
      </w:r>
      <w:r>
        <w:rPr>
          <w:rFonts w:hint="eastAsia" w:ascii="仿宋" w:hAnsi="仿宋" w:eastAsia="仿宋" w:cs="仿宋"/>
          <w:i w:val="0"/>
          <w:iCs w:val="0"/>
          <w:caps w:val="0"/>
          <w:color w:val="0F1115"/>
          <w:spacing w:val="0"/>
          <w:sz w:val="32"/>
          <w:szCs w:val="32"/>
          <w:shd w:val="clear" w:color="auto" w:fill="FFFFFF"/>
        </w:rPr>
        <w:t>，由集团承担全部责任</w:t>
      </w:r>
      <w:r>
        <w:rPr>
          <w:rFonts w:hint="eastAsia" w:ascii="仿宋" w:hAnsi="仿宋" w:eastAsia="仿宋" w:cs="仿宋"/>
          <w:color w:val="000000"/>
          <w:kern w:val="0"/>
          <w:sz w:val="32"/>
          <w:szCs w:val="32"/>
          <w:highlight w:val="none"/>
        </w:rPr>
        <w:t>。</w:t>
      </w:r>
      <w:r>
        <w:rPr>
          <w:rFonts w:hint="eastAsia" w:ascii="仿宋" w:hAnsi="仿宋" w:eastAsia="仿宋" w:cs="仿宋"/>
          <w:i w:val="0"/>
          <w:iCs w:val="0"/>
          <w:caps w:val="0"/>
          <w:color w:val="0F1115"/>
          <w:spacing w:val="0"/>
          <w:sz w:val="32"/>
          <w:szCs w:val="32"/>
          <w:shd w:val="clear" w:color="auto" w:fill="FFFFFF"/>
        </w:rPr>
        <w:t>其中，交割库包括交割仓库和交割厂库，可独立办理标准仓单的注册、注销等交割业务；交收库由集团指定，</w:t>
      </w:r>
      <w:r>
        <w:rPr>
          <w:rFonts w:hint="eastAsia" w:ascii="仿宋" w:hAnsi="仿宋" w:eastAsia="仿宋" w:cs="仿宋"/>
          <w:i w:val="0"/>
          <w:iCs w:val="0"/>
          <w:caps w:val="0"/>
          <w:color w:val="0F1115"/>
          <w:spacing w:val="0"/>
          <w:sz w:val="32"/>
          <w:szCs w:val="32"/>
          <w:highlight w:val="none"/>
          <w:shd w:val="clear" w:color="auto" w:fill="FFFFFF"/>
          <w:lang w:eastAsia="zh-CN"/>
        </w:rPr>
        <w:t>不能签发标准仓单，</w:t>
      </w:r>
      <w:r>
        <w:rPr>
          <w:rFonts w:hint="eastAsia" w:ascii="仿宋" w:hAnsi="仿宋" w:eastAsia="仿宋" w:cs="仿宋"/>
          <w:i w:val="0"/>
          <w:iCs w:val="0"/>
          <w:caps w:val="0"/>
          <w:color w:val="0F1115"/>
          <w:spacing w:val="0"/>
          <w:sz w:val="32"/>
          <w:szCs w:val="32"/>
          <w:shd w:val="clear" w:color="auto" w:fill="FFFFFF"/>
          <w:lang w:val="en-US" w:eastAsia="zh-CN"/>
        </w:rPr>
        <w:t>可以</w:t>
      </w:r>
      <w:r>
        <w:rPr>
          <w:rFonts w:hint="eastAsia" w:ascii="仿宋" w:hAnsi="仿宋" w:eastAsia="仿宋" w:cs="仿宋"/>
          <w:i w:val="0"/>
          <w:iCs w:val="0"/>
          <w:caps w:val="0"/>
          <w:color w:val="0F1115"/>
          <w:spacing w:val="0"/>
          <w:sz w:val="32"/>
          <w:szCs w:val="32"/>
          <w:shd w:val="clear" w:color="auto" w:fill="FFFFFF"/>
        </w:rPr>
        <w:t>提供异地</w:t>
      </w:r>
      <w:r>
        <w:rPr>
          <w:rFonts w:hint="eastAsia" w:ascii="仿宋" w:hAnsi="仿宋" w:eastAsia="仿宋" w:cs="仿宋"/>
          <w:i w:val="0"/>
          <w:iCs w:val="0"/>
          <w:caps w:val="0"/>
          <w:color w:val="0F1115"/>
          <w:spacing w:val="0"/>
          <w:sz w:val="32"/>
          <w:szCs w:val="32"/>
          <w:shd w:val="clear" w:color="auto" w:fill="FFFFFF"/>
          <w:lang w:eastAsia="zh-CN"/>
        </w:rPr>
        <w:t>交收</w:t>
      </w:r>
      <w:r>
        <w:rPr>
          <w:rFonts w:hint="eastAsia" w:ascii="仿宋" w:hAnsi="仿宋" w:eastAsia="仿宋" w:cs="仿宋"/>
          <w:i w:val="0"/>
          <w:iCs w:val="0"/>
          <w:caps w:val="0"/>
          <w:color w:val="0F1115"/>
          <w:spacing w:val="0"/>
          <w:sz w:val="32"/>
          <w:szCs w:val="32"/>
          <w:shd w:val="clear" w:color="auto" w:fill="FFFFFF"/>
        </w:rPr>
        <w:t>等交收服务</w:t>
      </w:r>
      <w:r>
        <w:rPr>
          <w:rFonts w:hint="eastAsia" w:ascii="仿宋" w:hAnsi="仿宋" w:eastAsia="仿宋" w:cs="仿宋"/>
          <w:i w:val="0"/>
          <w:iCs w:val="0"/>
          <w:caps w:val="0"/>
          <w:color w:val="0F1115"/>
          <w:spacing w:val="0"/>
          <w:sz w:val="32"/>
          <w:szCs w:val="32"/>
          <w:shd w:val="clear" w:color="auto" w:fill="FFFFFF"/>
          <w:lang w:eastAsia="zh-CN"/>
        </w:rPr>
        <w:t>。</w:t>
      </w:r>
    </w:p>
    <w:p>
      <w:pPr>
        <w:widowControl/>
        <w:spacing w:line="240" w:lineRule="auto"/>
        <w:ind w:firstLine="640" w:firstLineChars="200"/>
        <w:outlineLvl w:val="1"/>
        <w:rPr>
          <w:rFonts w:hint="eastAsia" w:ascii="楷体" w:hAnsi="楷体" w:eastAsia="楷体" w:cs="楷体"/>
          <w:kern w:val="2"/>
          <w:sz w:val="32"/>
          <w:szCs w:val="32"/>
          <w:highlight w:val="none"/>
          <w:lang w:eastAsia="zh-CN"/>
        </w:rPr>
      </w:pPr>
      <w:r>
        <w:rPr>
          <w:rFonts w:hint="eastAsia" w:ascii="楷体" w:hAnsi="楷体" w:eastAsia="楷体" w:cs="楷体"/>
          <w:kern w:val="2"/>
          <w:sz w:val="32"/>
          <w:szCs w:val="32"/>
          <w:highlight w:val="none"/>
          <w:lang w:eastAsia="zh-CN"/>
        </w:rPr>
        <w:t>（二）申请和审批</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Times New Roman" w:hAnsi="Times New Roman" w:eastAsia="仿宋" w:cs="仿宋"/>
          <w:color w:val="auto"/>
          <w:sz w:val="32"/>
          <w:szCs w:val="32"/>
          <w:highlight w:val="none"/>
          <w:lang w:val="en-US" w:eastAsia="zh-CN"/>
        </w:rPr>
        <w:t>第二章申请和审批包括申请条件、申请材料和设立程序等三节内容。</w:t>
      </w:r>
    </w:p>
    <w:p>
      <w:pPr>
        <w:widowControl w:val="0"/>
        <w:numPr>
          <w:ilvl w:val="0"/>
          <w:numId w:val="0"/>
        </w:numPr>
        <w:spacing w:line="240" w:lineRule="auto"/>
        <w:ind w:firstLine="640" w:firstLineChars="200"/>
        <w:rPr>
          <w:rFonts w:hint="eastAsia" w:ascii="仿宋" w:hAnsi="仿宋" w:eastAsia="仿宋" w:cs="仿宋"/>
          <w:color w:val="000000"/>
          <w:kern w:val="0"/>
          <w:sz w:val="32"/>
          <w:szCs w:val="32"/>
          <w:highlight w:val="none"/>
        </w:rPr>
      </w:pPr>
      <w:r>
        <w:rPr>
          <w:rFonts w:hint="eastAsia" w:ascii="仿宋" w:hAnsi="仿宋" w:eastAsia="仿宋" w:cs="仿宋"/>
          <w:color w:val="000000"/>
          <w:kern w:val="0"/>
          <w:sz w:val="32"/>
          <w:szCs w:val="32"/>
          <w:highlight w:val="none"/>
          <w:lang w:val="en-US" w:eastAsia="zh-CN"/>
        </w:rPr>
        <w:t>本章第一节对集团和集团交割库的申请条件做了明确规定。集团交割库的设立条件与普通交割库的申请条件相同。集团的申请条件包括法人资格、运营时间、财务状况、商业信誉等。其中，对注册资本和净资产要求分别不低于1亿和10亿元人民币或等值外币。此外，</w:t>
      </w:r>
      <w:r>
        <w:rPr>
          <w:rFonts w:hint="eastAsia" w:ascii="仿宋" w:hAnsi="仿宋" w:eastAsia="仿宋" w:cs="仿宋"/>
          <w:color w:val="000000"/>
          <w:kern w:val="0"/>
          <w:sz w:val="32"/>
          <w:szCs w:val="32"/>
          <w:highlight w:val="none"/>
          <w:lang w:eastAsia="zh-CN"/>
        </w:rPr>
        <w:t>交易所可以</w:t>
      </w:r>
      <w:r>
        <w:rPr>
          <w:rFonts w:hint="eastAsia" w:ascii="仿宋" w:hAnsi="仿宋" w:eastAsia="仿宋" w:cs="仿宋"/>
          <w:color w:val="000000"/>
          <w:kern w:val="0"/>
          <w:sz w:val="32"/>
          <w:szCs w:val="32"/>
          <w:highlight w:val="none"/>
        </w:rPr>
        <w:t>根据上市品种行业状况</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rPr>
        <w:t>调整集团</w:t>
      </w:r>
      <w:r>
        <w:rPr>
          <w:rFonts w:hint="eastAsia" w:ascii="仿宋" w:hAnsi="仿宋" w:eastAsia="仿宋" w:cs="仿宋"/>
          <w:color w:val="000000"/>
          <w:kern w:val="0"/>
          <w:sz w:val="32"/>
          <w:szCs w:val="32"/>
          <w:highlight w:val="none"/>
          <w:lang w:eastAsia="zh-CN"/>
        </w:rPr>
        <w:t>的</w:t>
      </w:r>
      <w:r>
        <w:rPr>
          <w:rFonts w:hint="eastAsia" w:ascii="仿宋" w:hAnsi="仿宋" w:eastAsia="仿宋" w:cs="仿宋"/>
          <w:color w:val="000000"/>
          <w:kern w:val="0"/>
          <w:sz w:val="32"/>
          <w:szCs w:val="32"/>
          <w:highlight w:val="none"/>
        </w:rPr>
        <w:t>注册资本和净资产数额</w:t>
      </w:r>
      <w:r>
        <w:rPr>
          <w:rFonts w:hint="eastAsia" w:ascii="仿宋" w:hAnsi="仿宋" w:eastAsia="仿宋" w:cs="仿宋"/>
          <w:color w:val="000000"/>
          <w:kern w:val="0"/>
          <w:sz w:val="32"/>
          <w:szCs w:val="32"/>
          <w:highlight w:val="none"/>
          <w:lang w:eastAsia="zh-CN"/>
        </w:rPr>
        <w:t>要求</w:t>
      </w:r>
      <w:r>
        <w:rPr>
          <w:rFonts w:hint="eastAsia" w:ascii="仿宋" w:hAnsi="仿宋" w:eastAsia="仿宋" w:cs="仿宋"/>
          <w:color w:val="000000"/>
          <w:kern w:val="0"/>
          <w:sz w:val="32"/>
          <w:szCs w:val="32"/>
          <w:highlight w:val="none"/>
        </w:rPr>
        <w:t>。</w:t>
      </w:r>
    </w:p>
    <w:p>
      <w:pPr>
        <w:widowControl w:val="0"/>
        <w:numPr>
          <w:ilvl w:val="0"/>
          <w:numId w:val="0"/>
        </w:numPr>
        <w:spacing w:line="240" w:lineRule="auto"/>
        <w:ind w:firstLine="640" w:firstLineChars="200"/>
        <w:rPr>
          <w:rFonts w:hint="eastAsia" w:ascii="仿宋" w:hAnsi="仿宋" w:eastAsia="仿宋" w:cs="仿宋"/>
          <w:color w:val="000000"/>
          <w:kern w:val="0"/>
          <w:sz w:val="32"/>
          <w:szCs w:val="32"/>
          <w:highlight w:val="none"/>
          <w:lang w:val="en-US" w:eastAsia="zh-CN"/>
        </w:rPr>
      </w:pPr>
      <w:r>
        <w:rPr>
          <w:rFonts w:hint="eastAsia" w:ascii="仿宋" w:hAnsi="仿宋" w:eastAsia="仿宋" w:cs="仿宋"/>
          <w:color w:val="000000"/>
          <w:kern w:val="0"/>
          <w:sz w:val="32"/>
          <w:szCs w:val="32"/>
          <w:highlight w:val="none"/>
          <w:lang w:val="en-US" w:eastAsia="zh-CN"/>
        </w:rPr>
        <w:t>本章第二节对集团和集团交割库的申请材料做了明确规定。其中，要求集团交割库提交的申请材料与普通交割库基本一致，但因集团承担集团交割库违约的全部责任，一般情况下免除集团交割仓库申请的担保文件。集团的申请材料包括申请书、营业执照、审计报告、承诺书等申请材料。此外，本节明确集团在净资产范围内开展交割业务的，一般无需提供担保单位，但当市场风险明显增大或集团出现重大事项变更等情况，交易所评估后认为存在交割风险的，有权要求集团提供担保。</w:t>
      </w:r>
    </w:p>
    <w:p>
      <w:pPr>
        <w:widowControl w:val="0"/>
        <w:numPr>
          <w:ilvl w:val="0"/>
          <w:numId w:val="0"/>
        </w:numPr>
        <w:spacing w:line="240" w:lineRule="auto"/>
        <w:ind w:firstLine="640" w:firstLineChars="200"/>
        <w:rPr>
          <w:rFonts w:hint="eastAsia" w:ascii="仿宋" w:hAnsi="仿宋" w:eastAsia="仿宋" w:cs="仿宋"/>
          <w:color w:val="000000"/>
          <w:kern w:val="0"/>
          <w:sz w:val="32"/>
          <w:szCs w:val="32"/>
          <w:highlight w:val="none"/>
          <w:lang w:val="en-US" w:eastAsia="zh-CN"/>
        </w:rPr>
      </w:pPr>
      <w:r>
        <w:rPr>
          <w:rFonts w:hint="eastAsia" w:ascii="仿宋" w:hAnsi="仿宋" w:eastAsia="仿宋" w:cs="仿宋"/>
          <w:color w:val="000000"/>
          <w:kern w:val="0"/>
          <w:sz w:val="32"/>
          <w:szCs w:val="32"/>
          <w:highlight w:val="none"/>
          <w:lang w:eastAsia="zh-CN"/>
        </w:rPr>
        <w:t>本章第三节</w:t>
      </w:r>
      <w:r>
        <w:rPr>
          <w:rFonts w:hint="eastAsia" w:ascii="仿宋" w:hAnsi="仿宋" w:eastAsia="仿宋" w:cs="仿宋"/>
          <w:color w:val="000000"/>
          <w:kern w:val="0"/>
          <w:sz w:val="32"/>
          <w:szCs w:val="32"/>
          <w:highlight w:val="none"/>
          <w:lang w:val="en-US" w:eastAsia="zh-CN"/>
        </w:rPr>
        <w:t>明确了集团交割业务的设立程序。由集团向交易所提交集团和集团交割库的申请材料。</w:t>
      </w:r>
      <w:r>
        <w:rPr>
          <w:rFonts w:hint="eastAsia" w:ascii="仿宋" w:hAnsi="仿宋" w:eastAsia="仿宋" w:cs="仿宋"/>
          <w:color w:val="000000"/>
          <w:kern w:val="0"/>
          <w:sz w:val="32"/>
          <w:szCs w:val="32"/>
          <w:highlight w:val="none"/>
        </w:rPr>
        <w:t>通过初审的，交易所可以对</w:t>
      </w:r>
      <w:r>
        <w:rPr>
          <w:rFonts w:hint="eastAsia" w:ascii="仿宋" w:hAnsi="仿宋" w:eastAsia="仿宋" w:cs="仿宋"/>
          <w:color w:val="000000"/>
          <w:kern w:val="0"/>
          <w:sz w:val="32"/>
          <w:szCs w:val="32"/>
          <w:highlight w:val="none"/>
          <w:lang w:eastAsia="zh-CN"/>
        </w:rPr>
        <w:t>集团</w:t>
      </w:r>
      <w:r>
        <w:rPr>
          <w:rFonts w:hint="eastAsia" w:ascii="仿宋" w:hAnsi="仿宋" w:eastAsia="仿宋" w:cs="仿宋"/>
          <w:color w:val="000000"/>
          <w:kern w:val="0"/>
          <w:sz w:val="32"/>
          <w:szCs w:val="32"/>
          <w:highlight w:val="none"/>
        </w:rPr>
        <w:t>及</w:t>
      </w:r>
      <w:r>
        <w:rPr>
          <w:rFonts w:hint="eastAsia" w:ascii="仿宋" w:hAnsi="仿宋" w:eastAsia="仿宋" w:cs="仿宋"/>
          <w:color w:val="000000"/>
          <w:kern w:val="0"/>
          <w:sz w:val="32"/>
          <w:szCs w:val="32"/>
          <w:highlight w:val="none"/>
          <w:lang w:eastAsia="zh-CN"/>
        </w:rPr>
        <w:t>集团交割库</w:t>
      </w:r>
      <w:r>
        <w:rPr>
          <w:rFonts w:hint="eastAsia" w:ascii="仿宋" w:hAnsi="仿宋" w:eastAsia="仿宋" w:cs="仿宋"/>
          <w:color w:val="000000"/>
          <w:kern w:val="0"/>
          <w:sz w:val="32"/>
          <w:szCs w:val="32"/>
          <w:highlight w:val="none"/>
        </w:rPr>
        <w:t>进行实地调查和评估。交易所根据实地调查、评估结果和</w:t>
      </w:r>
      <w:r>
        <w:rPr>
          <w:rFonts w:hint="eastAsia" w:ascii="仿宋" w:hAnsi="仿宋" w:eastAsia="仿宋" w:cs="仿宋"/>
          <w:color w:val="000000"/>
          <w:kern w:val="0"/>
          <w:sz w:val="32"/>
          <w:szCs w:val="32"/>
          <w:highlight w:val="none"/>
          <w:lang w:eastAsia="zh-CN"/>
        </w:rPr>
        <w:t>交易所</w:t>
      </w:r>
      <w:r>
        <w:rPr>
          <w:rFonts w:hint="eastAsia" w:ascii="仿宋" w:hAnsi="仿宋" w:eastAsia="仿宋" w:cs="仿宋"/>
          <w:color w:val="000000"/>
          <w:kern w:val="0"/>
          <w:sz w:val="32"/>
          <w:szCs w:val="32"/>
          <w:highlight w:val="none"/>
        </w:rPr>
        <w:t>业务规则的规定，择优选用。</w:t>
      </w:r>
      <w:r>
        <w:rPr>
          <w:rFonts w:hint="eastAsia" w:ascii="仿宋" w:hAnsi="仿宋" w:eastAsia="仿宋" w:cs="仿宋"/>
          <w:color w:val="000000"/>
          <w:kern w:val="0"/>
          <w:sz w:val="32"/>
          <w:szCs w:val="32"/>
          <w:highlight w:val="none"/>
          <w:lang w:val="en-US" w:eastAsia="zh-CN"/>
        </w:rPr>
        <w:t>资格获批后，集团需要办理</w:t>
      </w:r>
      <w:r>
        <w:rPr>
          <w:rFonts w:hint="eastAsia" w:ascii="仿宋" w:hAnsi="仿宋" w:eastAsia="仿宋" w:cs="仿宋"/>
          <w:color w:val="000000"/>
          <w:kern w:val="0"/>
          <w:sz w:val="32"/>
          <w:szCs w:val="32"/>
          <w:highlight w:val="none"/>
        </w:rPr>
        <w:t>签署集团交割业务协议</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rPr>
        <w:t>向交易所备案指定办理标准仓单业务的承办部门（或者机构）负责人、经办人和经办人的授权书</w:t>
      </w:r>
      <w:r>
        <w:rPr>
          <w:rFonts w:hint="eastAsia" w:ascii="仿宋" w:hAnsi="仿宋" w:eastAsia="仿宋" w:cs="仿宋"/>
          <w:color w:val="000000"/>
          <w:kern w:val="0"/>
          <w:sz w:val="32"/>
          <w:szCs w:val="32"/>
          <w:highlight w:val="none"/>
          <w:lang w:eastAsia="zh-CN"/>
        </w:rPr>
        <w:t>等事宜</w:t>
      </w:r>
      <w:r>
        <w:rPr>
          <w:rFonts w:hint="eastAsia" w:ascii="仿宋" w:hAnsi="仿宋" w:eastAsia="仿宋" w:cs="仿宋"/>
          <w:color w:val="000000"/>
          <w:kern w:val="0"/>
          <w:sz w:val="32"/>
          <w:szCs w:val="32"/>
          <w:highlight w:val="none"/>
        </w:rPr>
        <w:t>。</w:t>
      </w:r>
    </w:p>
    <w:p>
      <w:pPr>
        <w:widowControl/>
        <w:spacing w:line="240" w:lineRule="auto"/>
        <w:ind w:firstLine="640" w:firstLineChars="200"/>
        <w:outlineLvl w:val="1"/>
        <w:rPr>
          <w:rFonts w:hint="eastAsia" w:ascii="楷体" w:hAnsi="楷体" w:eastAsia="楷体" w:cs="楷体"/>
          <w:kern w:val="2"/>
          <w:sz w:val="32"/>
          <w:szCs w:val="32"/>
          <w:highlight w:val="none"/>
          <w:lang w:eastAsia="zh-CN"/>
        </w:rPr>
      </w:pPr>
      <w:r>
        <w:rPr>
          <w:rFonts w:hint="eastAsia" w:ascii="楷体" w:hAnsi="楷体" w:eastAsia="楷体" w:cs="楷体"/>
          <w:kern w:val="2"/>
          <w:sz w:val="32"/>
          <w:szCs w:val="32"/>
          <w:highlight w:val="none"/>
          <w:lang w:eastAsia="zh-CN"/>
        </w:rPr>
        <w:t>（三）业务管理</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Times New Roman" w:hAnsi="Times New Roman" w:eastAsia="仿宋" w:cs="仿宋"/>
          <w:color w:val="auto"/>
          <w:sz w:val="32"/>
          <w:szCs w:val="32"/>
          <w:highlight w:val="none"/>
          <w:lang w:val="en-US" w:eastAsia="zh-CN"/>
        </w:rPr>
        <w:t>第三章业务管理对集团和集团交割库的权利义务进行了规定。</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2" w:firstLineChars="200"/>
        <w:textAlignment w:val="auto"/>
        <w:rPr>
          <w:rFonts w:hint="eastAsia" w:ascii="Times New Roman" w:hAnsi="Times New Roman" w:eastAsia="仿宋" w:cs="仿宋"/>
          <w:color w:val="auto"/>
          <w:sz w:val="32"/>
          <w:szCs w:val="32"/>
          <w:highlight w:val="none"/>
          <w:lang w:val="en-US" w:eastAsia="zh-CN"/>
        </w:rPr>
      </w:pPr>
      <w:r>
        <w:rPr>
          <w:rFonts w:hint="eastAsia" w:ascii="Times New Roman" w:hAnsi="Times New Roman" w:eastAsia="仿宋" w:cs="仿宋"/>
          <w:b/>
          <w:bCs/>
          <w:color w:val="auto"/>
          <w:sz w:val="32"/>
          <w:szCs w:val="32"/>
          <w:highlight w:val="none"/>
          <w:lang w:val="en-US" w:eastAsia="zh-CN"/>
        </w:rPr>
        <w:t>集团方面</w:t>
      </w:r>
      <w:r>
        <w:rPr>
          <w:rFonts w:hint="eastAsia" w:ascii="Times New Roman" w:hAnsi="Times New Roman" w:eastAsia="仿宋" w:cs="仿宋"/>
          <w:color w:val="auto"/>
          <w:sz w:val="32"/>
          <w:szCs w:val="32"/>
          <w:highlight w:val="none"/>
          <w:lang w:val="en-US" w:eastAsia="zh-CN"/>
        </w:rPr>
        <w:t>，享有的权利包括申请增加或减少交割库或交收库、查询集团成员仓单注册位置等信息、确定交收库提货升贴水、可提货量及对应的交割库等权利。</w:t>
      </w:r>
      <w:r>
        <w:rPr>
          <w:rFonts w:hint="eastAsia" w:ascii="Times New Roman" w:hAnsi="Times New Roman" w:eastAsia="仿宋" w:cs="仿宋"/>
          <w:b w:val="0"/>
          <w:bCs w:val="0"/>
          <w:color w:val="auto"/>
          <w:sz w:val="32"/>
          <w:szCs w:val="32"/>
          <w:highlight w:val="none"/>
          <w:lang w:val="en-US" w:eastAsia="zh-CN"/>
        </w:rPr>
        <w:t>承担的义务</w:t>
      </w:r>
      <w:r>
        <w:rPr>
          <w:rFonts w:hint="eastAsia" w:ascii="Times New Roman" w:hAnsi="Times New Roman" w:eastAsia="仿宋" w:cs="仿宋"/>
          <w:color w:val="auto"/>
          <w:sz w:val="32"/>
          <w:szCs w:val="32"/>
          <w:highlight w:val="none"/>
          <w:lang w:val="en-US" w:eastAsia="zh-CN"/>
        </w:rPr>
        <w:t>包括</w:t>
      </w:r>
      <w:r>
        <w:rPr>
          <w:rFonts w:hint="eastAsia" w:ascii="仿宋" w:hAnsi="仿宋" w:eastAsia="仿宋" w:cs="仿宋"/>
          <w:color w:val="000000"/>
          <w:kern w:val="0"/>
          <w:sz w:val="32"/>
          <w:szCs w:val="32"/>
          <w:highlight w:val="none"/>
        </w:rPr>
        <w:t>对</w:t>
      </w:r>
      <w:r>
        <w:rPr>
          <w:rFonts w:hint="eastAsia" w:ascii="仿宋" w:hAnsi="仿宋" w:eastAsia="仿宋" w:cs="仿宋"/>
          <w:color w:val="000000"/>
          <w:kern w:val="0"/>
          <w:sz w:val="32"/>
          <w:szCs w:val="32"/>
          <w:highlight w:val="none"/>
          <w:lang w:eastAsia="zh-CN"/>
        </w:rPr>
        <w:t>集团交割库和交收库</w:t>
      </w:r>
      <w:r>
        <w:rPr>
          <w:rFonts w:hint="eastAsia" w:ascii="仿宋" w:hAnsi="仿宋" w:eastAsia="仿宋" w:cs="仿宋"/>
          <w:color w:val="000000"/>
          <w:kern w:val="0"/>
          <w:sz w:val="32"/>
          <w:szCs w:val="32"/>
          <w:highlight w:val="none"/>
        </w:rPr>
        <w:t>相关业务进行监督管理</w:t>
      </w:r>
      <w:r>
        <w:rPr>
          <w:rFonts w:hint="eastAsia" w:ascii="仿宋" w:hAnsi="仿宋" w:eastAsia="仿宋" w:cs="仿宋"/>
          <w:color w:val="000000"/>
          <w:kern w:val="0"/>
          <w:sz w:val="32"/>
          <w:szCs w:val="32"/>
          <w:highlight w:val="none"/>
          <w:lang w:eastAsia="zh-CN"/>
        </w:rPr>
        <w:t>、及时发布</w:t>
      </w:r>
      <w:r>
        <w:rPr>
          <w:rFonts w:hint="eastAsia" w:ascii="Times New Roman" w:hAnsi="Times New Roman" w:eastAsia="仿宋" w:cs="仿宋"/>
          <w:color w:val="auto"/>
          <w:sz w:val="32"/>
          <w:szCs w:val="32"/>
          <w:highlight w:val="none"/>
          <w:lang w:val="en-US" w:eastAsia="zh-CN"/>
        </w:rPr>
        <w:t>交收库提货升贴水、可提货量及对应的交割库信息</w:t>
      </w:r>
      <w:r>
        <w:rPr>
          <w:rFonts w:hint="eastAsia" w:ascii="仿宋" w:hAnsi="仿宋" w:eastAsia="仿宋" w:cs="仿宋"/>
          <w:color w:val="000000"/>
          <w:kern w:val="0"/>
          <w:sz w:val="32"/>
          <w:szCs w:val="32"/>
          <w:highlight w:val="none"/>
          <w:lang w:eastAsia="zh-CN"/>
        </w:rPr>
        <w:t>，并接受交易所年审和监督管理等义务。</w:t>
      </w:r>
    </w:p>
    <w:p>
      <w:pPr>
        <w:widowControl/>
        <w:spacing w:line="240" w:lineRule="auto"/>
        <w:ind w:firstLine="642" w:firstLineChars="200"/>
        <w:rPr>
          <w:rFonts w:hint="eastAsia" w:ascii="仿宋" w:hAnsi="仿宋" w:eastAsia="仿宋" w:cs="仿宋"/>
          <w:color w:val="000000"/>
          <w:kern w:val="0"/>
          <w:sz w:val="32"/>
          <w:szCs w:val="32"/>
          <w:highlight w:val="none"/>
          <w:lang w:eastAsia="zh-CN"/>
        </w:rPr>
      </w:pPr>
      <w:r>
        <w:rPr>
          <w:rFonts w:hint="eastAsia" w:ascii="Times New Roman" w:hAnsi="Times New Roman" w:eastAsia="仿宋" w:cs="仿宋"/>
          <w:b/>
          <w:bCs/>
          <w:color w:val="auto"/>
          <w:sz w:val="32"/>
          <w:szCs w:val="32"/>
          <w:highlight w:val="none"/>
          <w:lang w:val="en-US" w:eastAsia="zh-CN"/>
        </w:rPr>
        <w:t>交割库方面</w:t>
      </w:r>
      <w:r>
        <w:rPr>
          <w:rFonts w:hint="eastAsia" w:ascii="Times New Roman" w:hAnsi="Times New Roman" w:eastAsia="仿宋" w:cs="仿宋"/>
          <w:color w:val="auto"/>
          <w:sz w:val="32"/>
          <w:szCs w:val="32"/>
          <w:highlight w:val="none"/>
          <w:lang w:val="en-US" w:eastAsia="zh-CN"/>
        </w:rPr>
        <w:t>，集团交割</w:t>
      </w:r>
      <w:r>
        <w:rPr>
          <w:rFonts w:hint="eastAsia" w:ascii="仿宋" w:hAnsi="仿宋" w:eastAsia="仿宋" w:cs="仿宋"/>
          <w:color w:val="000000"/>
          <w:kern w:val="0"/>
          <w:sz w:val="32"/>
          <w:szCs w:val="32"/>
          <w:highlight w:val="none"/>
        </w:rPr>
        <w:t>库</w:t>
      </w:r>
      <w:r>
        <w:rPr>
          <w:rFonts w:hint="eastAsia" w:ascii="仿宋" w:hAnsi="仿宋" w:eastAsia="仿宋" w:cs="仿宋"/>
          <w:color w:val="000000"/>
          <w:kern w:val="0"/>
          <w:sz w:val="32"/>
          <w:szCs w:val="32"/>
          <w:highlight w:val="none"/>
          <w:lang w:eastAsia="zh-CN"/>
        </w:rPr>
        <w:t>的</w:t>
      </w:r>
      <w:r>
        <w:rPr>
          <w:rFonts w:hint="eastAsia" w:ascii="仿宋" w:hAnsi="仿宋" w:eastAsia="仿宋" w:cs="仿宋"/>
          <w:color w:val="000000"/>
          <w:kern w:val="0"/>
          <w:sz w:val="32"/>
          <w:szCs w:val="32"/>
          <w:highlight w:val="none"/>
        </w:rPr>
        <w:t>权利与义务按照</w:t>
      </w:r>
      <w:r>
        <w:rPr>
          <w:rFonts w:hint="eastAsia" w:ascii="仿宋" w:hAnsi="仿宋" w:eastAsia="仿宋" w:cs="仿宋"/>
          <w:color w:val="000000"/>
          <w:kern w:val="0"/>
          <w:sz w:val="32"/>
          <w:szCs w:val="32"/>
          <w:highlight w:val="none"/>
          <w:lang w:eastAsia="zh-CN"/>
        </w:rPr>
        <w:t>与交易所签订的</w:t>
      </w:r>
      <w:r>
        <w:rPr>
          <w:rFonts w:hint="eastAsia" w:ascii="仿宋" w:hAnsi="仿宋" w:eastAsia="仿宋" w:cs="仿宋"/>
          <w:color w:val="000000"/>
          <w:kern w:val="0"/>
          <w:sz w:val="32"/>
          <w:szCs w:val="32"/>
          <w:highlight w:val="none"/>
        </w:rPr>
        <w:t>集团交割业务协议</w:t>
      </w:r>
      <w:r>
        <w:rPr>
          <w:rFonts w:hint="eastAsia" w:ascii="仿宋" w:hAnsi="仿宋" w:eastAsia="仿宋" w:cs="仿宋"/>
          <w:color w:val="000000"/>
          <w:kern w:val="0"/>
          <w:sz w:val="32"/>
          <w:szCs w:val="32"/>
          <w:highlight w:val="none"/>
          <w:lang w:eastAsia="zh-CN"/>
        </w:rPr>
        <w:t>及</w:t>
      </w:r>
      <w:r>
        <w:rPr>
          <w:rFonts w:hint="eastAsia" w:ascii="仿宋" w:hAnsi="仿宋" w:eastAsia="仿宋" w:cs="仿宋"/>
          <w:color w:val="000000"/>
          <w:kern w:val="0"/>
          <w:sz w:val="32"/>
          <w:szCs w:val="32"/>
          <w:highlight w:val="none"/>
        </w:rPr>
        <w:t>《</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仓库</w:t>
      </w:r>
      <w:r>
        <w:rPr>
          <w:rFonts w:hint="eastAsia" w:ascii="仿宋" w:hAnsi="仿宋" w:eastAsia="仿宋" w:cs="仿宋"/>
          <w:color w:val="000000"/>
          <w:kern w:val="0"/>
          <w:sz w:val="32"/>
          <w:szCs w:val="32"/>
          <w:highlight w:val="none"/>
        </w:rPr>
        <w:t>管理办法》《</w:t>
      </w:r>
      <w:r>
        <w:rPr>
          <w:rFonts w:hint="eastAsia" w:ascii="仿宋" w:hAnsi="仿宋" w:eastAsia="仿宋" w:cs="仿宋"/>
          <w:color w:val="000000"/>
          <w:kern w:val="0"/>
          <w:sz w:val="32"/>
          <w:szCs w:val="32"/>
          <w:highlight w:val="none"/>
          <w:lang w:eastAsia="zh-CN"/>
        </w:rPr>
        <w:t>郑州商品</w:t>
      </w:r>
      <w:r>
        <w:rPr>
          <w:rFonts w:hint="eastAsia" w:ascii="仿宋" w:hAnsi="仿宋" w:eastAsia="仿宋" w:cs="仿宋"/>
          <w:color w:val="000000"/>
          <w:kern w:val="0"/>
          <w:sz w:val="32"/>
          <w:szCs w:val="32"/>
          <w:highlight w:val="none"/>
        </w:rPr>
        <w:t>交易所</w:t>
      </w:r>
      <w:r>
        <w:rPr>
          <w:rFonts w:hint="eastAsia" w:ascii="仿宋" w:hAnsi="仿宋" w:eastAsia="仿宋" w:cs="仿宋"/>
          <w:color w:val="000000"/>
          <w:kern w:val="0"/>
          <w:sz w:val="32"/>
          <w:szCs w:val="32"/>
          <w:highlight w:val="none"/>
          <w:lang w:eastAsia="zh-CN"/>
        </w:rPr>
        <w:t>指定商品</w:t>
      </w:r>
      <w:r>
        <w:rPr>
          <w:rFonts w:hint="eastAsia" w:ascii="仿宋" w:hAnsi="仿宋" w:eastAsia="仿宋" w:cs="仿宋"/>
          <w:color w:val="000000"/>
          <w:kern w:val="0"/>
          <w:sz w:val="32"/>
          <w:szCs w:val="32"/>
          <w:highlight w:val="none"/>
        </w:rPr>
        <w:t>交割</w:t>
      </w:r>
      <w:r>
        <w:rPr>
          <w:rFonts w:hint="eastAsia" w:ascii="仿宋" w:hAnsi="仿宋" w:eastAsia="仿宋" w:cs="仿宋"/>
          <w:color w:val="000000"/>
          <w:kern w:val="0"/>
          <w:sz w:val="32"/>
          <w:szCs w:val="32"/>
          <w:highlight w:val="none"/>
          <w:lang w:eastAsia="zh-CN"/>
        </w:rPr>
        <w:t>厂库</w:t>
      </w:r>
      <w:r>
        <w:rPr>
          <w:rFonts w:hint="eastAsia" w:ascii="仿宋" w:hAnsi="仿宋" w:eastAsia="仿宋" w:cs="仿宋"/>
          <w:color w:val="000000"/>
          <w:kern w:val="0"/>
          <w:sz w:val="32"/>
          <w:szCs w:val="32"/>
          <w:highlight w:val="none"/>
        </w:rPr>
        <w:t>管理办法》相关规定执行，接受</w:t>
      </w:r>
      <w:r>
        <w:rPr>
          <w:rFonts w:hint="eastAsia" w:ascii="仿宋" w:hAnsi="仿宋" w:eastAsia="仿宋" w:cs="仿宋"/>
          <w:color w:val="000000"/>
          <w:kern w:val="0"/>
          <w:sz w:val="32"/>
          <w:szCs w:val="32"/>
          <w:highlight w:val="none"/>
          <w:lang w:eastAsia="zh-CN"/>
        </w:rPr>
        <w:t>交易所和</w:t>
      </w:r>
      <w:r>
        <w:rPr>
          <w:rFonts w:hint="eastAsia" w:ascii="仿宋" w:hAnsi="仿宋" w:eastAsia="仿宋" w:cs="仿宋"/>
          <w:color w:val="000000"/>
          <w:kern w:val="0"/>
          <w:sz w:val="32"/>
          <w:szCs w:val="32"/>
          <w:highlight w:val="none"/>
        </w:rPr>
        <w:t>集团的</w:t>
      </w:r>
      <w:r>
        <w:rPr>
          <w:rFonts w:hint="eastAsia" w:ascii="仿宋" w:hAnsi="仿宋" w:eastAsia="仿宋" w:cs="仿宋"/>
          <w:color w:val="000000"/>
          <w:kern w:val="0"/>
          <w:sz w:val="32"/>
          <w:szCs w:val="32"/>
          <w:highlight w:val="none"/>
          <w:lang w:eastAsia="zh-CN"/>
        </w:rPr>
        <w:t>双重</w:t>
      </w:r>
      <w:r>
        <w:rPr>
          <w:rFonts w:hint="eastAsia" w:ascii="仿宋" w:hAnsi="仿宋" w:eastAsia="仿宋" w:cs="仿宋"/>
          <w:color w:val="000000"/>
          <w:kern w:val="0"/>
          <w:sz w:val="32"/>
          <w:szCs w:val="32"/>
          <w:highlight w:val="none"/>
        </w:rPr>
        <w:t>监督管理</w:t>
      </w:r>
      <w:r>
        <w:rPr>
          <w:rFonts w:hint="eastAsia" w:ascii="仿宋" w:hAnsi="仿宋" w:eastAsia="仿宋" w:cs="仿宋"/>
          <w:color w:val="000000"/>
          <w:kern w:val="0"/>
          <w:sz w:val="32"/>
          <w:szCs w:val="32"/>
          <w:highlight w:val="none"/>
          <w:lang w:eastAsia="zh-CN"/>
        </w:rPr>
        <w:t>。</w:t>
      </w:r>
    </w:p>
    <w:p>
      <w:pPr>
        <w:widowControl/>
        <w:spacing w:line="240" w:lineRule="auto"/>
        <w:ind w:firstLine="642" w:firstLineChars="200"/>
        <w:rPr>
          <w:rFonts w:hint="eastAsia" w:ascii="仿宋" w:hAnsi="仿宋" w:eastAsia="仿宋" w:cs="仿宋"/>
          <w:color w:val="000000"/>
          <w:kern w:val="0"/>
          <w:sz w:val="32"/>
          <w:szCs w:val="32"/>
          <w:highlight w:val="none"/>
        </w:rPr>
      </w:pPr>
      <w:r>
        <w:rPr>
          <w:rFonts w:hint="eastAsia" w:ascii="仿宋" w:hAnsi="仿宋" w:eastAsia="仿宋" w:cs="仿宋"/>
          <w:b/>
          <w:bCs/>
          <w:color w:val="000000"/>
          <w:kern w:val="0"/>
          <w:sz w:val="32"/>
          <w:szCs w:val="32"/>
          <w:highlight w:val="none"/>
          <w:lang w:eastAsia="zh-CN"/>
        </w:rPr>
        <w:t>交收库方面</w:t>
      </w:r>
      <w:r>
        <w:rPr>
          <w:rFonts w:hint="eastAsia" w:ascii="仿宋" w:hAnsi="仿宋" w:eastAsia="仿宋" w:cs="仿宋"/>
          <w:color w:val="000000"/>
          <w:kern w:val="0"/>
          <w:sz w:val="32"/>
          <w:szCs w:val="32"/>
          <w:highlight w:val="none"/>
          <w:lang w:eastAsia="zh-CN"/>
        </w:rPr>
        <w:t>，</w:t>
      </w:r>
      <w:r>
        <w:rPr>
          <w:rFonts w:hint="eastAsia" w:ascii="仿宋" w:hAnsi="仿宋" w:eastAsia="仿宋" w:cs="仿宋"/>
          <w:color w:val="000000"/>
          <w:kern w:val="0"/>
          <w:sz w:val="32"/>
          <w:szCs w:val="32"/>
          <w:highlight w:val="none"/>
          <w:lang w:val="en-US" w:eastAsia="zh-CN"/>
        </w:rPr>
        <w:t>交收库应该接受集团关于交收业务的管理，并按照相关约定提供异地交收等交收服务</w:t>
      </w:r>
      <w:r>
        <w:rPr>
          <w:rFonts w:hint="eastAsia" w:ascii="仿宋" w:hAnsi="仿宋" w:eastAsia="仿宋" w:cs="仿宋"/>
          <w:color w:val="000000"/>
          <w:kern w:val="0"/>
          <w:sz w:val="32"/>
          <w:szCs w:val="32"/>
          <w:highlight w:val="none"/>
          <w:lang w:eastAsia="zh-CN"/>
        </w:rPr>
        <w:t>。对应交割库的标准仓单持有人选择在交收库提货的，由提货人与集团和交割库按照约定自行结算。</w:t>
      </w:r>
      <w:r>
        <w:rPr>
          <w:rFonts w:hint="default" w:eastAsia="仿宋"/>
          <w:sz w:val="32"/>
          <w:szCs w:val="32"/>
          <w:highlight w:val="none"/>
          <w:lang w:eastAsia="zh-CN"/>
        </w:rPr>
        <w:t>由此</w:t>
      </w:r>
      <w:r>
        <w:rPr>
          <w:rFonts w:eastAsia="仿宋"/>
          <w:sz w:val="32"/>
          <w:szCs w:val="32"/>
          <w:highlight w:val="none"/>
        </w:rPr>
        <w:t>产生的</w:t>
      </w:r>
      <w:r>
        <w:rPr>
          <w:rFonts w:hint="eastAsia" w:eastAsia="仿宋"/>
          <w:sz w:val="32"/>
          <w:szCs w:val="32"/>
          <w:highlight w:val="none"/>
          <w:lang w:eastAsia="zh-CN"/>
        </w:rPr>
        <w:t>纠纷自行解决</w:t>
      </w:r>
      <w:r>
        <w:rPr>
          <w:rFonts w:eastAsia="仿宋"/>
          <w:sz w:val="32"/>
          <w:szCs w:val="32"/>
          <w:highlight w:val="none"/>
        </w:rPr>
        <w:t>，</w:t>
      </w:r>
      <w:r>
        <w:rPr>
          <w:rFonts w:hint="eastAsia" w:eastAsia="仿宋"/>
          <w:sz w:val="32"/>
          <w:szCs w:val="32"/>
          <w:highlight w:val="none"/>
          <w:lang w:eastAsia="zh-CN"/>
        </w:rPr>
        <w:t>交易所不承担责任</w:t>
      </w:r>
      <w:r>
        <w:rPr>
          <w:rFonts w:hint="eastAsia" w:ascii="仿宋" w:hAnsi="仿宋" w:eastAsia="仿宋" w:cs="仿宋"/>
          <w:color w:val="000000"/>
          <w:kern w:val="0"/>
          <w:sz w:val="32"/>
          <w:szCs w:val="32"/>
          <w:highlight w:val="none"/>
          <w:lang w:eastAsia="zh-CN"/>
        </w:rPr>
        <w:t>。</w:t>
      </w:r>
    </w:p>
    <w:p>
      <w:pPr>
        <w:widowControl/>
        <w:spacing w:line="560" w:lineRule="exact"/>
        <w:ind w:firstLine="640" w:firstLineChars="200"/>
        <w:outlineLvl w:val="9"/>
        <w:rPr>
          <w:rFonts w:hint="eastAsia" w:ascii="楷体" w:hAnsi="楷体" w:eastAsia="楷体" w:cs="楷体"/>
          <w:kern w:val="2"/>
          <w:sz w:val="32"/>
          <w:szCs w:val="32"/>
          <w:highlight w:val="none"/>
          <w:lang w:eastAsia="zh-CN"/>
        </w:rPr>
      </w:pPr>
      <w:r>
        <w:rPr>
          <w:rFonts w:hint="eastAsia" w:ascii="楷体" w:hAnsi="楷体" w:eastAsia="楷体" w:cs="楷体"/>
          <w:kern w:val="2"/>
          <w:sz w:val="32"/>
          <w:szCs w:val="32"/>
          <w:highlight w:val="none"/>
          <w:lang w:eastAsia="zh-CN"/>
        </w:rPr>
        <w:t>（四）监督管理</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0" w:firstLineChars="200"/>
        <w:textAlignment w:val="auto"/>
        <w:rPr>
          <w:rFonts w:hint="eastAsia" w:ascii="Times New Roman" w:hAnsi="Times New Roman" w:eastAsia="仿宋" w:cs="仿宋"/>
          <w:color w:val="auto"/>
          <w:sz w:val="32"/>
          <w:szCs w:val="32"/>
          <w:highlight w:val="none"/>
          <w:lang w:val="en-US" w:eastAsia="zh-CN"/>
        </w:rPr>
      </w:pPr>
      <w:r>
        <w:rPr>
          <w:rFonts w:hint="eastAsia" w:ascii="Times New Roman" w:hAnsi="Times New Roman" w:eastAsia="仿宋" w:cs="仿宋"/>
          <w:color w:val="auto"/>
          <w:sz w:val="32"/>
          <w:szCs w:val="32"/>
          <w:highlight w:val="none"/>
          <w:lang w:val="en-US" w:eastAsia="zh-CN"/>
        </w:rPr>
        <w:t>第四章监督管理对交易所对集团和集团交割库的监督管理进行了规定。</w:t>
      </w:r>
    </w:p>
    <w:p>
      <w:pPr>
        <w:keepNext w:val="0"/>
        <w:keepLines w:val="0"/>
        <w:pageBreakBefore w:val="0"/>
        <w:widowControl w:val="0"/>
        <w:numPr>
          <w:ilvl w:val="0"/>
          <w:numId w:val="0"/>
        </w:numPr>
        <w:suppressAutoHyphens/>
        <w:kinsoku/>
        <w:wordWrap/>
        <w:overflowPunct/>
        <w:topLinePunct w:val="0"/>
        <w:autoSpaceDE/>
        <w:autoSpaceDN/>
        <w:bidi w:val="0"/>
        <w:adjustRightInd/>
        <w:snapToGrid/>
        <w:ind w:firstLine="640" w:firstLineChars="200"/>
        <w:textAlignment w:val="auto"/>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b w:val="0"/>
          <w:bCs w:val="0"/>
          <w:color w:val="000000"/>
          <w:sz w:val="32"/>
          <w:szCs w:val="32"/>
          <w:highlight w:val="none"/>
          <w:shd w:val="clear" w:color="auto" w:fill="auto"/>
          <w:lang w:val="en-US" w:eastAsia="zh-CN"/>
        </w:rPr>
        <w:t>交易所对集团进行年审，并根据需要对其进行检查、自查；对集团交割库的监督管理方式与普通交割库相同。交易所</w:t>
      </w:r>
      <w:r>
        <w:rPr>
          <w:rFonts w:hint="eastAsia" w:ascii="仿宋" w:hAnsi="仿宋" w:eastAsia="仿宋" w:cs="仿宋"/>
          <w:color w:val="000000"/>
          <w:sz w:val="32"/>
          <w:szCs w:val="32"/>
          <w:highlight w:val="none"/>
          <w:shd w:val="clear" w:color="auto" w:fill="auto"/>
          <w:lang w:eastAsia="zh-CN"/>
        </w:rPr>
        <w:t>在检查、自查和年审过程中，发现检查对象存在违法违规行为的，交易所可以根据情节轻重，对集团及集团交割库</w:t>
      </w:r>
      <w:r>
        <w:rPr>
          <w:rFonts w:hint="eastAsia" w:ascii="仿宋" w:hAnsi="仿宋" w:eastAsia="仿宋" w:cs="仿宋"/>
          <w:color w:val="000000"/>
          <w:sz w:val="32"/>
          <w:szCs w:val="32"/>
          <w:highlight w:val="none"/>
          <w:shd w:val="clear" w:color="auto" w:fill="auto"/>
        </w:rPr>
        <w:t>采取</w:t>
      </w:r>
      <w:r>
        <w:rPr>
          <w:rFonts w:hint="eastAsia" w:ascii="仿宋" w:hAnsi="仿宋" w:eastAsia="仿宋" w:cs="仿宋"/>
          <w:color w:val="000000"/>
          <w:sz w:val="32"/>
          <w:szCs w:val="32"/>
          <w:highlight w:val="none"/>
          <w:shd w:val="clear" w:color="auto" w:fill="auto"/>
          <w:lang w:eastAsia="zh-CN"/>
        </w:rPr>
        <w:t>限期整改、暂停办理交割</w:t>
      </w:r>
      <w:r>
        <w:rPr>
          <w:rFonts w:hint="eastAsia" w:ascii="仿宋" w:hAnsi="仿宋" w:eastAsia="仿宋" w:cs="仿宋"/>
          <w:color w:val="000000"/>
          <w:sz w:val="32"/>
          <w:szCs w:val="32"/>
          <w:highlight w:val="none"/>
          <w:shd w:val="clear" w:color="auto" w:fill="auto"/>
        </w:rPr>
        <w:t>预报</w:t>
      </w:r>
      <w:r>
        <w:rPr>
          <w:rFonts w:hint="eastAsia" w:ascii="仿宋" w:hAnsi="仿宋" w:eastAsia="仿宋" w:cs="仿宋"/>
          <w:color w:val="000000"/>
          <w:sz w:val="32"/>
          <w:szCs w:val="32"/>
          <w:highlight w:val="none"/>
          <w:shd w:val="clear" w:color="auto" w:fill="auto"/>
          <w:lang w:eastAsia="zh-CN"/>
        </w:rPr>
        <w:t>和</w:t>
      </w:r>
      <w:r>
        <w:rPr>
          <w:rFonts w:hint="eastAsia" w:ascii="仿宋" w:hAnsi="仿宋" w:eastAsia="仿宋" w:cs="仿宋"/>
          <w:color w:val="000000"/>
          <w:sz w:val="32"/>
          <w:szCs w:val="32"/>
          <w:highlight w:val="none"/>
          <w:shd w:val="clear" w:color="auto" w:fill="auto"/>
        </w:rPr>
        <w:t>仓单注册</w:t>
      </w:r>
      <w:r>
        <w:rPr>
          <w:rFonts w:hint="eastAsia" w:ascii="仿宋" w:hAnsi="仿宋" w:eastAsia="仿宋" w:cs="仿宋"/>
          <w:color w:val="000000"/>
          <w:sz w:val="32"/>
          <w:szCs w:val="32"/>
          <w:highlight w:val="none"/>
          <w:shd w:val="clear" w:color="auto" w:fill="auto"/>
          <w:lang w:eastAsia="zh-CN"/>
        </w:rPr>
        <w:t>、取消资格等监管措施。</w:t>
      </w:r>
    </w:p>
    <w:p>
      <w:pPr>
        <w:numPr>
          <w:ilvl w:val="0"/>
          <w:numId w:val="0"/>
        </w:numPr>
        <w:ind w:firstLine="642" w:firstLineChars="0"/>
        <w:rPr>
          <w:rFonts w:hint="eastAsia" w:ascii="楷体" w:hAnsi="楷体" w:eastAsia="楷体" w:cs="楷体"/>
          <w:color w:val="000000"/>
          <w:sz w:val="32"/>
          <w:szCs w:val="32"/>
          <w:highlight w:val="none"/>
          <w:shd w:val="clear" w:color="auto" w:fill="auto"/>
          <w:lang w:eastAsia="zh-CN"/>
        </w:rPr>
      </w:pPr>
      <w:r>
        <w:rPr>
          <w:rFonts w:hint="eastAsia" w:ascii="楷体" w:hAnsi="楷体" w:eastAsia="楷体" w:cs="楷体"/>
          <w:color w:val="000000"/>
          <w:sz w:val="32"/>
          <w:szCs w:val="32"/>
          <w:highlight w:val="none"/>
          <w:shd w:val="clear" w:color="auto" w:fill="auto"/>
          <w:lang w:eastAsia="zh-CN"/>
        </w:rPr>
        <w:t>（五）附则</w:t>
      </w:r>
    </w:p>
    <w:p>
      <w:pPr>
        <w:numPr>
          <w:ilvl w:val="0"/>
          <w:numId w:val="0"/>
        </w:numPr>
        <w:ind w:firstLine="642" w:firstLineChars="0"/>
        <w:rPr>
          <w:rFonts w:hint="eastAsia" w:ascii="仿宋" w:hAnsi="仿宋" w:eastAsia="仿宋" w:cs="仿宋"/>
          <w:color w:val="000000"/>
          <w:sz w:val="32"/>
          <w:szCs w:val="32"/>
          <w:highlight w:val="none"/>
          <w:shd w:val="clear" w:color="auto" w:fill="auto"/>
          <w:lang w:eastAsia="zh-CN"/>
        </w:rPr>
      </w:pPr>
      <w:r>
        <w:rPr>
          <w:rFonts w:hint="eastAsia" w:ascii="仿宋" w:hAnsi="仿宋" w:eastAsia="仿宋" w:cs="仿宋"/>
          <w:color w:val="000000"/>
          <w:sz w:val="32"/>
          <w:szCs w:val="32"/>
          <w:highlight w:val="none"/>
          <w:shd w:val="clear" w:color="auto" w:fill="auto"/>
          <w:lang w:eastAsia="zh-CN"/>
        </w:rPr>
        <w:t>第五章附则对集团交割业务违规行为的处理、《办法》解释权和生效日期做了规定。</w:t>
      </w:r>
    </w:p>
    <w:sectPr>
      <w:headerReference r:id="rId5" w:type="first"/>
      <w:footerReference r:id="rId8" w:type="first"/>
      <w:headerReference r:id="rId3" w:type="default"/>
      <w:footerReference r:id="rId6" w:type="default"/>
      <w:headerReference r:id="rId4" w:type="even"/>
      <w:footerReference r:id="rId7" w:type="even"/>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ordWrap w:val="0"/>
      <w:jc w:val="right"/>
      <w:rPr>
        <w:sz w:val="28"/>
      </w:rPr>
    </w:pPr>
    <w:r>
      <w:rPr>
        <w:rFonts w:hint="eastAsia"/>
        <w:sz w:val="28"/>
      </w:rPr>
      <w:t>—</w:t>
    </w:r>
    <w:r>
      <w:rPr>
        <w:rStyle w:val="9"/>
        <w:sz w:val="28"/>
      </w:rPr>
      <w:fldChar w:fldCharType="begin"/>
    </w:r>
    <w:r>
      <w:rPr>
        <w:rStyle w:val="9"/>
        <w:sz w:val="28"/>
      </w:rPr>
      <w:instrText xml:space="preserve"> PAGE </w:instrText>
    </w:r>
    <w:r>
      <w:rPr>
        <w:rStyle w:val="9"/>
        <w:sz w:val="28"/>
      </w:rPr>
      <w:fldChar w:fldCharType="separate"/>
    </w:r>
    <w:r>
      <w:rPr>
        <w:rStyle w:val="9"/>
        <w:sz w:val="28"/>
      </w:rPr>
      <w:t>1</w:t>
    </w:r>
    <w:r>
      <w:rPr>
        <w:rStyle w:val="9"/>
        <w:sz w:val="28"/>
      </w:rPr>
      <w:fldChar w:fldCharType="end"/>
    </w:r>
    <w:r>
      <w:rPr>
        <w:rFonts w:hint="eastAsia"/>
        <w:sz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sz w:val="28"/>
      </w:rPr>
    </w:pPr>
    <w:r>
      <w:rPr>
        <w:rFonts w:hint="eastAsia"/>
        <w:sz w:val="28"/>
      </w:rPr>
      <w:t>—</w:t>
    </w:r>
    <w:r>
      <w:rPr>
        <w:rStyle w:val="9"/>
        <w:sz w:val="28"/>
      </w:rPr>
      <w:fldChar w:fldCharType="begin"/>
    </w:r>
    <w:r>
      <w:rPr>
        <w:rStyle w:val="9"/>
        <w:sz w:val="28"/>
      </w:rPr>
      <w:instrText xml:space="preserve"> PAGE </w:instrText>
    </w:r>
    <w:r>
      <w:rPr>
        <w:rStyle w:val="9"/>
        <w:sz w:val="28"/>
      </w:rPr>
      <w:fldChar w:fldCharType="separate"/>
    </w:r>
    <w:r>
      <w:rPr>
        <w:rStyle w:val="9"/>
        <w:sz w:val="28"/>
      </w:rPr>
      <w:t>4</w:t>
    </w:r>
    <w:r>
      <w:rPr>
        <w:rStyle w:val="9"/>
        <w:sz w:val="28"/>
      </w:rPr>
      <w:fldChar w:fldCharType="end"/>
    </w:r>
    <w:r>
      <w:rPr>
        <w:rFonts w:hint="eastAsia"/>
        <w:sz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top w:val="none" w:color="auto" w:sz="0" w:space="0"/>
        <w:left w:val="none" w:color="auto" w:sz="0" w:space="0"/>
        <w:bottom w:val="none" w:color="auto" w:sz="0" w:space="1"/>
        <w:right w:val="none" w:color="auto" w:sz="0" w:space="0"/>
        <w:between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0E8A"/>
    <w:rsid w:val="000001F5"/>
    <w:rsid w:val="000003DC"/>
    <w:rsid w:val="000014F8"/>
    <w:rsid w:val="00002A40"/>
    <w:rsid w:val="00002BEB"/>
    <w:rsid w:val="00002E26"/>
    <w:rsid w:val="00004296"/>
    <w:rsid w:val="00004C6F"/>
    <w:rsid w:val="00004EB1"/>
    <w:rsid w:val="00005702"/>
    <w:rsid w:val="000073AA"/>
    <w:rsid w:val="00010417"/>
    <w:rsid w:val="00011183"/>
    <w:rsid w:val="00012607"/>
    <w:rsid w:val="0001260C"/>
    <w:rsid w:val="00014A55"/>
    <w:rsid w:val="000169B4"/>
    <w:rsid w:val="0002049C"/>
    <w:rsid w:val="000242DE"/>
    <w:rsid w:val="0002676C"/>
    <w:rsid w:val="00026C87"/>
    <w:rsid w:val="00027299"/>
    <w:rsid w:val="00030567"/>
    <w:rsid w:val="000329D1"/>
    <w:rsid w:val="0003324C"/>
    <w:rsid w:val="00034F86"/>
    <w:rsid w:val="00036407"/>
    <w:rsid w:val="00044139"/>
    <w:rsid w:val="0005173D"/>
    <w:rsid w:val="0005205B"/>
    <w:rsid w:val="00052C5E"/>
    <w:rsid w:val="0005492E"/>
    <w:rsid w:val="00056C26"/>
    <w:rsid w:val="00060795"/>
    <w:rsid w:val="000608B0"/>
    <w:rsid w:val="000617CC"/>
    <w:rsid w:val="00061A4A"/>
    <w:rsid w:val="0006518A"/>
    <w:rsid w:val="0006663E"/>
    <w:rsid w:val="00067B6F"/>
    <w:rsid w:val="00067BE9"/>
    <w:rsid w:val="00074328"/>
    <w:rsid w:val="00074E4B"/>
    <w:rsid w:val="000754DD"/>
    <w:rsid w:val="00081302"/>
    <w:rsid w:val="000820C9"/>
    <w:rsid w:val="00082102"/>
    <w:rsid w:val="00082D2E"/>
    <w:rsid w:val="0008334C"/>
    <w:rsid w:val="0008416A"/>
    <w:rsid w:val="00085DE8"/>
    <w:rsid w:val="000900EC"/>
    <w:rsid w:val="000901D1"/>
    <w:rsid w:val="00094CFF"/>
    <w:rsid w:val="000967AC"/>
    <w:rsid w:val="00097D09"/>
    <w:rsid w:val="000A140C"/>
    <w:rsid w:val="000A5168"/>
    <w:rsid w:val="000A5A3D"/>
    <w:rsid w:val="000B1E3C"/>
    <w:rsid w:val="000B31FF"/>
    <w:rsid w:val="000B3E74"/>
    <w:rsid w:val="000B5091"/>
    <w:rsid w:val="000B5688"/>
    <w:rsid w:val="000B7916"/>
    <w:rsid w:val="000C172F"/>
    <w:rsid w:val="000C17CA"/>
    <w:rsid w:val="000C3315"/>
    <w:rsid w:val="000C356C"/>
    <w:rsid w:val="000C4C59"/>
    <w:rsid w:val="000C7636"/>
    <w:rsid w:val="000D0540"/>
    <w:rsid w:val="000D606B"/>
    <w:rsid w:val="000D7306"/>
    <w:rsid w:val="000D762C"/>
    <w:rsid w:val="000E0627"/>
    <w:rsid w:val="000E06FA"/>
    <w:rsid w:val="000E5475"/>
    <w:rsid w:val="000E76FB"/>
    <w:rsid w:val="000F23E7"/>
    <w:rsid w:val="000F29FC"/>
    <w:rsid w:val="000F2DBF"/>
    <w:rsid w:val="000F40AA"/>
    <w:rsid w:val="001033A4"/>
    <w:rsid w:val="001062DA"/>
    <w:rsid w:val="001065BE"/>
    <w:rsid w:val="00110A8C"/>
    <w:rsid w:val="00110E85"/>
    <w:rsid w:val="00110E86"/>
    <w:rsid w:val="001213D3"/>
    <w:rsid w:val="0012151D"/>
    <w:rsid w:val="001228B3"/>
    <w:rsid w:val="00124271"/>
    <w:rsid w:val="00125339"/>
    <w:rsid w:val="0012557A"/>
    <w:rsid w:val="001314E3"/>
    <w:rsid w:val="00133D3D"/>
    <w:rsid w:val="00134BCD"/>
    <w:rsid w:val="00134E02"/>
    <w:rsid w:val="001356A6"/>
    <w:rsid w:val="00136D74"/>
    <w:rsid w:val="00137D11"/>
    <w:rsid w:val="00140916"/>
    <w:rsid w:val="001409DF"/>
    <w:rsid w:val="001433B9"/>
    <w:rsid w:val="00143967"/>
    <w:rsid w:val="00143D92"/>
    <w:rsid w:val="001441F0"/>
    <w:rsid w:val="001441F8"/>
    <w:rsid w:val="001447A0"/>
    <w:rsid w:val="0014593B"/>
    <w:rsid w:val="0014676B"/>
    <w:rsid w:val="00147675"/>
    <w:rsid w:val="00151823"/>
    <w:rsid w:val="00153C74"/>
    <w:rsid w:val="00154105"/>
    <w:rsid w:val="00156318"/>
    <w:rsid w:val="00156457"/>
    <w:rsid w:val="00162E48"/>
    <w:rsid w:val="00163388"/>
    <w:rsid w:val="00163ECE"/>
    <w:rsid w:val="00164038"/>
    <w:rsid w:val="00164B62"/>
    <w:rsid w:val="00164F46"/>
    <w:rsid w:val="001706AC"/>
    <w:rsid w:val="00171E7C"/>
    <w:rsid w:val="00171F06"/>
    <w:rsid w:val="0017384B"/>
    <w:rsid w:val="00176367"/>
    <w:rsid w:val="00180471"/>
    <w:rsid w:val="00181992"/>
    <w:rsid w:val="00181DFD"/>
    <w:rsid w:val="0018239C"/>
    <w:rsid w:val="001861A4"/>
    <w:rsid w:val="001862D9"/>
    <w:rsid w:val="00190997"/>
    <w:rsid w:val="00191680"/>
    <w:rsid w:val="00192AD1"/>
    <w:rsid w:val="00194106"/>
    <w:rsid w:val="001A0003"/>
    <w:rsid w:val="001A0DA0"/>
    <w:rsid w:val="001A356C"/>
    <w:rsid w:val="001A52B1"/>
    <w:rsid w:val="001A7B8A"/>
    <w:rsid w:val="001B2208"/>
    <w:rsid w:val="001B3392"/>
    <w:rsid w:val="001B3B4A"/>
    <w:rsid w:val="001B616B"/>
    <w:rsid w:val="001B6997"/>
    <w:rsid w:val="001B6D33"/>
    <w:rsid w:val="001B6EF1"/>
    <w:rsid w:val="001C0D37"/>
    <w:rsid w:val="001C1EBD"/>
    <w:rsid w:val="001C2DA1"/>
    <w:rsid w:val="001C4BA8"/>
    <w:rsid w:val="001C4E7B"/>
    <w:rsid w:val="001C5CE6"/>
    <w:rsid w:val="001C7403"/>
    <w:rsid w:val="001D2C75"/>
    <w:rsid w:val="001D3188"/>
    <w:rsid w:val="001D33B7"/>
    <w:rsid w:val="001D6F9A"/>
    <w:rsid w:val="001E18EE"/>
    <w:rsid w:val="001E18F9"/>
    <w:rsid w:val="001E366C"/>
    <w:rsid w:val="001E4DE0"/>
    <w:rsid w:val="001E4FD8"/>
    <w:rsid w:val="001E66F0"/>
    <w:rsid w:val="001F04EB"/>
    <w:rsid w:val="001F261A"/>
    <w:rsid w:val="001F3D02"/>
    <w:rsid w:val="001F4C5C"/>
    <w:rsid w:val="001F52D8"/>
    <w:rsid w:val="001F5336"/>
    <w:rsid w:val="001F7336"/>
    <w:rsid w:val="001F7DEE"/>
    <w:rsid w:val="002027A7"/>
    <w:rsid w:val="002030EA"/>
    <w:rsid w:val="002064B3"/>
    <w:rsid w:val="0021318F"/>
    <w:rsid w:val="00213A1D"/>
    <w:rsid w:val="0021433B"/>
    <w:rsid w:val="00215DED"/>
    <w:rsid w:val="002203D1"/>
    <w:rsid w:val="002205AB"/>
    <w:rsid w:val="0022195F"/>
    <w:rsid w:val="0022333C"/>
    <w:rsid w:val="00223499"/>
    <w:rsid w:val="0022466A"/>
    <w:rsid w:val="002265F2"/>
    <w:rsid w:val="00227684"/>
    <w:rsid w:val="002308AD"/>
    <w:rsid w:val="00230BBB"/>
    <w:rsid w:val="0023113C"/>
    <w:rsid w:val="002339F9"/>
    <w:rsid w:val="00233A04"/>
    <w:rsid w:val="00233AA1"/>
    <w:rsid w:val="002342EC"/>
    <w:rsid w:val="00236543"/>
    <w:rsid w:val="00236A42"/>
    <w:rsid w:val="002373CA"/>
    <w:rsid w:val="00237510"/>
    <w:rsid w:val="002411B9"/>
    <w:rsid w:val="00241BA8"/>
    <w:rsid w:val="002425E4"/>
    <w:rsid w:val="00242C8C"/>
    <w:rsid w:val="00244C30"/>
    <w:rsid w:val="002465C0"/>
    <w:rsid w:val="00247137"/>
    <w:rsid w:val="00251A65"/>
    <w:rsid w:val="002520CF"/>
    <w:rsid w:val="0025352C"/>
    <w:rsid w:val="00253770"/>
    <w:rsid w:val="002548CD"/>
    <w:rsid w:val="00257D88"/>
    <w:rsid w:val="0026069B"/>
    <w:rsid w:val="002658FB"/>
    <w:rsid w:val="002669A1"/>
    <w:rsid w:val="00267DAA"/>
    <w:rsid w:val="00270700"/>
    <w:rsid w:val="00270AE1"/>
    <w:rsid w:val="002719A7"/>
    <w:rsid w:val="002735CC"/>
    <w:rsid w:val="0027432D"/>
    <w:rsid w:val="0028016B"/>
    <w:rsid w:val="00280F80"/>
    <w:rsid w:val="00281DBB"/>
    <w:rsid w:val="002829F2"/>
    <w:rsid w:val="0028462F"/>
    <w:rsid w:val="00286088"/>
    <w:rsid w:val="00287836"/>
    <w:rsid w:val="00287BED"/>
    <w:rsid w:val="00291BA0"/>
    <w:rsid w:val="00291DD3"/>
    <w:rsid w:val="00291E6A"/>
    <w:rsid w:val="002953EA"/>
    <w:rsid w:val="00295707"/>
    <w:rsid w:val="00297E3F"/>
    <w:rsid w:val="002A08CD"/>
    <w:rsid w:val="002A0A8F"/>
    <w:rsid w:val="002A2D8E"/>
    <w:rsid w:val="002A3208"/>
    <w:rsid w:val="002B18F5"/>
    <w:rsid w:val="002B1977"/>
    <w:rsid w:val="002B21D8"/>
    <w:rsid w:val="002B53B4"/>
    <w:rsid w:val="002B5E5D"/>
    <w:rsid w:val="002B79A7"/>
    <w:rsid w:val="002C067B"/>
    <w:rsid w:val="002C2288"/>
    <w:rsid w:val="002C2AD8"/>
    <w:rsid w:val="002C401D"/>
    <w:rsid w:val="002C49BB"/>
    <w:rsid w:val="002C545C"/>
    <w:rsid w:val="002C54DF"/>
    <w:rsid w:val="002C66E0"/>
    <w:rsid w:val="002D4C09"/>
    <w:rsid w:val="002D5C89"/>
    <w:rsid w:val="002D6773"/>
    <w:rsid w:val="002E1A35"/>
    <w:rsid w:val="002E25FB"/>
    <w:rsid w:val="002E3400"/>
    <w:rsid w:val="002E39C3"/>
    <w:rsid w:val="002E39F5"/>
    <w:rsid w:val="002E481D"/>
    <w:rsid w:val="002E7A81"/>
    <w:rsid w:val="002F1A51"/>
    <w:rsid w:val="002F4C97"/>
    <w:rsid w:val="002F5419"/>
    <w:rsid w:val="0030292D"/>
    <w:rsid w:val="00306EBE"/>
    <w:rsid w:val="0031001B"/>
    <w:rsid w:val="00312BA8"/>
    <w:rsid w:val="003149DA"/>
    <w:rsid w:val="00317E1B"/>
    <w:rsid w:val="00321B8F"/>
    <w:rsid w:val="00321C8E"/>
    <w:rsid w:val="003223F2"/>
    <w:rsid w:val="003226A6"/>
    <w:rsid w:val="003231B1"/>
    <w:rsid w:val="0032481B"/>
    <w:rsid w:val="003301BB"/>
    <w:rsid w:val="0033099F"/>
    <w:rsid w:val="003314C9"/>
    <w:rsid w:val="00333080"/>
    <w:rsid w:val="00336655"/>
    <w:rsid w:val="0033681A"/>
    <w:rsid w:val="00340820"/>
    <w:rsid w:val="00344236"/>
    <w:rsid w:val="00344F8F"/>
    <w:rsid w:val="003461AD"/>
    <w:rsid w:val="00347FB0"/>
    <w:rsid w:val="00350091"/>
    <w:rsid w:val="00352A3F"/>
    <w:rsid w:val="003561DD"/>
    <w:rsid w:val="003602CA"/>
    <w:rsid w:val="0036356D"/>
    <w:rsid w:val="00364976"/>
    <w:rsid w:val="00365F05"/>
    <w:rsid w:val="0037359E"/>
    <w:rsid w:val="0037586C"/>
    <w:rsid w:val="0037605A"/>
    <w:rsid w:val="00377265"/>
    <w:rsid w:val="003801B1"/>
    <w:rsid w:val="00382171"/>
    <w:rsid w:val="00382985"/>
    <w:rsid w:val="003849B5"/>
    <w:rsid w:val="00384FA8"/>
    <w:rsid w:val="00386551"/>
    <w:rsid w:val="00387FA7"/>
    <w:rsid w:val="00390ABB"/>
    <w:rsid w:val="003913E8"/>
    <w:rsid w:val="00392985"/>
    <w:rsid w:val="003930F1"/>
    <w:rsid w:val="0039314B"/>
    <w:rsid w:val="00393181"/>
    <w:rsid w:val="00395343"/>
    <w:rsid w:val="003967D5"/>
    <w:rsid w:val="003A107E"/>
    <w:rsid w:val="003A133D"/>
    <w:rsid w:val="003A7001"/>
    <w:rsid w:val="003A748A"/>
    <w:rsid w:val="003A7807"/>
    <w:rsid w:val="003A7D1E"/>
    <w:rsid w:val="003B01E2"/>
    <w:rsid w:val="003B51C1"/>
    <w:rsid w:val="003B7506"/>
    <w:rsid w:val="003B7561"/>
    <w:rsid w:val="003B75E3"/>
    <w:rsid w:val="003B75EE"/>
    <w:rsid w:val="003C051B"/>
    <w:rsid w:val="003C151A"/>
    <w:rsid w:val="003C1A4A"/>
    <w:rsid w:val="003C2638"/>
    <w:rsid w:val="003C3470"/>
    <w:rsid w:val="003C4245"/>
    <w:rsid w:val="003C5A99"/>
    <w:rsid w:val="003D0613"/>
    <w:rsid w:val="003D0967"/>
    <w:rsid w:val="003D19D2"/>
    <w:rsid w:val="003D556B"/>
    <w:rsid w:val="003D7F73"/>
    <w:rsid w:val="003E0362"/>
    <w:rsid w:val="003E1029"/>
    <w:rsid w:val="003E2FE4"/>
    <w:rsid w:val="003E4471"/>
    <w:rsid w:val="003E6C9F"/>
    <w:rsid w:val="003E73A5"/>
    <w:rsid w:val="003E7595"/>
    <w:rsid w:val="003E787F"/>
    <w:rsid w:val="003F01B2"/>
    <w:rsid w:val="003F0D09"/>
    <w:rsid w:val="003F4183"/>
    <w:rsid w:val="003F6309"/>
    <w:rsid w:val="003F6ED2"/>
    <w:rsid w:val="003F769A"/>
    <w:rsid w:val="003F7EF5"/>
    <w:rsid w:val="0040148C"/>
    <w:rsid w:val="004018D9"/>
    <w:rsid w:val="00403A9B"/>
    <w:rsid w:val="00404591"/>
    <w:rsid w:val="00405FD8"/>
    <w:rsid w:val="00406F84"/>
    <w:rsid w:val="00407062"/>
    <w:rsid w:val="00410188"/>
    <w:rsid w:val="00410991"/>
    <w:rsid w:val="00411DB1"/>
    <w:rsid w:val="004126B3"/>
    <w:rsid w:val="00416877"/>
    <w:rsid w:val="00420EDB"/>
    <w:rsid w:val="00423645"/>
    <w:rsid w:val="00423667"/>
    <w:rsid w:val="00425A35"/>
    <w:rsid w:val="004269A5"/>
    <w:rsid w:val="00426A35"/>
    <w:rsid w:val="0043178A"/>
    <w:rsid w:val="00433114"/>
    <w:rsid w:val="00433274"/>
    <w:rsid w:val="00433B15"/>
    <w:rsid w:val="004374B5"/>
    <w:rsid w:val="004408B1"/>
    <w:rsid w:val="00440D54"/>
    <w:rsid w:val="00440F13"/>
    <w:rsid w:val="004414FB"/>
    <w:rsid w:val="00442279"/>
    <w:rsid w:val="00444D7A"/>
    <w:rsid w:val="00446281"/>
    <w:rsid w:val="00446447"/>
    <w:rsid w:val="00446938"/>
    <w:rsid w:val="004473BE"/>
    <w:rsid w:val="0045364B"/>
    <w:rsid w:val="0046210E"/>
    <w:rsid w:val="00462A8C"/>
    <w:rsid w:val="00466AFC"/>
    <w:rsid w:val="00470443"/>
    <w:rsid w:val="00470D46"/>
    <w:rsid w:val="0047312A"/>
    <w:rsid w:val="00473ED2"/>
    <w:rsid w:val="00474229"/>
    <w:rsid w:val="00480E20"/>
    <w:rsid w:val="004821A8"/>
    <w:rsid w:val="004829A0"/>
    <w:rsid w:val="00484774"/>
    <w:rsid w:val="00485652"/>
    <w:rsid w:val="00486416"/>
    <w:rsid w:val="00490F3B"/>
    <w:rsid w:val="004921FC"/>
    <w:rsid w:val="00492DE1"/>
    <w:rsid w:val="0049421E"/>
    <w:rsid w:val="0049451D"/>
    <w:rsid w:val="00496FBD"/>
    <w:rsid w:val="00497FC8"/>
    <w:rsid w:val="004A089A"/>
    <w:rsid w:val="004A0F82"/>
    <w:rsid w:val="004A5508"/>
    <w:rsid w:val="004A59DC"/>
    <w:rsid w:val="004A627A"/>
    <w:rsid w:val="004B0CDC"/>
    <w:rsid w:val="004B2684"/>
    <w:rsid w:val="004B39FE"/>
    <w:rsid w:val="004B4495"/>
    <w:rsid w:val="004B63B0"/>
    <w:rsid w:val="004C14F0"/>
    <w:rsid w:val="004C1BB7"/>
    <w:rsid w:val="004C23D2"/>
    <w:rsid w:val="004C3FD8"/>
    <w:rsid w:val="004C47BC"/>
    <w:rsid w:val="004C7DC3"/>
    <w:rsid w:val="004D0874"/>
    <w:rsid w:val="004D0C9D"/>
    <w:rsid w:val="004D0D5C"/>
    <w:rsid w:val="004D1EE3"/>
    <w:rsid w:val="004D2CD1"/>
    <w:rsid w:val="004D57D3"/>
    <w:rsid w:val="004D7963"/>
    <w:rsid w:val="004E1889"/>
    <w:rsid w:val="004E390F"/>
    <w:rsid w:val="004E5897"/>
    <w:rsid w:val="004E683C"/>
    <w:rsid w:val="004E7E37"/>
    <w:rsid w:val="004E7F35"/>
    <w:rsid w:val="004F0AD2"/>
    <w:rsid w:val="004F3A0C"/>
    <w:rsid w:val="004F49CC"/>
    <w:rsid w:val="004F5AB1"/>
    <w:rsid w:val="005001D1"/>
    <w:rsid w:val="00500FB7"/>
    <w:rsid w:val="0050160E"/>
    <w:rsid w:val="00501C80"/>
    <w:rsid w:val="00503228"/>
    <w:rsid w:val="005046CA"/>
    <w:rsid w:val="005048F5"/>
    <w:rsid w:val="00505011"/>
    <w:rsid w:val="00505EDB"/>
    <w:rsid w:val="00507749"/>
    <w:rsid w:val="00507CE6"/>
    <w:rsid w:val="00514116"/>
    <w:rsid w:val="005153FE"/>
    <w:rsid w:val="0052702A"/>
    <w:rsid w:val="00527C0C"/>
    <w:rsid w:val="00527D39"/>
    <w:rsid w:val="00535129"/>
    <w:rsid w:val="005379F1"/>
    <w:rsid w:val="00540AA8"/>
    <w:rsid w:val="00541262"/>
    <w:rsid w:val="00541F96"/>
    <w:rsid w:val="00542C13"/>
    <w:rsid w:val="00545CBA"/>
    <w:rsid w:val="00546229"/>
    <w:rsid w:val="00546406"/>
    <w:rsid w:val="00551A87"/>
    <w:rsid w:val="00551C0C"/>
    <w:rsid w:val="00554132"/>
    <w:rsid w:val="0055488E"/>
    <w:rsid w:val="00554FF2"/>
    <w:rsid w:val="0055541A"/>
    <w:rsid w:val="00555939"/>
    <w:rsid w:val="00556447"/>
    <w:rsid w:val="005621AA"/>
    <w:rsid w:val="005628BD"/>
    <w:rsid w:val="00564AE3"/>
    <w:rsid w:val="00564C50"/>
    <w:rsid w:val="005668E5"/>
    <w:rsid w:val="00566CC1"/>
    <w:rsid w:val="00567284"/>
    <w:rsid w:val="00571B6C"/>
    <w:rsid w:val="005729DA"/>
    <w:rsid w:val="005738F5"/>
    <w:rsid w:val="00574D60"/>
    <w:rsid w:val="00575806"/>
    <w:rsid w:val="005819FD"/>
    <w:rsid w:val="00581D48"/>
    <w:rsid w:val="00582539"/>
    <w:rsid w:val="00583F73"/>
    <w:rsid w:val="005846F6"/>
    <w:rsid w:val="0058594A"/>
    <w:rsid w:val="00590D0A"/>
    <w:rsid w:val="0059177F"/>
    <w:rsid w:val="00592AEE"/>
    <w:rsid w:val="00592EA1"/>
    <w:rsid w:val="00593014"/>
    <w:rsid w:val="0059455E"/>
    <w:rsid w:val="0059464C"/>
    <w:rsid w:val="00595D4E"/>
    <w:rsid w:val="005A1D09"/>
    <w:rsid w:val="005A3192"/>
    <w:rsid w:val="005A50CF"/>
    <w:rsid w:val="005A6A99"/>
    <w:rsid w:val="005B0920"/>
    <w:rsid w:val="005B2CFA"/>
    <w:rsid w:val="005B3EB0"/>
    <w:rsid w:val="005B4FEC"/>
    <w:rsid w:val="005B5660"/>
    <w:rsid w:val="005B59CF"/>
    <w:rsid w:val="005B6DD9"/>
    <w:rsid w:val="005C02E0"/>
    <w:rsid w:val="005C04FC"/>
    <w:rsid w:val="005C0873"/>
    <w:rsid w:val="005C1FB9"/>
    <w:rsid w:val="005C2E57"/>
    <w:rsid w:val="005C5072"/>
    <w:rsid w:val="005D1EB0"/>
    <w:rsid w:val="005D3662"/>
    <w:rsid w:val="005D514A"/>
    <w:rsid w:val="005D5928"/>
    <w:rsid w:val="005D592A"/>
    <w:rsid w:val="005D6191"/>
    <w:rsid w:val="005D6E7E"/>
    <w:rsid w:val="005D7939"/>
    <w:rsid w:val="005E0426"/>
    <w:rsid w:val="005E0D26"/>
    <w:rsid w:val="005E1791"/>
    <w:rsid w:val="005E3374"/>
    <w:rsid w:val="005E3E96"/>
    <w:rsid w:val="005E555F"/>
    <w:rsid w:val="005E5956"/>
    <w:rsid w:val="005E5BC9"/>
    <w:rsid w:val="005F12E8"/>
    <w:rsid w:val="005F21B2"/>
    <w:rsid w:val="005F4FB5"/>
    <w:rsid w:val="005F6138"/>
    <w:rsid w:val="005F713B"/>
    <w:rsid w:val="005F7E81"/>
    <w:rsid w:val="00601454"/>
    <w:rsid w:val="00602ADC"/>
    <w:rsid w:val="006037EF"/>
    <w:rsid w:val="00603D6E"/>
    <w:rsid w:val="00606801"/>
    <w:rsid w:val="00607C2B"/>
    <w:rsid w:val="00607DBD"/>
    <w:rsid w:val="00610591"/>
    <w:rsid w:val="00613D08"/>
    <w:rsid w:val="0061555B"/>
    <w:rsid w:val="00617CB2"/>
    <w:rsid w:val="00620DF9"/>
    <w:rsid w:val="00621317"/>
    <w:rsid w:val="00623308"/>
    <w:rsid w:val="006248CD"/>
    <w:rsid w:val="00624A63"/>
    <w:rsid w:val="00625B3C"/>
    <w:rsid w:val="0062699B"/>
    <w:rsid w:val="00630498"/>
    <w:rsid w:val="006314E1"/>
    <w:rsid w:val="006328C3"/>
    <w:rsid w:val="00632F5E"/>
    <w:rsid w:val="00633E7F"/>
    <w:rsid w:val="00635785"/>
    <w:rsid w:val="0063717C"/>
    <w:rsid w:val="00640929"/>
    <w:rsid w:val="00641386"/>
    <w:rsid w:val="00641C5C"/>
    <w:rsid w:val="00644D4D"/>
    <w:rsid w:val="00645213"/>
    <w:rsid w:val="006474F9"/>
    <w:rsid w:val="0065129A"/>
    <w:rsid w:val="00651AEC"/>
    <w:rsid w:val="00651D9C"/>
    <w:rsid w:val="00652D9B"/>
    <w:rsid w:val="006537A3"/>
    <w:rsid w:val="00653B1E"/>
    <w:rsid w:val="00653EDC"/>
    <w:rsid w:val="00654E70"/>
    <w:rsid w:val="00655591"/>
    <w:rsid w:val="006562F6"/>
    <w:rsid w:val="0066079D"/>
    <w:rsid w:val="00660A2F"/>
    <w:rsid w:val="00660B6E"/>
    <w:rsid w:val="006627B1"/>
    <w:rsid w:val="00663022"/>
    <w:rsid w:val="0066351A"/>
    <w:rsid w:val="00665C44"/>
    <w:rsid w:val="00665DDA"/>
    <w:rsid w:val="00670F02"/>
    <w:rsid w:val="0067102D"/>
    <w:rsid w:val="0067266B"/>
    <w:rsid w:val="00673F4C"/>
    <w:rsid w:val="006742EA"/>
    <w:rsid w:val="00674913"/>
    <w:rsid w:val="00674E39"/>
    <w:rsid w:val="00677267"/>
    <w:rsid w:val="0068138E"/>
    <w:rsid w:val="00684780"/>
    <w:rsid w:val="00686E1A"/>
    <w:rsid w:val="0069003D"/>
    <w:rsid w:val="0069003F"/>
    <w:rsid w:val="00692E94"/>
    <w:rsid w:val="006969B9"/>
    <w:rsid w:val="006A0F09"/>
    <w:rsid w:val="006A1AEA"/>
    <w:rsid w:val="006A2176"/>
    <w:rsid w:val="006A2184"/>
    <w:rsid w:val="006A3A0A"/>
    <w:rsid w:val="006A5DA6"/>
    <w:rsid w:val="006A6DE3"/>
    <w:rsid w:val="006A7851"/>
    <w:rsid w:val="006A7EA8"/>
    <w:rsid w:val="006B0ACE"/>
    <w:rsid w:val="006B2BDD"/>
    <w:rsid w:val="006B4965"/>
    <w:rsid w:val="006B4980"/>
    <w:rsid w:val="006C02A5"/>
    <w:rsid w:val="006C0447"/>
    <w:rsid w:val="006C129D"/>
    <w:rsid w:val="006C203E"/>
    <w:rsid w:val="006C38A4"/>
    <w:rsid w:val="006C49FD"/>
    <w:rsid w:val="006C4B97"/>
    <w:rsid w:val="006C50CD"/>
    <w:rsid w:val="006C6454"/>
    <w:rsid w:val="006C7AC8"/>
    <w:rsid w:val="006D149C"/>
    <w:rsid w:val="006D3857"/>
    <w:rsid w:val="006D4925"/>
    <w:rsid w:val="006D569A"/>
    <w:rsid w:val="006E31D8"/>
    <w:rsid w:val="006E6A2A"/>
    <w:rsid w:val="006F0484"/>
    <w:rsid w:val="006F080C"/>
    <w:rsid w:val="006F1359"/>
    <w:rsid w:val="006F158B"/>
    <w:rsid w:val="006F1E58"/>
    <w:rsid w:val="006F23CB"/>
    <w:rsid w:val="006F48E3"/>
    <w:rsid w:val="006F50AC"/>
    <w:rsid w:val="006F74A2"/>
    <w:rsid w:val="00700211"/>
    <w:rsid w:val="007011FA"/>
    <w:rsid w:val="00703268"/>
    <w:rsid w:val="0070466B"/>
    <w:rsid w:val="00704C41"/>
    <w:rsid w:val="00705B6C"/>
    <w:rsid w:val="0071126F"/>
    <w:rsid w:val="00716716"/>
    <w:rsid w:val="007174FB"/>
    <w:rsid w:val="0072193C"/>
    <w:rsid w:val="00722195"/>
    <w:rsid w:val="00722DF3"/>
    <w:rsid w:val="0072337C"/>
    <w:rsid w:val="007248DD"/>
    <w:rsid w:val="00725DC9"/>
    <w:rsid w:val="007353B7"/>
    <w:rsid w:val="007401A6"/>
    <w:rsid w:val="007411E7"/>
    <w:rsid w:val="007421F7"/>
    <w:rsid w:val="00743992"/>
    <w:rsid w:val="00746E50"/>
    <w:rsid w:val="00753B62"/>
    <w:rsid w:val="00756541"/>
    <w:rsid w:val="007577C1"/>
    <w:rsid w:val="00762951"/>
    <w:rsid w:val="00762D59"/>
    <w:rsid w:val="007645DA"/>
    <w:rsid w:val="00764E4E"/>
    <w:rsid w:val="00767AB0"/>
    <w:rsid w:val="00767CFD"/>
    <w:rsid w:val="00767F64"/>
    <w:rsid w:val="00770547"/>
    <w:rsid w:val="00770D97"/>
    <w:rsid w:val="00774CBB"/>
    <w:rsid w:val="00776102"/>
    <w:rsid w:val="00776C9C"/>
    <w:rsid w:val="00777225"/>
    <w:rsid w:val="00782F7F"/>
    <w:rsid w:val="00782FB3"/>
    <w:rsid w:val="00785516"/>
    <w:rsid w:val="00786FDC"/>
    <w:rsid w:val="007870B5"/>
    <w:rsid w:val="00787A85"/>
    <w:rsid w:val="00791FF4"/>
    <w:rsid w:val="00793217"/>
    <w:rsid w:val="007934D7"/>
    <w:rsid w:val="007936C6"/>
    <w:rsid w:val="007945EC"/>
    <w:rsid w:val="0079609E"/>
    <w:rsid w:val="00797651"/>
    <w:rsid w:val="007A0D07"/>
    <w:rsid w:val="007A1C3A"/>
    <w:rsid w:val="007A7856"/>
    <w:rsid w:val="007B045B"/>
    <w:rsid w:val="007B0F2F"/>
    <w:rsid w:val="007B225A"/>
    <w:rsid w:val="007B3428"/>
    <w:rsid w:val="007B3443"/>
    <w:rsid w:val="007B74D2"/>
    <w:rsid w:val="007C0A55"/>
    <w:rsid w:val="007C1F4B"/>
    <w:rsid w:val="007C406F"/>
    <w:rsid w:val="007C41F5"/>
    <w:rsid w:val="007C44FF"/>
    <w:rsid w:val="007D117D"/>
    <w:rsid w:val="007D50B2"/>
    <w:rsid w:val="007E1202"/>
    <w:rsid w:val="007E1648"/>
    <w:rsid w:val="007E1CF4"/>
    <w:rsid w:val="007E4F5C"/>
    <w:rsid w:val="007F0B9C"/>
    <w:rsid w:val="007F12DF"/>
    <w:rsid w:val="007F25BD"/>
    <w:rsid w:val="007F47CF"/>
    <w:rsid w:val="007F5054"/>
    <w:rsid w:val="00801CD4"/>
    <w:rsid w:val="008041DD"/>
    <w:rsid w:val="0080452C"/>
    <w:rsid w:val="00805924"/>
    <w:rsid w:val="008079BF"/>
    <w:rsid w:val="00807B60"/>
    <w:rsid w:val="00807BD8"/>
    <w:rsid w:val="00807C11"/>
    <w:rsid w:val="008105F4"/>
    <w:rsid w:val="008119D8"/>
    <w:rsid w:val="00811E93"/>
    <w:rsid w:val="008125CE"/>
    <w:rsid w:val="008146E6"/>
    <w:rsid w:val="00814C5F"/>
    <w:rsid w:val="008332E6"/>
    <w:rsid w:val="0083409E"/>
    <w:rsid w:val="008347C5"/>
    <w:rsid w:val="008353DC"/>
    <w:rsid w:val="00835DF3"/>
    <w:rsid w:val="008402AB"/>
    <w:rsid w:val="00840C50"/>
    <w:rsid w:val="00842221"/>
    <w:rsid w:val="00843C4D"/>
    <w:rsid w:val="008455D2"/>
    <w:rsid w:val="0085280D"/>
    <w:rsid w:val="00854C4A"/>
    <w:rsid w:val="00855939"/>
    <w:rsid w:val="00855A48"/>
    <w:rsid w:val="00857098"/>
    <w:rsid w:val="00857D9B"/>
    <w:rsid w:val="00860824"/>
    <w:rsid w:val="0086088F"/>
    <w:rsid w:val="00860F09"/>
    <w:rsid w:val="00862247"/>
    <w:rsid w:val="0086374F"/>
    <w:rsid w:val="0086458C"/>
    <w:rsid w:val="00865982"/>
    <w:rsid w:val="008677F8"/>
    <w:rsid w:val="00867CBC"/>
    <w:rsid w:val="0087311C"/>
    <w:rsid w:val="0087312B"/>
    <w:rsid w:val="00877623"/>
    <w:rsid w:val="00880FE3"/>
    <w:rsid w:val="00885AF3"/>
    <w:rsid w:val="008861DB"/>
    <w:rsid w:val="00886B5B"/>
    <w:rsid w:val="00887BC0"/>
    <w:rsid w:val="00890E4E"/>
    <w:rsid w:val="00892CEA"/>
    <w:rsid w:val="00893FA5"/>
    <w:rsid w:val="00895ED3"/>
    <w:rsid w:val="00896A7D"/>
    <w:rsid w:val="00896D80"/>
    <w:rsid w:val="00896F45"/>
    <w:rsid w:val="008975C2"/>
    <w:rsid w:val="00897F0A"/>
    <w:rsid w:val="008A29C6"/>
    <w:rsid w:val="008A3724"/>
    <w:rsid w:val="008A37A0"/>
    <w:rsid w:val="008A3D86"/>
    <w:rsid w:val="008A4369"/>
    <w:rsid w:val="008A6A41"/>
    <w:rsid w:val="008A7137"/>
    <w:rsid w:val="008A73A6"/>
    <w:rsid w:val="008A752D"/>
    <w:rsid w:val="008B0BEF"/>
    <w:rsid w:val="008B108E"/>
    <w:rsid w:val="008B4109"/>
    <w:rsid w:val="008B44D1"/>
    <w:rsid w:val="008B58D3"/>
    <w:rsid w:val="008B666D"/>
    <w:rsid w:val="008B726D"/>
    <w:rsid w:val="008C4D65"/>
    <w:rsid w:val="008C5808"/>
    <w:rsid w:val="008C6277"/>
    <w:rsid w:val="008C686F"/>
    <w:rsid w:val="008C69E6"/>
    <w:rsid w:val="008C791C"/>
    <w:rsid w:val="008C79E3"/>
    <w:rsid w:val="008C7A2C"/>
    <w:rsid w:val="008D1F8C"/>
    <w:rsid w:val="008D43F0"/>
    <w:rsid w:val="008D6A30"/>
    <w:rsid w:val="008D70A1"/>
    <w:rsid w:val="008D7E6C"/>
    <w:rsid w:val="008D7F8E"/>
    <w:rsid w:val="008E1CF1"/>
    <w:rsid w:val="008E4600"/>
    <w:rsid w:val="008E4864"/>
    <w:rsid w:val="008E5280"/>
    <w:rsid w:val="008F194F"/>
    <w:rsid w:val="008F23BA"/>
    <w:rsid w:val="008F707F"/>
    <w:rsid w:val="008F7AF0"/>
    <w:rsid w:val="0090427D"/>
    <w:rsid w:val="009049B0"/>
    <w:rsid w:val="00907630"/>
    <w:rsid w:val="00907746"/>
    <w:rsid w:val="00912290"/>
    <w:rsid w:val="009179C7"/>
    <w:rsid w:val="009213DC"/>
    <w:rsid w:val="00922713"/>
    <w:rsid w:val="0092514C"/>
    <w:rsid w:val="00925743"/>
    <w:rsid w:val="00926249"/>
    <w:rsid w:val="00927B12"/>
    <w:rsid w:val="00927DD5"/>
    <w:rsid w:val="00933314"/>
    <w:rsid w:val="00936376"/>
    <w:rsid w:val="00936625"/>
    <w:rsid w:val="00936727"/>
    <w:rsid w:val="0094190F"/>
    <w:rsid w:val="00941D9D"/>
    <w:rsid w:val="00941E8C"/>
    <w:rsid w:val="00942036"/>
    <w:rsid w:val="009435D7"/>
    <w:rsid w:val="00945CAD"/>
    <w:rsid w:val="00946101"/>
    <w:rsid w:val="009471A6"/>
    <w:rsid w:val="00950339"/>
    <w:rsid w:val="0095072D"/>
    <w:rsid w:val="009516B9"/>
    <w:rsid w:val="00951E05"/>
    <w:rsid w:val="00953FE9"/>
    <w:rsid w:val="00967314"/>
    <w:rsid w:val="00967401"/>
    <w:rsid w:val="00967C83"/>
    <w:rsid w:val="009735A6"/>
    <w:rsid w:val="00975B60"/>
    <w:rsid w:val="009773DF"/>
    <w:rsid w:val="00977777"/>
    <w:rsid w:val="00977B4E"/>
    <w:rsid w:val="00981747"/>
    <w:rsid w:val="00983412"/>
    <w:rsid w:val="00985E9D"/>
    <w:rsid w:val="0099036A"/>
    <w:rsid w:val="00990981"/>
    <w:rsid w:val="00991648"/>
    <w:rsid w:val="00992245"/>
    <w:rsid w:val="009A2431"/>
    <w:rsid w:val="009A3D9F"/>
    <w:rsid w:val="009A6D15"/>
    <w:rsid w:val="009A707D"/>
    <w:rsid w:val="009A79B7"/>
    <w:rsid w:val="009B0EFA"/>
    <w:rsid w:val="009B1069"/>
    <w:rsid w:val="009B1625"/>
    <w:rsid w:val="009B35A4"/>
    <w:rsid w:val="009B414D"/>
    <w:rsid w:val="009B6E50"/>
    <w:rsid w:val="009C19F3"/>
    <w:rsid w:val="009C1C67"/>
    <w:rsid w:val="009C5B82"/>
    <w:rsid w:val="009C787A"/>
    <w:rsid w:val="009D1570"/>
    <w:rsid w:val="009D3D00"/>
    <w:rsid w:val="009D433B"/>
    <w:rsid w:val="009E0A2C"/>
    <w:rsid w:val="009E1A47"/>
    <w:rsid w:val="009E4DFE"/>
    <w:rsid w:val="009F1B63"/>
    <w:rsid w:val="009F2AD7"/>
    <w:rsid w:val="009F42EE"/>
    <w:rsid w:val="009F6A61"/>
    <w:rsid w:val="009F7DA6"/>
    <w:rsid w:val="00A01A63"/>
    <w:rsid w:val="00A02121"/>
    <w:rsid w:val="00A03706"/>
    <w:rsid w:val="00A03D5B"/>
    <w:rsid w:val="00A05EE7"/>
    <w:rsid w:val="00A10A72"/>
    <w:rsid w:val="00A1115B"/>
    <w:rsid w:val="00A1204A"/>
    <w:rsid w:val="00A152FF"/>
    <w:rsid w:val="00A16314"/>
    <w:rsid w:val="00A216CB"/>
    <w:rsid w:val="00A220C3"/>
    <w:rsid w:val="00A22A2E"/>
    <w:rsid w:val="00A22BFF"/>
    <w:rsid w:val="00A232D8"/>
    <w:rsid w:val="00A2404E"/>
    <w:rsid w:val="00A26387"/>
    <w:rsid w:val="00A26689"/>
    <w:rsid w:val="00A31713"/>
    <w:rsid w:val="00A3235F"/>
    <w:rsid w:val="00A3251B"/>
    <w:rsid w:val="00A33E65"/>
    <w:rsid w:val="00A34BCB"/>
    <w:rsid w:val="00A3589C"/>
    <w:rsid w:val="00A3634C"/>
    <w:rsid w:val="00A36DA0"/>
    <w:rsid w:val="00A40684"/>
    <w:rsid w:val="00A411AF"/>
    <w:rsid w:val="00A41A0E"/>
    <w:rsid w:val="00A44164"/>
    <w:rsid w:val="00A44806"/>
    <w:rsid w:val="00A47B8F"/>
    <w:rsid w:val="00A50223"/>
    <w:rsid w:val="00A50A42"/>
    <w:rsid w:val="00A524D8"/>
    <w:rsid w:val="00A52DC2"/>
    <w:rsid w:val="00A543BD"/>
    <w:rsid w:val="00A54BC9"/>
    <w:rsid w:val="00A5671D"/>
    <w:rsid w:val="00A56F8A"/>
    <w:rsid w:val="00A57C25"/>
    <w:rsid w:val="00A66558"/>
    <w:rsid w:val="00A66F48"/>
    <w:rsid w:val="00A71A45"/>
    <w:rsid w:val="00A7556B"/>
    <w:rsid w:val="00A770CF"/>
    <w:rsid w:val="00A8210C"/>
    <w:rsid w:val="00A822DA"/>
    <w:rsid w:val="00A8355C"/>
    <w:rsid w:val="00A84C24"/>
    <w:rsid w:val="00A85B0F"/>
    <w:rsid w:val="00A87534"/>
    <w:rsid w:val="00A87A28"/>
    <w:rsid w:val="00A920DF"/>
    <w:rsid w:val="00A931F6"/>
    <w:rsid w:val="00A94938"/>
    <w:rsid w:val="00A955A8"/>
    <w:rsid w:val="00A956C6"/>
    <w:rsid w:val="00A97BCB"/>
    <w:rsid w:val="00AA1721"/>
    <w:rsid w:val="00AA1DCD"/>
    <w:rsid w:val="00AA373A"/>
    <w:rsid w:val="00AA5413"/>
    <w:rsid w:val="00AA580A"/>
    <w:rsid w:val="00AA732E"/>
    <w:rsid w:val="00AB2140"/>
    <w:rsid w:val="00AB2BBF"/>
    <w:rsid w:val="00AB5BDE"/>
    <w:rsid w:val="00AB645B"/>
    <w:rsid w:val="00AC00D7"/>
    <w:rsid w:val="00AC00DD"/>
    <w:rsid w:val="00AC0732"/>
    <w:rsid w:val="00AC08AE"/>
    <w:rsid w:val="00AC0F0D"/>
    <w:rsid w:val="00AC132D"/>
    <w:rsid w:val="00AC3B0A"/>
    <w:rsid w:val="00AC4733"/>
    <w:rsid w:val="00AC5236"/>
    <w:rsid w:val="00AC548F"/>
    <w:rsid w:val="00AC54B8"/>
    <w:rsid w:val="00AD0753"/>
    <w:rsid w:val="00AD0E8A"/>
    <w:rsid w:val="00AD43D3"/>
    <w:rsid w:val="00AD5279"/>
    <w:rsid w:val="00AD5DCE"/>
    <w:rsid w:val="00AD605C"/>
    <w:rsid w:val="00AD6FB9"/>
    <w:rsid w:val="00AD7588"/>
    <w:rsid w:val="00AE08E3"/>
    <w:rsid w:val="00AE128D"/>
    <w:rsid w:val="00AE1488"/>
    <w:rsid w:val="00AE1950"/>
    <w:rsid w:val="00AE1B03"/>
    <w:rsid w:val="00AE25F4"/>
    <w:rsid w:val="00AE405E"/>
    <w:rsid w:val="00AF1CFB"/>
    <w:rsid w:val="00AF1FEB"/>
    <w:rsid w:val="00AF6012"/>
    <w:rsid w:val="00AF7B07"/>
    <w:rsid w:val="00B01C55"/>
    <w:rsid w:val="00B02B5E"/>
    <w:rsid w:val="00B0344D"/>
    <w:rsid w:val="00B0592E"/>
    <w:rsid w:val="00B07113"/>
    <w:rsid w:val="00B075B3"/>
    <w:rsid w:val="00B10D5F"/>
    <w:rsid w:val="00B125C2"/>
    <w:rsid w:val="00B12B1A"/>
    <w:rsid w:val="00B1688C"/>
    <w:rsid w:val="00B20BDE"/>
    <w:rsid w:val="00B2177E"/>
    <w:rsid w:val="00B2248F"/>
    <w:rsid w:val="00B24AAA"/>
    <w:rsid w:val="00B262BF"/>
    <w:rsid w:val="00B3031F"/>
    <w:rsid w:val="00B30673"/>
    <w:rsid w:val="00B30C4E"/>
    <w:rsid w:val="00B31238"/>
    <w:rsid w:val="00B31809"/>
    <w:rsid w:val="00B326CD"/>
    <w:rsid w:val="00B32834"/>
    <w:rsid w:val="00B35C50"/>
    <w:rsid w:val="00B41B36"/>
    <w:rsid w:val="00B420D2"/>
    <w:rsid w:val="00B42745"/>
    <w:rsid w:val="00B42EDD"/>
    <w:rsid w:val="00B43346"/>
    <w:rsid w:val="00B45D4B"/>
    <w:rsid w:val="00B51218"/>
    <w:rsid w:val="00B52268"/>
    <w:rsid w:val="00B53A27"/>
    <w:rsid w:val="00B557E9"/>
    <w:rsid w:val="00B60C4C"/>
    <w:rsid w:val="00B60CFD"/>
    <w:rsid w:val="00B625B9"/>
    <w:rsid w:val="00B62BF8"/>
    <w:rsid w:val="00B63310"/>
    <w:rsid w:val="00B63BFD"/>
    <w:rsid w:val="00B63DF9"/>
    <w:rsid w:val="00B6597B"/>
    <w:rsid w:val="00B6620F"/>
    <w:rsid w:val="00B66D88"/>
    <w:rsid w:val="00B67F6B"/>
    <w:rsid w:val="00B71633"/>
    <w:rsid w:val="00B7236C"/>
    <w:rsid w:val="00B73B63"/>
    <w:rsid w:val="00B73E52"/>
    <w:rsid w:val="00B81214"/>
    <w:rsid w:val="00B826C1"/>
    <w:rsid w:val="00B8273B"/>
    <w:rsid w:val="00B837C8"/>
    <w:rsid w:val="00B84910"/>
    <w:rsid w:val="00B85465"/>
    <w:rsid w:val="00B85F9F"/>
    <w:rsid w:val="00B90F81"/>
    <w:rsid w:val="00B91B20"/>
    <w:rsid w:val="00B92FD6"/>
    <w:rsid w:val="00B9322D"/>
    <w:rsid w:val="00B95329"/>
    <w:rsid w:val="00B9569C"/>
    <w:rsid w:val="00B96591"/>
    <w:rsid w:val="00B969DE"/>
    <w:rsid w:val="00B97D6F"/>
    <w:rsid w:val="00BA0BB5"/>
    <w:rsid w:val="00BA17B5"/>
    <w:rsid w:val="00BA27DC"/>
    <w:rsid w:val="00BA2DF8"/>
    <w:rsid w:val="00BA30DE"/>
    <w:rsid w:val="00BA3AC8"/>
    <w:rsid w:val="00BA3E0A"/>
    <w:rsid w:val="00BA4043"/>
    <w:rsid w:val="00BA5D6D"/>
    <w:rsid w:val="00BA6545"/>
    <w:rsid w:val="00BB0C65"/>
    <w:rsid w:val="00BB5446"/>
    <w:rsid w:val="00BB5B0C"/>
    <w:rsid w:val="00BB6BA7"/>
    <w:rsid w:val="00BC3A1E"/>
    <w:rsid w:val="00BC4949"/>
    <w:rsid w:val="00BC5690"/>
    <w:rsid w:val="00BC68FA"/>
    <w:rsid w:val="00BC77C9"/>
    <w:rsid w:val="00BC77D9"/>
    <w:rsid w:val="00BC7BB8"/>
    <w:rsid w:val="00BD138D"/>
    <w:rsid w:val="00BD273D"/>
    <w:rsid w:val="00BD28CC"/>
    <w:rsid w:val="00BD3161"/>
    <w:rsid w:val="00BD6F69"/>
    <w:rsid w:val="00BE1424"/>
    <w:rsid w:val="00BE266D"/>
    <w:rsid w:val="00BE6073"/>
    <w:rsid w:val="00BE657A"/>
    <w:rsid w:val="00BF36E1"/>
    <w:rsid w:val="00BF57C4"/>
    <w:rsid w:val="00BF5CAF"/>
    <w:rsid w:val="00BF656E"/>
    <w:rsid w:val="00C03FB7"/>
    <w:rsid w:val="00C04796"/>
    <w:rsid w:val="00C057E6"/>
    <w:rsid w:val="00C057F1"/>
    <w:rsid w:val="00C16987"/>
    <w:rsid w:val="00C16CAA"/>
    <w:rsid w:val="00C16EDA"/>
    <w:rsid w:val="00C22034"/>
    <w:rsid w:val="00C26D02"/>
    <w:rsid w:val="00C2777A"/>
    <w:rsid w:val="00C319D0"/>
    <w:rsid w:val="00C31F46"/>
    <w:rsid w:val="00C334F9"/>
    <w:rsid w:val="00C34053"/>
    <w:rsid w:val="00C3430E"/>
    <w:rsid w:val="00C34358"/>
    <w:rsid w:val="00C34E4D"/>
    <w:rsid w:val="00C354CE"/>
    <w:rsid w:val="00C40113"/>
    <w:rsid w:val="00C4072E"/>
    <w:rsid w:val="00C44513"/>
    <w:rsid w:val="00C44699"/>
    <w:rsid w:val="00C46773"/>
    <w:rsid w:val="00C467D2"/>
    <w:rsid w:val="00C5075D"/>
    <w:rsid w:val="00C51E91"/>
    <w:rsid w:val="00C521E6"/>
    <w:rsid w:val="00C56E47"/>
    <w:rsid w:val="00C57F87"/>
    <w:rsid w:val="00C6089B"/>
    <w:rsid w:val="00C61940"/>
    <w:rsid w:val="00C6457F"/>
    <w:rsid w:val="00C65F24"/>
    <w:rsid w:val="00C671DF"/>
    <w:rsid w:val="00C6751D"/>
    <w:rsid w:val="00C7285A"/>
    <w:rsid w:val="00C73465"/>
    <w:rsid w:val="00C759AB"/>
    <w:rsid w:val="00C7624B"/>
    <w:rsid w:val="00C76DF2"/>
    <w:rsid w:val="00C7788C"/>
    <w:rsid w:val="00C816F5"/>
    <w:rsid w:val="00C8258D"/>
    <w:rsid w:val="00C8457F"/>
    <w:rsid w:val="00C865CE"/>
    <w:rsid w:val="00C87D41"/>
    <w:rsid w:val="00C87E64"/>
    <w:rsid w:val="00C91B1B"/>
    <w:rsid w:val="00C9256C"/>
    <w:rsid w:val="00C926BF"/>
    <w:rsid w:val="00C93EB9"/>
    <w:rsid w:val="00C94270"/>
    <w:rsid w:val="00C94BE9"/>
    <w:rsid w:val="00C954D7"/>
    <w:rsid w:val="00C971CB"/>
    <w:rsid w:val="00CA101C"/>
    <w:rsid w:val="00CA5E1E"/>
    <w:rsid w:val="00CA61B9"/>
    <w:rsid w:val="00CA6973"/>
    <w:rsid w:val="00CB66D6"/>
    <w:rsid w:val="00CB6838"/>
    <w:rsid w:val="00CB6DB2"/>
    <w:rsid w:val="00CC0D3F"/>
    <w:rsid w:val="00CC12B2"/>
    <w:rsid w:val="00CC3C71"/>
    <w:rsid w:val="00CC50C2"/>
    <w:rsid w:val="00CC7A55"/>
    <w:rsid w:val="00CC7D3F"/>
    <w:rsid w:val="00CD1B9E"/>
    <w:rsid w:val="00CD2FD2"/>
    <w:rsid w:val="00CD3E50"/>
    <w:rsid w:val="00CD5582"/>
    <w:rsid w:val="00CE111A"/>
    <w:rsid w:val="00CE4367"/>
    <w:rsid w:val="00CE49CB"/>
    <w:rsid w:val="00CE5871"/>
    <w:rsid w:val="00CE6592"/>
    <w:rsid w:val="00CF1BAD"/>
    <w:rsid w:val="00CF459F"/>
    <w:rsid w:val="00D017C8"/>
    <w:rsid w:val="00D02A71"/>
    <w:rsid w:val="00D0503D"/>
    <w:rsid w:val="00D05D75"/>
    <w:rsid w:val="00D0728C"/>
    <w:rsid w:val="00D07899"/>
    <w:rsid w:val="00D13784"/>
    <w:rsid w:val="00D16388"/>
    <w:rsid w:val="00D16D22"/>
    <w:rsid w:val="00D17AFD"/>
    <w:rsid w:val="00D22A9E"/>
    <w:rsid w:val="00D23EC7"/>
    <w:rsid w:val="00D24FFA"/>
    <w:rsid w:val="00D25AAA"/>
    <w:rsid w:val="00D27253"/>
    <w:rsid w:val="00D27B17"/>
    <w:rsid w:val="00D30048"/>
    <w:rsid w:val="00D30B36"/>
    <w:rsid w:val="00D32169"/>
    <w:rsid w:val="00D325C0"/>
    <w:rsid w:val="00D333CC"/>
    <w:rsid w:val="00D34A40"/>
    <w:rsid w:val="00D36BD5"/>
    <w:rsid w:val="00D37E81"/>
    <w:rsid w:val="00D40B67"/>
    <w:rsid w:val="00D42869"/>
    <w:rsid w:val="00D42F81"/>
    <w:rsid w:val="00D438D0"/>
    <w:rsid w:val="00D55253"/>
    <w:rsid w:val="00D554AB"/>
    <w:rsid w:val="00D56841"/>
    <w:rsid w:val="00D56A40"/>
    <w:rsid w:val="00D56A5F"/>
    <w:rsid w:val="00D611B6"/>
    <w:rsid w:val="00D6277B"/>
    <w:rsid w:val="00D63127"/>
    <w:rsid w:val="00D63DB4"/>
    <w:rsid w:val="00D661DB"/>
    <w:rsid w:val="00D71F45"/>
    <w:rsid w:val="00D74831"/>
    <w:rsid w:val="00D76B2B"/>
    <w:rsid w:val="00D80904"/>
    <w:rsid w:val="00D828F6"/>
    <w:rsid w:val="00D84693"/>
    <w:rsid w:val="00D854E4"/>
    <w:rsid w:val="00D85EC0"/>
    <w:rsid w:val="00D87152"/>
    <w:rsid w:val="00D90FBC"/>
    <w:rsid w:val="00D91B97"/>
    <w:rsid w:val="00D97723"/>
    <w:rsid w:val="00DA7D9A"/>
    <w:rsid w:val="00DB0A3F"/>
    <w:rsid w:val="00DB27EE"/>
    <w:rsid w:val="00DB28FB"/>
    <w:rsid w:val="00DB6A3E"/>
    <w:rsid w:val="00DC0EC3"/>
    <w:rsid w:val="00DC0F65"/>
    <w:rsid w:val="00DC1048"/>
    <w:rsid w:val="00DC237F"/>
    <w:rsid w:val="00DC2CA0"/>
    <w:rsid w:val="00DC2D08"/>
    <w:rsid w:val="00DC3F93"/>
    <w:rsid w:val="00DC45CF"/>
    <w:rsid w:val="00DC4E72"/>
    <w:rsid w:val="00DC50F4"/>
    <w:rsid w:val="00DC656A"/>
    <w:rsid w:val="00DC7131"/>
    <w:rsid w:val="00DD11B5"/>
    <w:rsid w:val="00DD3C7B"/>
    <w:rsid w:val="00DD6356"/>
    <w:rsid w:val="00DE01DB"/>
    <w:rsid w:val="00DE581F"/>
    <w:rsid w:val="00DE66A3"/>
    <w:rsid w:val="00DE6E79"/>
    <w:rsid w:val="00DE7EBD"/>
    <w:rsid w:val="00DF039A"/>
    <w:rsid w:val="00DF06E0"/>
    <w:rsid w:val="00DF0D55"/>
    <w:rsid w:val="00DF18BA"/>
    <w:rsid w:val="00DF2301"/>
    <w:rsid w:val="00DF490F"/>
    <w:rsid w:val="00E0314A"/>
    <w:rsid w:val="00E07B73"/>
    <w:rsid w:val="00E10ABD"/>
    <w:rsid w:val="00E117BE"/>
    <w:rsid w:val="00E13A77"/>
    <w:rsid w:val="00E15966"/>
    <w:rsid w:val="00E15CBE"/>
    <w:rsid w:val="00E20FDD"/>
    <w:rsid w:val="00E22645"/>
    <w:rsid w:val="00E23AA0"/>
    <w:rsid w:val="00E25DE9"/>
    <w:rsid w:val="00E26B5D"/>
    <w:rsid w:val="00E30159"/>
    <w:rsid w:val="00E31982"/>
    <w:rsid w:val="00E33F76"/>
    <w:rsid w:val="00E3428A"/>
    <w:rsid w:val="00E37A09"/>
    <w:rsid w:val="00E4318A"/>
    <w:rsid w:val="00E438F0"/>
    <w:rsid w:val="00E44BA8"/>
    <w:rsid w:val="00E44F2E"/>
    <w:rsid w:val="00E457B5"/>
    <w:rsid w:val="00E50580"/>
    <w:rsid w:val="00E5193F"/>
    <w:rsid w:val="00E52078"/>
    <w:rsid w:val="00E52940"/>
    <w:rsid w:val="00E52D2C"/>
    <w:rsid w:val="00E542DA"/>
    <w:rsid w:val="00E5507C"/>
    <w:rsid w:val="00E56712"/>
    <w:rsid w:val="00E579A9"/>
    <w:rsid w:val="00E57F04"/>
    <w:rsid w:val="00E605A7"/>
    <w:rsid w:val="00E613CC"/>
    <w:rsid w:val="00E624F9"/>
    <w:rsid w:val="00E705F0"/>
    <w:rsid w:val="00E71885"/>
    <w:rsid w:val="00E72DC6"/>
    <w:rsid w:val="00E73D09"/>
    <w:rsid w:val="00E75E31"/>
    <w:rsid w:val="00E774AF"/>
    <w:rsid w:val="00E77787"/>
    <w:rsid w:val="00E77D87"/>
    <w:rsid w:val="00E812C0"/>
    <w:rsid w:val="00E8444A"/>
    <w:rsid w:val="00E86DB5"/>
    <w:rsid w:val="00E9023A"/>
    <w:rsid w:val="00E916E4"/>
    <w:rsid w:val="00E926A5"/>
    <w:rsid w:val="00E93037"/>
    <w:rsid w:val="00E9470E"/>
    <w:rsid w:val="00E962B4"/>
    <w:rsid w:val="00EA389E"/>
    <w:rsid w:val="00EA3A24"/>
    <w:rsid w:val="00EA4385"/>
    <w:rsid w:val="00EA62C4"/>
    <w:rsid w:val="00EA6740"/>
    <w:rsid w:val="00EB00FF"/>
    <w:rsid w:val="00EB0312"/>
    <w:rsid w:val="00EB05EC"/>
    <w:rsid w:val="00EB2878"/>
    <w:rsid w:val="00EB51FE"/>
    <w:rsid w:val="00EB5A15"/>
    <w:rsid w:val="00EB61A8"/>
    <w:rsid w:val="00EB76C8"/>
    <w:rsid w:val="00EB7708"/>
    <w:rsid w:val="00EC11CA"/>
    <w:rsid w:val="00EC289D"/>
    <w:rsid w:val="00EC41E0"/>
    <w:rsid w:val="00EC5520"/>
    <w:rsid w:val="00EC56F0"/>
    <w:rsid w:val="00ED1888"/>
    <w:rsid w:val="00ED19E6"/>
    <w:rsid w:val="00ED1CD1"/>
    <w:rsid w:val="00ED41AF"/>
    <w:rsid w:val="00ED4592"/>
    <w:rsid w:val="00ED74FD"/>
    <w:rsid w:val="00ED7A8A"/>
    <w:rsid w:val="00EE4C55"/>
    <w:rsid w:val="00EF1C85"/>
    <w:rsid w:val="00EF3011"/>
    <w:rsid w:val="00EF3C4E"/>
    <w:rsid w:val="00EF3F81"/>
    <w:rsid w:val="00EF49E7"/>
    <w:rsid w:val="00EF5BF2"/>
    <w:rsid w:val="00EF5E91"/>
    <w:rsid w:val="00EF75F0"/>
    <w:rsid w:val="00F0020D"/>
    <w:rsid w:val="00F037BD"/>
    <w:rsid w:val="00F03F1E"/>
    <w:rsid w:val="00F06094"/>
    <w:rsid w:val="00F06297"/>
    <w:rsid w:val="00F07D40"/>
    <w:rsid w:val="00F1363D"/>
    <w:rsid w:val="00F153E2"/>
    <w:rsid w:val="00F20FCF"/>
    <w:rsid w:val="00F237A4"/>
    <w:rsid w:val="00F24C2E"/>
    <w:rsid w:val="00F27A37"/>
    <w:rsid w:val="00F30847"/>
    <w:rsid w:val="00F30E5D"/>
    <w:rsid w:val="00F36148"/>
    <w:rsid w:val="00F3675D"/>
    <w:rsid w:val="00F41B17"/>
    <w:rsid w:val="00F41B27"/>
    <w:rsid w:val="00F41E71"/>
    <w:rsid w:val="00F443A4"/>
    <w:rsid w:val="00F44819"/>
    <w:rsid w:val="00F45324"/>
    <w:rsid w:val="00F45DE1"/>
    <w:rsid w:val="00F46CBE"/>
    <w:rsid w:val="00F472D4"/>
    <w:rsid w:val="00F51E7E"/>
    <w:rsid w:val="00F52C63"/>
    <w:rsid w:val="00F545E4"/>
    <w:rsid w:val="00F62151"/>
    <w:rsid w:val="00F7341A"/>
    <w:rsid w:val="00F80200"/>
    <w:rsid w:val="00F81575"/>
    <w:rsid w:val="00F81B18"/>
    <w:rsid w:val="00F872E6"/>
    <w:rsid w:val="00F903F5"/>
    <w:rsid w:val="00F9247A"/>
    <w:rsid w:val="00F93C3A"/>
    <w:rsid w:val="00F9469C"/>
    <w:rsid w:val="00F95ED5"/>
    <w:rsid w:val="00FA191F"/>
    <w:rsid w:val="00FA4AC7"/>
    <w:rsid w:val="00FA4D77"/>
    <w:rsid w:val="00FA5181"/>
    <w:rsid w:val="00FA6F6F"/>
    <w:rsid w:val="00FB579E"/>
    <w:rsid w:val="00FB607C"/>
    <w:rsid w:val="00FC00C1"/>
    <w:rsid w:val="00FC1394"/>
    <w:rsid w:val="00FC159E"/>
    <w:rsid w:val="00FC1BF1"/>
    <w:rsid w:val="00FC2AC2"/>
    <w:rsid w:val="00FC589E"/>
    <w:rsid w:val="00FC5C38"/>
    <w:rsid w:val="00FC64CD"/>
    <w:rsid w:val="00FC66E3"/>
    <w:rsid w:val="00FD0366"/>
    <w:rsid w:val="00FD118A"/>
    <w:rsid w:val="00FD21FE"/>
    <w:rsid w:val="00FD3356"/>
    <w:rsid w:val="00FD48B1"/>
    <w:rsid w:val="00FE1D7F"/>
    <w:rsid w:val="00FE2329"/>
    <w:rsid w:val="00FE3003"/>
    <w:rsid w:val="00FE4E25"/>
    <w:rsid w:val="00FF090C"/>
    <w:rsid w:val="00FF105A"/>
    <w:rsid w:val="00FF1069"/>
    <w:rsid w:val="00FF4889"/>
    <w:rsid w:val="00FF4F0E"/>
    <w:rsid w:val="00FF6844"/>
    <w:rsid w:val="00FF7A40"/>
    <w:rsid w:val="0CEB32DE"/>
    <w:rsid w:val="0FD35CD8"/>
    <w:rsid w:val="2FE650D7"/>
    <w:rsid w:val="2FEF5D85"/>
    <w:rsid w:val="4EFE81B8"/>
    <w:rsid w:val="5BEDBA01"/>
    <w:rsid w:val="5D631B26"/>
    <w:rsid w:val="67FAE3F5"/>
    <w:rsid w:val="77351868"/>
    <w:rsid w:val="7777A9D7"/>
    <w:rsid w:val="78031D0F"/>
    <w:rsid w:val="797B3874"/>
    <w:rsid w:val="7BD07ABD"/>
    <w:rsid w:val="7CFE9CEA"/>
    <w:rsid w:val="7DE41FD0"/>
    <w:rsid w:val="7F355E97"/>
    <w:rsid w:val="7FBFE702"/>
    <w:rsid w:val="B35791EE"/>
    <w:rsid w:val="BE6FC4E0"/>
    <w:rsid w:val="BFBF3400"/>
    <w:rsid w:val="C76F2B9E"/>
    <w:rsid w:val="C7F5B494"/>
    <w:rsid w:val="CB1FA3C5"/>
    <w:rsid w:val="D75F4E1F"/>
    <w:rsid w:val="D77E7CA8"/>
    <w:rsid w:val="D975FBE3"/>
    <w:rsid w:val="DBD679BC"/>
    <w:rsid w:val="DFEF8352"/>
    <w:rsid w:val="DFF73511"/>
    <w:rsid w:val="EEADB374"/>
    <w:rsid w:val="EF7F910E"/>
    <w:rsid w:val="EF9D257D"/>
    <w:rsid w:val="EFBE3F3A"/>
    <w:rsid w:val="F3FDBD96"/>
    <w:rsid w:val="F4D7D048"/>
    <w:rsid w:val="F6FC6D13"/>
    <w:rsid w:val="F6FDFACD"/>
    <w:rsid w:val="F797DC4F"/>
    <w:rsid w:val="FBDB2A6B"/>
    <w:rsid w:val="FD3D2302"/>
    <w:rsid w:val="FFF52B6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3"/>
    <w:qFormat/>
    <w:uiPriority w:val="0"/>
    <w:rPr>
      <w:rFonts w:ascii="仿宋_GB2312" w:eastAsia="仿宋_GB2312"/>
      <w:sz w:val="32"/>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footnote text"/>
    <w:basedOn w:val="1"/>
    <w:qFormat/>
    <w:uiPriority w:val="0"/>
    <w:pPr>
      <w:snapToGrid w:val="0"/>
      <w:jc w:val="left"/>
    </w:pPr>
    <w:rPr>
      <w:sz w:val="18"/>
    </w:rPr>
  </w:style>
  <w:style w:type="paragraph" w:styleId="6">
    <w:name w:val="Normal (Web)"/>
    <w:basedOn w:val="1"/>
    <w:qFormat/>
    <w:uiPriority w:val="0"/>
    <w:pPr>
      <w:widowControl w:val="0"/>
      <w:spacing w:before="100" w:beforeAutospacing="1" w:after="100" w:afterAutospacing="1"/>
    </w:pPr>
    <w:rPr>
      <w:rFonts w:ascii="Calibri" w:hAnsi="Calibri" w:eastAsia="宋体" w:cs="Times New Roman"/>
      <w:sz w:val="24"/>
      <w:szCs w:val="24"/>
      <w:lang w:val="en-US" w:eastAsia="zh-CN" w:bidi="ar-SA"/>
    </w:rPr>
  </w:style>
  <w:style w:type="character" w:styleId="9">
    <w:name w:val="page number"/>
    <w:basedOn w:val="8"/>
    <w:qFormat/>
    <w:uiPriority w:val="0"/>
  </w:style>
  <w:style w:type="character" w:styleId="10">
    <w:name w:val="Hyperlink"/>
    <w:basedOn w:val="8"/>
    <w:qFormat/>
    <w:uiPriority w:val="0"/>
    <w:rPr>
      <w:color w:val="0000FF"/>
      <w:u w:val="single"/>
    </w:rPr>
  </w:style>
  <w:style w:type="character" w:styleId="11">
    <w:name w:val="footnote reference"/>
    <w:basedOn w:val="8"/>
    <w:qFormat/>
    <w:uiPriority w:val="0"/>
    <w:rPr>
      <w:vertAlign w:val="superscript"/>
    </w:rPr>
  </w:style>
  <w:style w:type="character" w:customStyle="1" w:styleId="12">
    <w:name w:val="页脚 Char"/>
    <w:basedOn w:val="8"/>
    <w:link w:val="3"/>
    <w:qFormat/>
    <w:uiPriority w:val="0"/>
    <w:rPr>
      <w:rFonts w:ascii="Times New Roman" w:hAnsi="Times New Roman" w:eastAsia="宋体" w:cs="Times New Roman"/>
      <w:sz w:val="18"/>
      <w:szCs w:val="18"/>
    </w:rPr>
  </w:style>
  <w:style w:type="character" w:customStyle="1" w:styleId="13">
    <w:name w:val="日期 Char"/>
    <w:basedOn w:val="8"/>
    <w:link w:val="2"/>
    <w:qFormat/>
    <w:uiPriority w:val="0"/>
    <w:rPr>
      <w:rFonts w:ascii="仿宋_GB2312" w:hAnsi="Times New Roman" w:eastAsia="仿宋_GB2312" w:cs="Times New Roman"/>
      <w:sz w:val="32"/>
      <w:szCs w:val="24"/>
    </w:rPr>
  </w:style>
  <w:style w:type="character" w:customStyle="1" w:styleId="14">
    <w:name w:val="页眉 Char"/>
    <w:basedOn w:val="8"/>
    <w:link w:val="4"/>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43</Words>
  <Characters>246</Characters>
  <Lines>2</Lines>
  <Paragraphs>1</Paragraphs>
  <TotalTime>101</TotalTime>
  <ScaleCrop>false</ScaleCrop>
  <LinksUpToDate>false</LinksUpToDate>
  <CharactersWithSpaces>288</CharactersWithSpaces>
  <Application>WPS Office_11.8.2.11810_F1E327BC-269C-435d-A152-05C5408002CA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2019-09-19T14:10:00Z</dcterms:created>
  <dc:creator>CN=李小鹏/OU=办公室/O=CZCE</dc:creator>
  <cp:lastModifiedBy>王新宇</cp:lastModifiedBy>
  <cp:lastPrinted>2026-09-13T08:59:00Z</cp:lastPrinted>
  <dcterms:modified xsi:type="dcterms:W3CDTF">2026-09-10T17:52:12Z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2052-11.8.2.11810</vt:lpwstr>
  </property>
  <property fmtid="{D5CDD505-2E9C-101B-9397-08002B2CF9AE}" pid="3" name="ICV">
    <vt:lpwstr>9AA610994BAE6868E2B39F6A88FCE9B4</vt:lpwstr>
  </property>
</Properties>
</file>