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rPr>
          <w:rFonts w:hint="eastAsia" w:ascii="Times New Roman" w:hAnsi="Times New Roman" w:eastAsia="黑体" w:cs="Times New Roman"/>
          <w:color w:val="auto"/>
          <w:sz w:val="32"/>
          <w:szCs w:val="24"/>
          <w:highlight w:val="none"/>
          <w:lang w:val="en-US" w:eastAsia="zh-CN"/>
        </w:rPr>
      </w:pPr>
      <w:r>
        <w:rPr>
          <w:rFonts w:hint="eastAsia" w:ascii="Times New Roman" w:hAnsi="Times New Roman" w:eastAsia="黑体" w:cs="Times New Roman"/>
          <w:color w:val="auto"/>
          <w:sz w:val="32"/>
          <w:szCs w:val="24"/>
          <w:highlight w:val="none"/>
          <w:lang w:val="en-US" w:eastAsia="zh-CN"/>
        </w:rPr>
        <w:t>附</w:t>
      </w:r>
      <w:bookmarkStart w:id="5" w:name="_GoBack"/>
      <w:r>
        <w:rPr>
          <w:rFonts w:hint="eastAsia" w:ascii="Times New Roman" w:hAnsi="Times New Roman" w:eastAsia="黑体" w:cs="Times New Roman"/>
          <w:color w:val="auto"/>
          <w:sz w:val="32"/>
          <w:szCs w:val="24"/>
          <w:highlight w:val="none"/>
          <w:lang w:val="en-US" w:eastAsia="zh-CN"/>
        </w:rPr>
        <w:t>件2</w:t>
      </w:r>
    </w:p>
    <w:p>
      <w:pPr>
        <w:jc w:val="center"/>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郑州商品交易所集团交割业务管理办法</w:t>
      </w:r>
    </w:p>
    <w:p>
      <w:pPr>
        <w:jc w:val="center"/>
        <w:rPr>
          <w:rFonts w:hint="eastAsia" w:ascii="方正小标宋_GBK" w:hAnsi="方正小标宋_GBK" w:eastAsia="方正小标宋_GBK" w:cs="方正小标宋_GBK"/>
          <w:sz w:val="44"/>
          <w:szCs w:val="44"/>
          <w:highlight w:val="none"/>
          <w:lang w:val="en-US" w:eastAsia="zh-CN"/>
        </w:rPr>
      </w:pPr>
      <w:r>
        <w:rPr>
          <w:rFonts w:hint="eastAsia" w:ascii="方正小标宋_GBK" w:hAnsi="方正小标宋_GBK" w:eastAsia="方正小标宋_GBK" w:cs="方正小标宋_GBK"/>
          <w:sz w:val="44"/>
          <w:szCs w:val="44"/>
          <w:highlight w:val="none"/>
          <w:lang w:val="en-US" w:eastAsia="zh-CN"/>
        </w:rPr>
        <w:t>（征求意见稿）</w:t>
      </w:r>
    </w:p>
    <w:bookmarkEnd w:id="5"/>
    <w:p>
      <w:pPr>
        <w:widowControl/>
        <w:spacing w:before="156" w:beforeLines="50" w:line="560" w:lineRule="exact"/>
        <w:jc w:val="center"/>
        <w:rPr>
          <w:rFonts w:hint="eastAsia" w:ascii="黑体" w:hAnsi="黑体" w:eastAsia="黑体" w:cs="黑体"/>
          <w:color w:val="000000"/>
          <w:kern w:val="0"/>
          <w:sz w:val="32"/>
          <w:szCs w:val="32"/>
          <w:highlight w:val="none"/>
        </w:rPr>
      </w:pPr>
      <w:bookmarkStart w:id="0" w:name="RANGE!C2"/>
      <w:r>
        <w:rPr>
          <w:rFonts w:hint="eastAsia" w:ascii="黑体" w:hAnsi="黑体" w:eastAsia="黑体" w:cs="黑体"/>
          <w:color w:val="000000"/>
          <w:kern w:val="0"/>
          <w:sz w:val="32"/>
          <w:szCs w:val="32"/>
          <w:highlight w:val="none"/>
        </w:rPr>
        <w:t>第一章  总 则</w:t>
      </w:r>
      <w:bookmarkEnd w:id="0"/>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第一条</w:t>
      </w:r>
      <w:r>
        <w:rPr>
          <w:rFonts w:hint="eastAsia" w:ascii="仿宋" w:hAnsi="仿宋" w:eastAsia="仿宋" w:cs="仿宋"/>
          <w:color w:val="000000"/>
          <w:kern w:val="0"/>
          <w:sz w:val="32"/>
          <w:szCs w:val="32"/>
          <w:highlight w:val="none"/>
        </w:rPr>
        <w:t xml:space="preserve"> 为了规范</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交易所（以下简称交易所）集团交割业务，便利市场各方参与期货交割业务及相关活动，根据《</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交易所交易规则》</w:t>
      </w:r>
      <w:r>
        <w:rPr>
          <w:rFonts w:hint="eastAsia" w:ascii="仿宋" w:hAnsi="仿宋" w:eastAsia="仿宋" w:cs="仿宋"/>
          <w:color w:val="000000"/>
          <w:kern w:val="0"/>
          <w:sz w:val="32"/>
          <w:szCs w:val="32"/>
          <w:highlight w:val="none"/>
          <w:lang w:eastAsia="zh-CN"/>
        </w:rPr>
        <w:t>《郑州商品交易所结算规则》</w:t>
      </w: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仓库</w:t>
      </w:r>
      <w:r>
        <w:rPr>
          <w:rFonts w:hint="eastAsia" w:ascii="仿宋" w:hAnsi="仿宋" w:eastAsia="仿宋" w:cs="仿宋"/>
          <w:color w:val="000000"/>
          <w:kern w:val="0"/>
          <w:sz w:val="32"/>
          <w:szCs w:val="32"/>
          <w:highlight w:val="none"/>
        </w:rPr>
        <w:t>管理办法》《</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厂库</w:t>
      </w:r>
      <w:r>
        <w:rPr>
          <w:rFonts w:hint="eastAsia" w:ascii="仿宋" w:hAnsi="仿宋" w:eastAsia="仿宋" w:cs="仿宋"/>
          <w:color w:val="000000"/>
          <w:kern w:val="0"/>
          <w:sz w:val="32"/>
          <w:szCs w:val="32"/>
          <w:highlight w:val="none"/>
        </w:rPr>
        <w:t>管理办法》等业务规则，制定本办法。</w:t>
      </w:r>
    </w:p>
    <w:p>
      <w:pPr>
        <w:widowControl/>
        <w:spacing w:line="560" w:lineRule="exact"/>
        <w:ind w:firstLine="642" w:firstLineChars="200"/>
        <w:rPr>
          <w:rFonts w:hint="eastAsia" w:ascii="仿宋" w:hAnsi="仿宋" w:eastAsia="宋体" w:cs="仿宋"/>
          <w:color w:val="000000"/>
          <w:kern w:val="0"/>
          <w:sz w:val="32"/>
          <w:szCs w:val="32"/>
          <w:highlight w:val="none"/>
          <w:lang w:eastAsia="zh-CN"/>
        </w:rPr>
      </w:pPr>
      <w:r>
        <w:rPr>
          <w:rFonts w:hint="eastAsia" w:ascii="仿宋" w:hAnsi="仿宋" w:eastAsia="仿宋" w:cs="仿宋"/>
          <w:b/>
          <w:color w:val="000000"/>
          <w:kern w:val="0"/>
          <w:sz w:val="32"/>
          <w:szCs w:val="32"/>
          <w:highlight w:val="none"/>
        </w:rPr>
        <w:t xml:space="preserve">第二条 </w:t>
      </w:r>
      <w:r>
        <w:rPr>
          <w:rFonts w:hint="eastAsia" w:ascii="仿宋" w:hAnsi="仿宋" w:eastAsia="仿宋" w:cs="仿宋"/>
          <w:b w:val="0"/>
          <w:color w:val="000000"/>
          <w:kern w:val="0"/>
          <w:sz w:val="32"/>
          <w:szCs w:val="32"/>
          <w:highlight w:val="none"/>
          <w:lang w:eastAsia="zh-CN"/>
        </w:rPr>
        <w:t>集团交割业务是经交易所批准的，由具备</w:t>
      </w:r>
      <w:r>
        <w:rPr>
          <w:rFonts w:hint="eastAsia" w:ascii="仿宋" w:hAnsi="仿宋" w:eastAsia="仿宋" w:cs="仿宋"/>
          <w:color w:val="000000"/>
          <w:kern w:val="0"/>
          <w:sz w:val="32"/>
          <w:szCs w:val="32"/>
          <w:highlight w:val="none"/>
        </w:rPr>
        <w:t>集团管理</w:t>
      </w:r>
      <w:r>
        <w:rPr>
          <w:rFonts w:hint="eastAsia" w:ascii="仿宋" w:hAnsi="仿宋" w:eastAsia="仿宋" w:cs="仿宋"/>
          <w:color w:val="000000"/>
          <w:kern w:val="0"/>
          <w:sz w:val="32"/>
          <w:szCs w:val="32"/>
          <w:highlight w:val="none"/>
          <w:lang w:eastAsia="zh-CN"/>
        </w:rPr>
        <w:t>能力和担保能力</w:t>
      </w:r>
      <w:r>
        <w:rPr>
          <w:rFonts w:hint="eastAsia" w:ascii="仿宋" w:hAnsi="仿宋" w:eastAsia="仿宋" w:cs="仿宋"/>
          <w:color w:val="000000"/>
          <w:kern w:val="0"/>
          <w:sz w:val="32"/>
          <w:szCs w:val="32"/>
          <w:highlight w:val="none"/>
        </w:rPr>
        <w:t>的机构（以下简称集团）</w:t>
      </w:r>
      <w:r>
        <w:rPr>
          <w:rFonts w:hint="eastAsia" w:ascii="仿宋" w:hAnsi="仿宋" w:eastAsia="仿宋" w:cs="仿宋"/>
          <w:color w:val="000000"/>
          <w:kern w:val="0"/>
          <w:sz w:val="32"/>
          <w:szCs w:val="32"/>
          <w:highlight w:val="none"/>
          <w:lang w:eastAsia="zh-CN"/>
        </w:rPr>
        <w:t>通过对一个或多个交割库和交收库进行集团化管理，为指定商品期货</w:t>
      </w:r>
      <w:r>
        <w:rPr>
          <w:rFonts w:hint="eastAsia" w:ascii="仿宋" w:hAnsi="仿宋" w:eastAsia="仿宋" w:cs="仿宋"/>
          <w:color w:val="000000"/>
          <w:kern w:val="0"/>
          <w:sz w:val="32"/>
          <w:szCs w:val="32"/>
          <w:highlight w:val="none"/>
        </w:rPr>
        <w:t>提供</w:t>
      </w:r>
      <w:r>
        <w:rPr>
          <w:rFonts w:hint="eastAsia" w:ascii="仿宋" w:hAnsi="仿宋" w:eastAsia="仿宋" w:cs="仿宋"/>
          <w:color w:val="000000"/>
          <w:kern w:val="0"/>
          <w:sz w:val="32"/>
          <w:szCs w:val="32"/>
          <w:highlight w:val="none"/>
          <w:lang w:eastAsia="zh-CN"/>
        </w:rPr>
        <w:t>的</w:t>
      </w:r>
      <w:r>
        <w:rPr>
          <w:rFonts w:hint="eastAsia" w:ascii="仿宋" w:hAnsi="仿宋" w:eastAsia="仿宋" w:cs="仿宋"/>
          <w:color w:val="000000"/>
          <w:kern w:val="0"/>
          <w:sz w:val="32"/>
          <w:szCs w:val="32"/>
          <w:highlight w:val="none"/>
        </w:rPr>
        <w:t>标准仓单</w:t>
      </w:r>
      <w:r>
        <w:rPr>
          <w:rFonts w:hint="eastAsia" w:ascii="仿宋" w:hAnsi="仿宋" w:eastAsia="仿宋" w:cs="仿宋"/>
          <w:color w:val="000000"/>
          <w:kern w:val="0"/>
          <w:sz w:val="32"/>
          <w:szCs w:val="32"/>
          <w:highlight w:val="none"/>
          <w:lang w:eastAsia="zh-CN"/>
        </w:rPr>
        <w:t>注册、注销</w:t>
      </w:r>
      <w:r>
        <w:rPr>
          <w:rFonts w:hint="eastAsia" w:ascii="仿宋" w:hAnsi="仿宋" w:eastAsia="仿宋" w:cs="仿宋"/>
          <w:color w:val="000000"/>
          <w:kern w:val="0"/>
          <w:sz w:val="32"/>
          <w:szCs w:val="32"/>
          <w:highlight w:val="none"/>
        </w:rPr>
        <w:t>等交割业务</w:t>
      </w:r>
      <w:r>
        <w:rPr>
          <w:rFonts w:hint="eastAsia" w:ascii="仿宋" w:hAnsi="仿宋" w:eastAsia="仿宋" w:cs="仿宋"/>
          <w:color w:val="000000"/>
          <w:kern w:val="0"/>
          <w:sz w:val="32"/>
          <w:szCs w:val="32"/>
          <w:highlight w:val="none"/>
          <w:lang w:eastAsia="zh-CN"/>
        </w:rPr>
        <w:t>和异地交收等交收服务</w:t>
      </w:r>
      <w:r>
        <w:rPr>
          <w:rFonts w:hint="eastAsia" w:ascii="仿宋" w:hAnsi="仿宋" w:eastAsia="仿宋" w:cs="仿宋"/>
          <w:color w:val="000000"/>
          <w:kern w:val="0"/>
          <w:sz w:val="32"/>
          <w:szCs w:val="32"/>
          <w:highlight w:val="none"/>
        </w:rPr>
        <w:t>。</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lang w:eastAsia="zh-CN"/>
        </w:rPr>
        <w:t>交割库包括交割</w:t>
      </w:r>
      <w:r>
        <w:rPr>
          <w:rFonts w:hint="eastAsia" w:ascii="仿宋" w:hAnsi="仿宋" w:eastAsia="仿宋" w:cs="仿宋"/>
          <w:color w:val="000000"/>
          <w:kern w:val="0"/>
          <w:sz w:val="32"/>
          <w:szCs w:val="32"/>
          <w:highlight w:val="none"/>
        </w:rPr>
        <w:t>仓库</w:t>
      </w:r>
      <w:r>
        <w:rPr>
          <w:rFonts w:hint="eastAsia" w:ascii="仿宋" w:hAnsi="仿宋" w:eastAsia="仿宋" w:cs="仿宋"/>
          <w:color w:val="000000"/>
          <w:kern w:val="0"/>
          <w:sz w:val="32"/>
          <w:szCs w:val="32"/>
          <w:highlight w:val="none"/>
          <w:lang w:eastAsia="zh-CN"/>
        </w:rPr>
        <w:t>（以下简称仓库）和交割</w:t>
      </w:r>
      <w:r>
        <w:rPr>
          <w:rFonts w:hint="eastAsia" w:ascii="仿宋" w:hAnsi="仿宋" w:eastAsia="仿宋" w:cs="仿宋"/>
          <w:color w:val="000000"/>
          <w:kern w:val="0"/>
          <w:sz w:val="32"/>
          <w:szCs w:val="32"/>
          <w:highlight w:val="none"/>
        </w:rPr>
        <w:t>厂库</w:t>
      </w:r>
      <w:r>
        <w:rPr>
          <w:rFonts w:hint="eastAsia" w:ascii="仿宋" w:hAnsi="仿宋" w:eastAsia="仿宋" w:cs="仿宋"/>
          <w:color w:val="000000"/>
          <w:kern w:val="0"/>
          <w:sz w:val="32"/>
          <w:szCs w:val="32"/>
          <w:highlight w:val="none"/>
          <w:lang w:eastAsia="zh-CN"/>
        </w:rPr>
        <w:t>（以下简称厂库），可以办理交割业务</w:t>
      </w:r>
      <w:r>
        <w:rPr>
          <w:rFonts w:hint="eastAsia" w:ascii="仿宋" w:hAnsi="仿宋" w:eastAsia="仿宋" w:cs="仿宋"/>
          <w:color w:val="000000"/>
          <w:kern w:val="0"/>
          <w:sz w:val="32"/>
          <w:szCs w:val="32"/>
          <w:highlight w:val="none"/>
        </w:rPr>
        <w:t>。</w:t>
      </w:r>
    </w:p>
    <w:p>
      <w:pPr>
        <w:widowControl/>
        <w:spacing w:line="560" w:lineRule="exact"/>
        <w:ind w:firstLine="640" w:firstLineChars="200"/>
        <w:rPr>
          <w:rFonts w:hint="eastAsia" w:ascii="仿宋" w:hAnsi="仿宋" w:eastAsia="宋体" w:cs="仿宋"/>
          <w:color w:val="000000"/>
          <w:kern w:val="0"/>
          <w:sz w:val="32"/>
          <w:szCs w:val="32"/>
          <w:highlight w:val="yellow"/>
        </w:rPr>
      </w:pPr>
      <w:r>
        <w:rPr>
          <w:rFonts w:hint="eastAsia" w:ascii="仿宋" w:hAnsi="仿宋" w:eastAsia="仿宋" w:cs="仿宋"/>
          <w:color w:val="000000"/>
          <w:kern w:val="0"/>
          <w:sz w:val="32"/>
          <w:szCs w:val="32"/>
          <w:highlight w:val="none"/>
          <w:lang w:eastAsia="zh-CN"/>
        </w:rPr>
        <w:t>交收库是指经集团指定的，从事相关商品现货生产、贸易或仓储等经营业务的，可以提供异地交收等交收服务的机构。</w:t>
      </w:r>
    </w:p>
    <w:p>
      <w:pPr>
        <w:widowControl/>
        <w:spacing w:line="560" w:lineRule="exact"/>
        <w:ind w:firstLine="640" w:firstLineChars="200"/>
        <w:rPr>
          <w:rFonts w:hint="eastAsia" w:ascii="仿宋" w:hAnsi="仿宋" w:eastAsia="宋体"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交割库造成</w:t>
      </w:r>
      <w:r>
        <w:rPr>
          <w:rFonts w:hint="eastAsia" w:ascii="仿宋" w:hAnsi="仿宋" w:eastAsia="仿宋" w:cs="仿宋"/>
          <w:color w:val="000000"/>
          <w:kern w:val="0"/>
          <w:sz w:val="32"/>
          <w:szCs w:val="32"/>
          <w:highlight w:val="none"/>
        </w:rPr>
        <w:t>标准仓单持有人</w:t>
      </w:r>
      <w:r>
        <w:rPr>
          <w:rFonts w:hint="eastAsia" w:ascii="仿宋" w:hAnsi="仿宋" w:eastAsia="仿宋" w:cs="仿宋"/>
          <w:color w:val="000000"/>
          <w:kern w:val="0"/>
          <w:sz w:val="32"/>
          <w:szCs w:val="32"/>
          <w:highlight w:val="none"/>
          <w:lang w:eastAsia="zh-CN"/>
        </w:rPr>
        <w:t>不能行使或不能完全行使标准仓单权利的或交收库不能按照约定提供商品交收服务的</w:t>
      </w:r>
      <w:r>
        <w:rPr>
          <w:rFonts w:hint="eastAsia" w:ascii="仿宋" w:hAnsi="仿宋" w:eastAsia="仿宋" w:cs="仿宋"/>
          <w:color w:val="000000"/>
          <w:kern w:val="0"/>
          <w:sz w:val="32"/>
          <w:szCs w:val="32"/>
          <w:highlight w:val="none"/>
        </w:rPr>
        <w:t>，由集团承担全部责任</w:t>
      </w:r>
      <w:r>
        <w:rPr>
          <w:rFonts w:hint="eastAsia" w:ascii="仿宋" w:hAnsi="仿宋" w:eastAsia="仿宋" w:cs="仿宋"/>
          <w:color w:val="000000"/>
          <w:kern w:val="0"/>
          <w:sz w:val="32"/>
          <w:szCs w:val="32"/>
          <w:highlight w:val="none"/>
          <w:lang w:eastAsia="zh-CN"/>
        </w:rPr>
        <w:t>。</w:t>
      </w:r>
    </w:p>
    <w:p>
      <w:pPr>
        <w:widowControl/>
        <w:spacing w:line="560" w:lineRule="exact"/>
        <w:ind w:firstLine="642" w:firstLineChars="200"/>
        <w:rPr>
          <w:rFonts w:hint="default" w:ascii="仿宋" w:hAnsi="仿宋" w:eastAsia="仿宋" w:cs="仿宋"/>
          <w:color w:val="000000"/>
          <w:kern w:val="0"/>
          <w:sz w:val="32"/>
          <w:szCs w:val="32"/>
          <w:highlight w:val="none"/>
        </w:rPr>
      </w:pPr>
      <w:r>
        <w:rPr>
          <w:rFonts w:hint="eastAsia" w:ascii="仿宋" w:hAnsi="仿宋" w:eastAsia="仿宋" w:cs="仿宋"/>
          <w:b/>
          <w:bCs/>
          <w:color w:val="000000"/>
          <w:kern w:val="0"/>
          <w:sz w:val="32"/>
          <w:szCs w:val="32"/>
          <w:highlight w:val="none"/>
          <w:lang w:eastAsia="zh-CN"/>
        </w:rPr>
        <w:t>第三</w:t>
      </w:r>
      <w:r>
        <w:rPr>
          <w:rFonts w:hint="eastAsia" w:ascii="仿宋" w:hAnsi="仿宋" w:eastAsia="仿宋" w:cs="仿宋"/>
          <w:b/>
          <w:bCs/>
          <w:color w:val="000000"/>
          <w:kern w:val="0"/>
          <w:sz w:val="32"/>
          <w:szCs w:val="32"/>
          <w:highlight w:val="none"/>
          <w:lang w:val="en-US" w:eastAsia="zh-CN"/>
        </w:rPr>
        <w:t>条</w:t>
      </w:r>
      <w:r>
        <w:rPr>
          <w:rFonts w:hint="eastAsia" w:ascii="仿宋" w:hAnsi="仿宋" w:eastAsia="仿宋" w:cs="仿宋"/>
          <w:color w:val="000000"/>
          <w:kern w:val="0"/>
          <w:sz w:val="32"/>
          <w:szCs w:val="32"/>
          <w:highlight w:val="none"/>
          <w:lang w:val="en-US" w:eastAsia="zh-CN"/>
        </w:rPr>
        <w:t xml:space="preserve"> 本办法适用于集团交割业务，交易所、会员、集团、交割库、交收库、客户等集团交割业务参与者应当遵守本办法。</w:t>
      </w:r>
    </w:p>
    <w:p>
      <w:pPr>
        <w:widowControl/>
        <w:spacing w:before="156" w:beforeLines="50" w:line="560" w:lineRule="exact"/>
        <w:jc w:val="center"/>
        <w:rPr>
          <w:rFonts w:hint="eastAsia" w:ascii="黑体" w:hAnsi="黑体" w:eastAsia="黑体" w:cs="黑体"/>
          <w:color w:val="000000"/>
          <w:kern w:val="0"/>
          <w:sz w:val="32"/>
          <w:szCs w:val="32"/>
          <w:highlight w:val="none"/>
        </w:rPr>
      </w:pPr>
      <w:bookmarkStart w:id="1" w:name="RANGE!C8"/>
      <w:r>
        <w:rPr>
          <w:rFonts w:hint="eastAsia" w:ascii="黑体" w:hAnsi="黑体" w:eastAsia="黑体" w:cs="黑体"/>
          <w:color w:val="000000"/>
          <w:kern w:val="0"/>
          <w:sz w:val="32"/>
          <w:szCs w:val="32"/>
          <w:highlight w:val="none"/>
        </w:rPr>
        <w:t xml:space="preserve">第二章  </w:t>
      </w:r>
      <w:r>
        <w:rPr>
          <w:rFonts w:hint="eastAsia" w:ascii="黑体" w:hAnsi="黑体" w:eastAsia="黑体" w:cs="黑体"/>
          <w:color w:val="000000"/>
          <w:kern w:val="0"/>
          <w:sz w:val="32"/>
          <w:szCs w:val="32"/>
          <w:highlight w:val="none"/>
          <w:lang w:eastAsia="zh-CN"/>
        </w:rPr>
        <w:t>申请和审批</w:t>
      </w:r>
      <w:bookmarkEnd w:id="1"/>
    </w:p>
    <w:p>
      <w:pPr>
        <w:widowControl/>
        <w:spacing w:before="156" w:beforeLines="50" w:line="560" w:lineRule="exact"/>
        <w:ind w:firstLine="0" w:firstLineChars="0"/>
        <w:jc w:val="center"/>
        <w:rPr>
          <w:rFonts w:hint="eastAsia" w:ascii="仿宋" w:hAnsi="仿宋" w:eastAsia="仿宋" w:cs="仿宋"/>
          <w:b/>
          <w:bCs/>
          <w:color w:val="000000"/>
          <w:kern w:val="0"/>
          <w:sz w:val="32"/>
          <w:szCs w:val="32"/>
          <w:highlight w:val="none"/>
          <w:lang w:val="en-US" w:eastAsia="zh-CN"/>
        </w:rPr>
      </w:pPr>
      <w:r>
        <w:rPr>
          <w:rFonts w:hint="eastAsia" w:ascii="仿宋" w:hAnsi="仿宋" w:eastAsia="仿宋" w:cs="仿宋"/>
          <w:b/>
          <w:bCs/>
          <w:color w:val="000000"/>
          <w:kern w:val="0"/>
          <w:sz w:val="32"/>
          <w:szCs w:val="32"/>
          <w:highlight w:val="none"/>
          <w:lang w:eastAsia="zh-CN"/>
        </w:rPr>
        <w:t>第一节</w:t>
      </w:r>
      <w:r>
        <w:rPr>
          <w:rFonts w:hint="eastAsia" w:ascii="仿宋" w:hAnsi="仿宋" w:eastAsia="仿宋" w:cs="仿宋"/>
          <w:b/>
          <w:bCs/>
          <w:color w:val="000000"/>
          <w:kern w:val="0"/>
          <w:sz w:val="32"/>
          <w:szCs w:val="32"/>
          <w:highlight w:val="none"/>
          <w:lang w:val="en-US" w:eastAsia="zh-CN"/>
        </w:rPr>
        <w:t xml:space="preserve"> 资格条件</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四</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集团应当符合以下条件：</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（一）</w:t>
      </w:r>
      <w:r>
        <w:rPr>
          <w:rFonts w:hint="eastAsia" w:ascii="仿宋" w:hAnsi="仿宋" w:eastAsia="仿宋" w:cs="仿宋"/>
          <w:color w:val="000000"/>
          <w:kern w:val="0"/>
          <w:sz w:val="32"/>
          <w:szCs w:val="32"/>
          <w:highlight w:val="none"/>
          <w:lang w:eastAsia="zh-CN"/>
        </w:rPr>
        <w:t>具有独立的法人资格；</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（二）设立运营满两年</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rPr>
        <w:t>（三）财务状况良好，具有较强的抗风险能力，注册资本和净资产</w:t>
      </w:r>
      <w:r>
        <w:rPr>
          <w:rFonts w:hint="eastAsia" w:ascii="仿宋" w:hAnsi="仿宋" w:eastAsia="仿宋" w:cs="仿宋"/>
          <w:color w:val="000000"/>
          <w:kern w:val="0"/>
          <w:sz w:val="32"/>
          <w:szCs w:val="32"/>
          <w:highlight w:val="none"/>
          <w:lang w:eastAsia="zh-CN"/>
        </w:rPr>
        <w:t>分别</w:t>
      </w:r>
      <w:r>
        <w:rPr>
          <w:rFonts w:hint="eastAsia" w:ascii="仿宋" w:hAnsi="仿宋" w:eastAsia="仿宋" w:cs="仿宋"/>
          <w:color w:val="000000"/>
          <w:kern w:val="0"/>
          <w:sz w:val="32"/>
          <w:szCs w:val="32"/>
          <w:highlight w:val="none"/>
        </w:rPr>
        <w:t>不得低于人民币1亿元</w:t>
      </w:r>
      <w:r>
        <w:rPr>
          <w:rFonts w:hint="eastAsia" w:ascii="仿宋" w:hAnsi="仿宋" w:eastAsia="仿宋" w:cs="仿宋"/>
          <w:color w:val="000000"/>
          <w:kern w:val="0"/>
          <w:sz w:val="32"/>
          <w:szCs w:val="32"/>
          <w:highlight w:val="none"/>
          <w:lang w:eastAsia="zh-CN"/>
        </w:rPr>
        <w:t>、</w:t>
      </w:r>
      <w:r>
        <w:rPr>
          <w:rFonts w:hint="eastAsia" w:ascii="仿宋" w:hAnsi="仿宋" w:eastAsia="仿宋" w:cs="仿宋"/>
          <w:color w:val="000000"/>
          <w:kern w:val="0"/>
          <w:sz w:val="32"/>
          <w:szCs w:val="32"/>
          <w:highlight w:val="none"/>
          <w:lang w:val="en-US" w:eastAsia="zh-CN"/>
        </w:rPr>
        <w:t>10亿元</w:t>
      </w:r>
      <w:r>
        <w:rPr>
          <w:rFonts w:hint="eastAsia" w:ascii="仿宋" w:hAnsi="仿宋" w:eastAsia="仿宋" w:cs="仿宋"/>
          <w:color w:val="000000"/>
          <w:kern w:val="0"/>
          <w:sz w:val="32"/>
          <w:szCs w:val="32"/>
          <w:highlight w:val="none"/>
        </w:rPr>
        <w:t>或者等值外币</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（四）具有良好的商业信誉，近</w:t>
      </w:r>
      <w:r>
        <w:rPr>
          <w:rFonts w:hint="eastAsia" w:ascii="仿宋" w:hAnsi="仿宋" w:eastAsia="仿宋" w:cs="仿宋"/>
          <w:color w:val="000000"/>
          <w:kern w:val="0"/>
          <w:sz w:val="32"/>
          <w:szCs w:val="32"/>
          <w:highlight w:val="none"/>
          <w:lang w:eastAsia="zh-CN"/>
        </w:rPr>
        <w:t>三</w:t>
      </w:r>
      <w:r>
        <w:rPr>
          <w:rFonts w:hint="eastAsia" w:ascii="仿宋" w:hAnsi="仿宋" w:eastAsia="仿宋" w:cs="仿宋"/>
          <w:color w:val="000000"/>
          <w:kern w:val="0"/>
          <w:sz w:val="32"/>
          <w:szCs w:val="32"/>
          <w:highlight w:val="none"/>
        </w:rPr>
        <w:t>年内（成立不满三年的，自成立</w:t>
      </w:r>
      <w:r>
        <w:rPr>
          <w:rFonts w:hint="eastAsia" w:ascii="仿宋" w:hAnsi="仿宋" w:eastAsia="仿宋" w:cs="仿宋"/>
          <w:color w:val="000000"/>
          <w:kern w:val="0"/>
          <w:sz w:val="32"/>
          <w:szCs w:val="32"/>
          <w:highlight w:val="none"/>
          <w:lang w:eastAsia="zh-CN"/>
        </w:rPr>
        <w:t>之日起</w:t>
      </w:r>
      <w:r>
        <w:rPr>
          <w:rFonts w:hint="eastAsia" w:ascii="仿宋" w:hAnsi="仿宋" w:eastAsia="仿宋" w:cs="仿宋"/>
          <w:color w:val="000000"/>
          <w:kern w:val="0"/>
          <w:sz w:val="32"/>
          <w:szCs w:val="32"/>
          <w:highlight w:val="none"/>
        </w:rPr>
        <w:t>）无严重违法行为记录</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（五）不存在影响持续经营的担保、诉讼以及仲裁等重大事项，没有无法清偿的债务，近两年由会计师事务所出具的审计报告均为无保留意见；</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六</w:t>
      </w:r>
      <w:r>
        <w:rPr>
          <w:rFonts w:hint="eastAsia" w:ascii="仿宋" w:hAnsi="仿宋" w:eastAsia="仿宋" w:cs="仿宋"/>
          <w:color w:val="000000"/>
          <w:kern w:val="0"/>
          <w:sz w:val="32"/>
          <w:szCs w:val="32"/>
          <w:highlight w:val="none"/>
        </w:rPr>
        <w:t>）承诺遵守</w:t>
      </w:r>
      <w:r>
        <w:rPr>
          <w:rFonts w:hint="eastAsia" w:ascii="仿宋" w:hAnsi="仿宋" w:eastAsia="仿宋" w:cs="仿宋"/>
          <w:color w:val="000000"/>
          <w:kern w:val="0"/>
          <w:sz w:val="32"/>
          <w:szCs w:val="32"/>
          <w:highlight w:val="none"/>
          <w:lang w:eastAsia="zh-CN"/>
        </w:rPr>
        <w:t>《郑州商品交易所交易规则》《郑州商品交易所结算规则》《郑州商品交易所交割管理办法》、本办法等交易所制定的相关业务规则（以下统称交易所业务规则）；</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（七）应指定专门部门和人员负责集团交割业务；</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八</w:t>
      </w:r>
      <w:r>
        <w:rPr>
          <w:rFonts w:hint="eastAsia" w:ascii="仿宋" w:hAnsi="仿宋" w:eastAsia="仿宋" w:cs="仿宋"/>
          <w:color w:val="000000"/>
          <w:kern w:val="0"/>
          <w:sz w:val="32"/>
          <w:szCs w:val="32"/>
          <w:highlight w:val="none"/>
        </w:rPr>
        <w:t>）交易所要求的其他条件。</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五</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交易所可以根据上市品种行业状况调整集团</w:t>
      </w:r>
      <w:r>
        <w:rPr>
          <w:rFonts w:hint="eastAsia" w:ascii="仿宋" w:hAnsi="仿宋" w:eastAsia="仿宋" w:cs="仿宋"/>
          <w:color w:val="000000"/>
          <w:kern w:val="0"/>
          <w:sz w:val="32"/>
          <w:szCs w:val="32"/>
          <w:highlight w:val="none"/>
          <w:lang w:eastAsia="zh-CN"/>
        </w:rPr>
        <w:t>的</w:t>
      </w:r>
      <w:r>
        <w:rPr>
          <w:rFonts w:hint="eastAsia" w:ascii="仿宋" w:hAnsi="仿宋" w:eastAsia="仿宋" w:cs="仿宋"/>
          <w:color w:val="000000"/>
          <w:kern w:val="0"/>
          <w:sz w:val="32"/>
          <w:szCs w:val="32"/>
          <w:highlight w:val="none"/>
        </w:rPr>
        <w:t>注册资本和净资产数额</w:t>
      </w:r>
      <w:r>
        <w:rPr>
          <w:rFonts w:hint="eastAsia" w:ascii="仿宋" w:hAnsi="仿宋" w:eastAsia="仿宋" w:cs="仿宋"/>
          <w:sz w:val="32"/>
          <w:szCs w:val="32"/>
          <w:highlight w:val="none"/>
          <w:lang w:eastAsia="zh-CN"/>
        </w:rPr>
        <w:t>要求，可以根据申请主体的信用情况、行业影响力等豁免本章一项或者多项条件</w:t>
      </w:r>
      <w:r>
        <w:rPr>
          <w:rFonts w:hint="eastAsia" w:ascii="仿宋" w:hAnsi="仿宋" w:eastAsia="仿宋" w:cs="仿宋"/>
          <w:color w:val="000000"/>
          <w:kern w:val="0"/>
          <w:sz w:val="32"/>
          <w:szCs w:val="32"/>
          <w:highlight w:val="none"/>
        </w:rPr>
        <w:t>。</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六</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仓库和厂库</w:t>
      </w:r>
      <w:r>
        <w:rPr>
          <w:rFonts w:hint="eastAsia" w:ascii="仿宋" w:hAnsi="仿宋" w:eastAsia="仿宋" w:cs="仿宋"/>
          <w:color w:val="000000"/>
          <w:kern w:val="0"/>
          <w:sz w:val="32"/>
          <w:szCs w:val="32"/>
          <w:highlight w:val="none"/>
          <w:lang w:eastAsia="zh-CN"/>
        </w:rPr>
        <w:t>等交割库</w:t>
      </w:r>
      <w:r>
        <w:rPr>
          <w:rFonts w:hint="eastAsia" w:ascii="仿宋" w:hAnsi="仿宋" w:eastAsia="仿宋" w:cs="仿宋"/>
          <w:color w:val="000000"/>
          <w:kern w:val="0"/>
          <w:sz w:val="32"/>
          <w:szCs w:val="32"/>
          <w:highlight w:val="none"/>
        </w:rPr>
        <w:t>的设立条件应当满足《</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仓库</w:t>
      </w:r>
      <w:r>
        <w:rPr>
          <w:rFonts w:hint="eastAsia" w:ascii="仿宋" w:hAnsi="仿宋" w:eastAsia="仿宋" w:cs="仿宋"/>
          <w:color w:val="000000"/>
          <w:kern w:val="0"/>
          <w:sz w:val="32"/>
          <w:szCs w:val="32"/>
          <w:highlight w:val="none"/>
        </w:rPr>
        <w:t>管理办法》《</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厂库</w:t>
      </w:r>
      <w:r>
        <w:rPr>
          <w:rFonts w:hint="eastAsia" w:ascii="仿宋" w:hAnsi="仿宋" w:eastAsia="仿宋" w:cs="仿宋"/>
          <w:color w:val="000000"/>
          <w:kern w:val="0"/>
          <w:sz w:val="32"/>
          <w:szCs w:val="32"/>
          <w:highlight w:val="none"/>
        </w:rPr>
        <w:t>管理办法》</w:t>
      </w:r>
      <w:r>
        <w:rPr>
          <w:rFonts w:hint="eastAsia" w:ascii="仿宋" w:hAnsi="仿宋" w:eastAsia="仿宋" w:cs="仿宋"/>
          <w:color w:val="000000"/>
          <w:kern w:val="0"/>
          <w:sz w:val="32"/>
          <w:szCs w:val="32"/>
          <w:highlight w:val="none"/>
          <w:lang w:eastAsia="zh-CN"/>
        </w:rPr>
        <w:t>等规定的申请条件</w:t>
      </w:r>
      <w:r>
        <w:rPr>
          <w:rFonts w:hint="eastAsia" w:ascii="仿宋" w:hAnsi="仿宋" w:eastAsia="仿宋" w:cs="仿宋"/>
          <w:color w:val="000000"/>
          <w:kern w:val="0"/>
          <w:sz w:val="32"/>
          <w:szCs w:val="32"/>
          <w:highlight w:val="none"/>
        </w:rPr>
        <w:t>。</w:t>
      </w:r>
    </w:p>
    <w:p>
      <w:pPr>
        <w:widowControl/>
        <w:spacing w:before="156" w:beforeLines="50" w:line="560" w:lineRule="exact"/>
        <w:jc w:val="center"/>
        <w:rPr>
          <w:rFonts w:hint="eastAsia" w:ascii="仿宋" w:hAnsi="仿宋" w:eastAsia="仿宋" w:cs="仿宋"/>
          <w:b/>
          <w:bCs/>
          <w:color w:val="000000"/>
          <w:kern w:val="0"/>
          <w:sz w:val="32"/>
          <w:szCs w:val="32"/>
          <w:highlight w:val="none"/>
        </w:rPr>
      </w:pPr>
      <w:bookmarkStart w:id="2" w:name="RANGE!C24"/>
      <w:r>
        <w:rPr>
          <w:rFonts w:hint="eastAsia" w:ascii="仿宋" w:hAnsi="仿宋" w:eastAsia="仿宋" w:cs="仿宋"/>
          <w:b/>
          <w:bCs/>
          <w:color w:val="000000"/>
          <w:kern w:val="0"/>
          <w:sz w:val="32"/>
          <w:szCs w:val="32"/>
          <w:highlight w:val="none"/>
        </w:rPr>
        <w:t>第</w:t>
      </w:r>
      <w:r>
        <w:rPr>
          <w:rFonts w:hint="eastAsia" w:ascii="仿宋" w:hAnsi="仿宋" w:eastAsia="仿宋" w:cs="仿宋"/>
          <w:b/>
          <w:bCs/>
          <w:color w:val="000000"/>
          <w:kern w:val="0"/>
          <w:sz w:val="32"/>
          <w:szCs w:val="32"/>
          <w:highlight w:val="none"/>
          <w:lang w:eastAsia="zh-CN"/>
        </w:rPr>
        <w:t>二节</w:t>
      </w:r>
      <w:r>
        <w:rPr>
          <w:rFonts w:hint="eastAsia" w:ascii="仿宋" w:hAnsi="仿宋" w:eastAsia="仿宋" w:cs="仿宋"/>
          <w:b/>
          <w:bCs/>
          <w:color w:val="000000"/>
          <w:kern w:val="0"/>
          <w:sz w:val="32"/>
          <w:szCs w:val="32"/>
          <w:highlight w:val="none"/>
        </w:rPr>
        <w:t xml:space="preserve">  申请材料</w:t>
      </w:r>
      <w:bookmarkEnd w:id="2"/>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七</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集团应当提交以下申请材料：</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（一）经有效签署的申请书</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宋体" w:cs="仿宋"/>
          <w:color w:val="000000"/>
          <w:kern w:val="0"/>
          <w:sz w:val="32"/>
          <w:szCs w:val="32"/>
          <w:highlight w:val="none"/>
          <w:lang w:eastAsia="zh-CN"/>
        </w:rPr>
      </w:pPr>
      <w:r>
        <w:rPr>
          <w:rFonts w:hint="eastAsia" w:ascii="仿宋" w:hAnsi="仿宋" w:eastAsia="仿宋" w:cs="仿宋"/>
          <w:color w:val="000000"/>
          <w:kern w:val="0"/>
          <w:sz w:val="32"/>
          <w:szCs w:val="32"/>
          <w:highlight w:val="none"/>
        </w:rPr>
        <w:t>（二）营业执照等公司成立证明文件</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仿宋" w:cs="仿宋"/>
          <w:sz w:val="32"/>
          <w:szCs w:val="32"/>
          <w:highlight w:val="none"/>
          <w:lang w:eastAsia="zh-CN"/>
        </w:rPr>
      </w:pPr>
      <w:r>
        <w:rPr>
          <w:rFonts w:hint="eastAsia" w:ascii="仿宋" w:hAnsi="仿宋" w:eastAsia="仿宋" w:cs="仿宋"/>
          <w:color w:val="000000"/>
          <w:kern w:val="0"/>
          <w:sz w:val="32"/>
          <w:szCs w:val="32"/>
          <w:highlight w:val="none"/>
        </w:rPr>
        <w:t>（三）</w:t>
      </w:r>
      <w:r>
        <w:rPr>
          <w:rFonts w:hint="eastAsia" w:ascii="仿宋" w:hAnsi="仿宋" w:eastAsia="仿宋" w:cs="仿宋"/>
          <w:color w:val="000000"/>
          <w:kern w:val="0"/>
          <w:sz w:val="32"/>
          <w:szCs w:val="32"/>
          <w:highlight w:val="none"/>
          <w:lang w:eastAsia="zh-CN"/>
        </w:rPr>
        <w:t>会计师事务所</w:t>
      </w:r>
      <w:r>
        <w:rPr>
          <w:rFonts w:hint="eastAsia" w:ascii="仿宋" w:hAnsi="仿宋" w:eastAsia="仿宋" w:cs="仿宋"/>
          <w:color w:val="000000"/>
          <w:kern w:val="0"/>
          <w:sz w:val="32"/>
          <w:szCs w:val="32"/>
          <w:highlight w:val="none"/>
        </w:rPr>
        <w:t>出具的近</w:t>
      </w:r>
      <w:r>
        <w:rPr>
          <w:rFonts w:hint="eastAsia" w:ascii="仿宋" w:hAnsi="仿宋" w:eastAsia="仿宋" w:cs="仿宋"/>
          <w:color w:val="000000"/>
          <w:kern w:val="0"/>
          <w:sz w:val="32"/>
          <w:szCs w:val="32"/>
          <w:highlight w:val="none"/>
          <w:lang w:eastAsia="zh-CN"/>
        </w:rPr>
        <w:t>两</w:t>
      </w:r>
      <w:r>
        <w:rPr>
          <w:rFonts w:hint="eastAsia" w:ascii="仿宋" w:hAnsi="仿宋" w:eastAsia="仿宋" w:cs="仿宋"/>
          <w:color w:val="000000"/>
          <w:kern w:val="0"/>
          <w:sz w:val="32"/>
          <w:szCs w:val="32"/>
          <w:highlight w:val="none"/>
        </w:rPr>
        <w:t>年审计报告。</w:t>
      </w:r>
      <w:r>
        <w:rPr>
          <w:rFonts w:hint="eastAsia" w:ascii="仿宋" w:hAnsi="仿宋" w:eastAsia="仿宋" w:cs="仿宋"/>
          <w:sz w:val="32"/>
          <w:szCs w:val="32"/>
          <w:highlight w:val="none"/>
        </w:rPr>
        <w:t>申请人</w:t>
      </w:r>
      <w:r>
        <w:rPr>
          <w:rFonts w:hint="eastAsia" w:ascii="仿宋" w:hAnsi="仿宋" w:eastAsia="仿宋" w:cs="仿宋"/>
          <w:sz w:val="32"/>
          <w:szCs w:val="32"/>
          <w:highlight w:val="none"/>
          <w:lang w:eastAsia="zh-CN"/>
        </w:rPr>
        <w:t>作</w:t>
      </w:r>
      <w:r>
        <w:rPr>
          <w:rFonts w:hint="eastAsia" w:ascii="仿宋" w:hAnsi="仿宋" w:eastAsia="仿宋" w:cs="仿宋"/>
          <w:sz w:val="32"/>
          <w:szCs w:val="32"/>
          <w:highlight w:val="none"/>
        </w:rPr>
        <w:t>为母公司</w:t>
      </w:r>
      <w:r>
        <w:rPr>
          <w:rFonts w:hint="eastAsia" w:ascii="仿宋" w:hAnsi="仿宋" w:eastAsia="仿宋" w:cs="仿宋"/>
          <w:sz w:val="32"/>
          <w:szCs w:val="32"/>
          <w:highlight w:val="none"/>
          <w:lang w:eastAsia="zh-CN"/>
        </w:rPr>
        <w:t>需要编制合并会计报表</w:t>
      </w:r>
      <w:r>
        <w:rPr>
          <w:rFonts w:hint="eastAsia" w:ascii="仿宋" w:hAnsi="仿宋" w:eastAsia="仿宋" w:cs="仿宋"/>
          <w:sz w:val="32"/>
          <w:szCs w:val="32"/>
          <w:highlight w:val="none"/>
        </w:rPr>
        <w:t>的，审计报告中所列已审会计报表应当包括母公司的个别会计报表和合并会计报表</w:t>
      </w:r>
      <w:r>
        <w:rPr>
          <w:rFonts w:hint="eastAsia" w:ascii="仿宋" w:hAnsi="仿宋" w:eastAsia="仿宋" w:cs="仿宋"/>
          <w:sz w:val="32"/>
          <w:szCs w:val="32"/>
          <w:highlight w:val="none"/>
          <w:lang w:eastAsia="zh-CN"/>
        </w:rPr>
        <w:t>；</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四</w:t>
      </w: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集团交割业务管理制度材料，包括但不限于：集团交割业务的</w:t>
      </w:r>
      <w:r>
        <w:rPr>
          <w:rFonts w:hint="eastAsia" w:ascii="仿宋" w:hAnsi="仿宋" w:eastAsia="仿宋" w:cs="仿宋"/>
          <w:color w:val="000000"/>
          <w:kern w:val="0"/>
          <w:sz w:val="32"/>
          <w:szCs w:val="32"/>
          <w:highlight w:val="none"/>
        </w:rPr>
        <w:t>管理制度</w:t>
      </w:r>
      <w:r>
        <w:rPr>
          <w:rFonts w:hint="eastAsia" w:ascii="仿宋" w:hAnsi="仿宋" w:eastAsia="仿宋" w:cs="仿宋"/>
          <w:color w:val="000000"/>
          <w:kern w:val="0"/>
          <w:sz w:val="32"/>
          <w:szCs w:val="32"/>
          <w:highlight w:val="none"/>
          <w:lang w:eastAsia="zh-CN"/>
        </w:rPr>
        <w:t>，</w:t>
      </w:r>
      <w:r>
        <w:rPr>
          <w:rFonts w:hint="eastAsia" w:ascii="仿宋" w:hAnsi="仿宋" w:eastAsia="仿宋" w:cs="仿宋"/>
          <w:color w:val="000000"/>
          <w:kern w:val="0"/>
          <w:sz w:val="32"/>
          <w:szCs w:val="32"/>
          <w:highlight w:val="none"/>
        </w:rPr>
        <w:t>管理部门、负责人和经办人名单</w:t>
      </w:r>
      <w:r>
        <w:rPr>
          <w:rFonts w:hint="eastAsia" w:ascii="仿宋" w:hAnsi="仿宋" w:eastAsia="仿宋" w:cs="仿宋"/>
          <w:color w:val="000000"/>
          <w:kern w:val="0"/>
          <w:sz w:val="32"/>
          <w:szCs w:val="32"/>
          <w:highlight w:val="none"/>
          <w:lang w:eastAsia="zh-CN"/>
        </w:rPr>
        <w:t>，集团与交割库和交收库的关系说明；</w:t>
      </w:r>
    </w:p>
    <w:p>
      <w:pPr>
        <w:widowControl/>
        <w:spacing w:line="560" w:lineRule="exact"/>
        <w:ind w:firstLine="640" w:firstLineChars="200"/>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（五）拟设交割库和交收库所在区域相应品种的现货生产、贸易、消费、物流情况说明；</w:t>
      </w:r>
    </w:p>
    <w:p>
      <w:pPr>
        <w:widowControl/>
        <w:spacing w:line="560" w:lineRule="exact"/>
        <w:ind w:firstLine="640" w:firstLineChars="200"/>
        <w:rPr>
          <w:rFonts w:hint="eastAsia" w:ascii="仿宋" w:hAnsi="仿宋" w:eastAsia="宋体" w:cs="仿宋"/>
          <w:sz w:val="32"/>
          <w:szCs w:val="32"/>
          <w:highlight w:val="none"/>
          <w:lang w:eastAsia="zh-CN"/>
        </w:rPr>
      </w:pPr>
      <w:r>
        <w:rPr>
          <w:rFonts w:hint="eastAsia" w:ascii="仿宋" w:hAnsi="仿宋" w:eastAsia="仿宋" w:cs="仿宋"/>
          <w:sz w:val="32"/>
          <w:szCs w:val="32"/>
          <w:highlight w:val="none"/>
          <w:lang w:eastAsia="zh-CN"/>
        </w:rPr>
        <w:t>（六）拟设交收库相关材料，包括但不限于：拟设交收库的必要性说明、拟设交收库名称和所在地等基本信息、拟设交收库的联系人及联系方式等；</w:t>
      </w:r>
    </w:p>
    <w:p>
      <w:pPr>
        <w:widowControl/>
        <w:spacing w:line="560" w:lineRule="exact"/>
        <w:ind w:firstLine="640" w:firstLineChars="200"/>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（七）承诺书，内容应当包括：</w:t>
      </w:r>
      <w:r>
        <w:rPr>
          <w:rFonts w:hint="eastAsia" w:ascii="仿宋" w:hAnsi="仿宋" w:eastAsia="仿宋" w:cs="仿宋"/>
          <w:i w:val="0"/>
          <w:iCs w:val="0"/>
          <w:caps w:val="0"/>
          <w:spacing w:val="0"/>
          <w:sz w:val="32"/>
          <w:szCs w:val="32"/>
          <w:highlight w:val="none"/>
          <w:shd w:val="clear" w:color="auto" w:fill="auto"/>
        </w:rPr>
        <w:t>保证提交的材料真实、准确、完整，无虚假记载、误导性陈述或者重大遗漏</w:t>
      </w:r>
      <w:r>
        <w:rPr>
          <w:rFonts w:hint="eastAsia" w:ascii="仿宋" w:hAnsi="仿宋" w:eastAsia="仿宋" w:cs="仿宋"/>
          <w:i w:val="0"/>
          <w:iCs w:val="0"/>
          <w:caps w:val="0"/>
          <w:spacing w:val="0"/>
          <w:sz w:val="32"/>
          <w:szCs w:val="32"/>
          <w:highlight w:val="none"/>
          <w:shd w:val="clear" w:color="auto" w:fill="auto"/>
          <w:lang w:eastAsia="zh-CN"/>
        </w:rPr>
        <w:t>；</w:t>
      </w:r>
      <w:r>
        <w:rPr>
          <w:rFonts w:hint="eastAsia" w:ascii="仿宋" w:hAnsi="仿宋" w:eastAsia="仿宋" w:cs="仿宋"/>
          <w:i w:val="0"/>
          <w:iCs w:val="0"/>
          <w:caps w:val="0"/>
          <w:spacing w:val="0"/>
          <w:sz w:val="32"/>
          <w:szCs w:val="32"/>
          <w:highlight w:val="none"/>
          <w:shd w:val="clear" w:color="auto" w:fill="auto"/>
        </w:rPr>
        <w:t>遵守交易所业务规则和其他有关规定</w:t>
      </w:r>
      <w:r>
        <w:rPr>
          <w:rFonts w:hint="eastAsia" w:ascii="仿宋" w:hAnsi="仿宋" w:eastAsia="仿宋" w:cs="仿宋"/>
          <w:i w:val="0"/>
          <w:iCs w:val="0"/>
          <w:caps w:val="0"/>
          <w:spacing w:val="0"/>
          <w:sz w:val="32"/>
          <w:szCs w:val="32"/>
          <w:highlight w:val="none"/>
          <w:shd w:val="clear" w:color="auto" w:fill="auto"/>
          <w:lang w:eastAsia="zh-CN"/>
        </w:rPr>
        <w:t>；</w:t>
      </w:r>
      <w:r>
        <w:rPr>
          <w:rFonts w:hint="eastAsia" w:ascii="仿宋" w:hAnsi="仿宋" w:eastAsia="仿宋" w:cs="仿宋"/>
          <w:i w:val="0"/>
          <w:iCs w:val="0"/>
          <w:caps w:val="0"/>
          <w:spacing w:val="0"/>
          <w:sz w:val="32"/>
          <w:szCs w:val="32"/>
          <w:highlight w:val="none"/>
          <w:shd w:val="clear" w:color="auto" w:fill="auto"/>
        </w:rPr>
        <w:t>最近三年（成立不足三年的，自成立之日起）无严重违法行为记录</w:t>
      </w:r>
      <w:r>
        <w:rPr>
          <w:rFonts w:hint="eastAsia" w:ascii="仿宋" w:hAnsi="仿宋" w:eastAsia="仿宋" w:cs="仿宋"/>
          <w:i w:val="0"/>
          <w:iCs w:val="0"/>
          <w:caps w:val="0"/>
          <w:spacing w:val="0"/>
          <w:sz w:val="32"/>
          <w:szCs w:val="32"/>
          <w:highlight w:val="none"/>
          <w:shd w:val="clear" w:color="auto" w:fill="auto"/>
          <w:lang w:eastAsia="zh-CN"/>
        </w:rPr>
        <w:t>；</w:t>
      </w:r>
      <w:r>
        <w:rPr>
          <w:rFonts w:hint="eastAsia" w:ascii="仿宋" w:hAnsi="仿宋" w:eastAsia="仿宋" w:cs="仿宋"/>
          <w:i w:val="0"/>
          <w:iCs w:val="0"/>
          <w:caps w:val="0"/>
          <w:spacing w:val="0"/>
          <w:sz w:val="32"/>
          <w:szCs w:val="32"/>
          <w:highlight w:val="none"/>
          <w:shd w:val="clear" w:color="auto" w:fill="auto"/>
        </w:rPr>
        <w:t>没有无法清偿的债务，不存在影响持续经营的担保、诉讼以及仲裁等重大事项</w:t>
      </w:r>
      <w:r>
        <w:rPr>
          <w:rFonts w:hint="eastAsia" w:ascii="仿宋" w:hAnsi="仿宋" w:eastAsia="仿宋" w:cs="仿宋"/>
          <w:i w:val="0"/>
          <w:iCs w:val="0"/>
          <w:caps w:val="0"/>
          <w:spacing w:val="0"/>
          <w:sz w:val="32"/>
          <w:szCs w:val="32"/>
          <w:highlight w:val="none"/>
          <w:shd w:val="clear" w:color="auto" w:fill="auto"/>
          <w:lang w:eastAsia="zh-CN"/>
        </w:rPr>
        <w:t>；</w:t>
      </w:r>
    </w:p>
    <w:p>
      <w:pPr>
        <w:widowControl/>
        <w:spacing w:line="560" w:lineRule="exact"/>
        <w:ind w:firstLine="640" w:firstLineChars="200"/>
        <w:rPr>
          <w:rFonts w:hint="eastAsia" w:ascii="仿宋" w:hAnsi="仿宋" w:eastAsia="仿宋" w:cs="仿宋"/>
          <w:color w:val="000000"/>
          <w:kern w:val="2"/>
          <w:sz w:val="32"/>
          <w:szCs w:val="32"/>
          <w:highlight w:val="none"/>
        </w:rPr>
      </w:pPr>
      <w:r>
        <w:rPr>
          <w:rFonts w:hint="eastAsia" w:ascii="仿宋" w:hAnsi="仿宋" w:eastAsia="仿宋" w:cs="仿宋"/>
          <w:color w:val="000000"/>
          <w:kern w:val="2"/>
          <w:sz w:val="32"/>
          <w:szCs w:val="32"/>
          <w:highlight w:val="none"/>
        </w:rPr>
        <w:t>（</w:t>
      </w:r>
      <w:r>
        <w:rPr>
          <w:rFonts w:hint="eastAsia" w:ascii="仿宋" w:hAnsi="仿宋" w:eastAsia="仿宋" w:cs="仿宋"/>
          <w:color w:val="000000"/>
          <w:kern w:val="2"/>
          <w:sz w:val="32"/>
          <w:szCs w:val="32"/>
          <w:highlight w:val="none"/>
          <w:lang w:eastAsia="zh-CN"/>
        </w:rPr>
        <w:t>八</w:t>
      </w:r>
      <w:r>
        <w:rPr>
          <w:rFonts w:hint="eastAsia" w:ascii="仿宋" w:hAnsi="仿宋" w:eastAsia="仿宋" w:cs="仿宋"/>
          <w:color w:val="000000"/>
          <w:kern w:val="2"/>
          <w:sz w:val="32"/>
          <w:szCs w:val="32"/>
          <w:highlight w:val="none"/>
        </w:rPr>
        <w:t>）交易所要求提供的其他文件。</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lang w:val="en-US" w:eastAsia="zh-CN"/>
        </w:rPr>
        <w:t>交易所</w:t>
      </w:r>
      <w:r>
        <w:rPr>
          <w:rFonts w:hint="eastAsia" w:ascii="仿宋" w:hAnsi="仿宋" w:eastAsia="仿宋" w:cs="仿宋"/>
          <w:color w:val="000000"/>
          <w:kern w:val="0"/>
          <w:sz w:val="32"/>
          <w:szCs w:val="32"/>
          <w:highlight w:val="none"/>
        </w:rPr>
        <w:t>可以根据</w:t>
      </w:r>
      <w:r>
        <w:rPr>
          <w:rFonts w:hint="eastAsia" w:ascii="仿宋" w:hAnsi="仿宋" w:eastAsia="仿宋" w:cs="仿宋"/>
          <w:color w:val="000000"/>
          <w:kern w:val="0"/>
          <w:sz w:val="32"/>
          <w:szCs w:val="32"/>
          <w:highlight w:val="none"/>
          <w:lang w:eastAsia="zh-CN"/>
        </w:rPr>
        <w:t>需要，要求申请人提供</w:t>
      </w:r>
      <w:r>
        <w:rPr>
          <w:rFonts w:hint="eastAsia" w:ascii="仿宋" w:hAnsi="仿宋" w:eastAsia="仿宋" w:cs="仿宋"/>
          <w:color w:val="000000"/>
          <w:kern w:val="0"/>
          <w:sz w:val="32"/>
          <w:szCs w:val="32"/>
          <w:highlight w:val="none"/>
        </w:rPr>
        <w:t>申请人</w:t>
      </w:r>
      <w:r>
        <w:rPr>
          <w:rFonts w:hint="eastAsia" w:ascii="仿宋" w:hAnsi="仿宋" w:eastAsia="仿宋" w:cs="仿宋"/>
          <w:color w:val="000000"/>
          <w:kern w:val="0"/>
          <w:sz w:val="32"/>
          <w:szCs w:val="32"/>
          <w:highlight w:val="none"/>
          <w:lang w:eastAsia="zh-CN"/>
        </w:rPr>
        <w:t>股东会、</w:t>
      </w:r>
      <w:r>
        <w:rPr>
          <w:rFonts w:hint="eastAsia" w:ascii="仿宋" w:hAnsi="仿宋" w:eastAsia="仿宋" w:cs="仿宋"/>
          <w:color w:val="000000"/>
          <w:kern w:val="0"/>
          <w:sz w:val="32"/>
          <w:szCs w:val="32"/>
          <w:highlight w:val="none"/>
        </w:rPr>
        <w:t>董事会或者其上级主管部门</w:t>
      </w:r>
      <w:r>
        <w:rPr>
          <w:rFonts w:hint="eastAsia" w:ascii="仿宋" w:hAnsi="仿宋" w:eastAsia="仿宋" w:cs="仿宋"/>
          <w:color w:val="000000"/>
          <w:kern w:val="0"/>
          <w:sz w:val="32"/>
          <w:szCs w:val="32"/>
          <w:highlight w:val="none"/>
          <w:lang w:eastAsia="zh-CN"/>
        </w:rPr>
        <w:t>等有权机关</w:t>
      </w:r>
      <w:r>
        <w:rPr>
          <w:rFonts w:hint="eastAsia" w:ascii="仿宋" w:hAnsi="仿宋" w:eastAsia="仿宋" w:cs="仿宋"/>
          <w:color w:val="000000"/>
          <w:kern w:val="0"/>
          <w:sz w:val="32"/>
          <w:szCs w:val="32"/>
          <w:highlight w:val="none"/>
        </w:rPr>
        <w:t>出具的同意申请集团的批准文件。</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八</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仓库</w:t>
      </w:r>
      <w:r>
        <w:rPr>
          <w:rFonts w:hint="eastAsia" w:ascii="仿宋" w:hAnsi="仿宋" w:eastAsia="仿宋" w:cs="仿宋"/>
          <w:color w:val="000000"/>
          <w:kern w:val="0"/>
          <w:sz w:val="32"/>
          <w:szCs w:val="32"/>
          <w:highlight w:val="none"/>
          <w:lang w:eastAsia="zh-CN"/>
        </w:rPr>
        <w:t>、</w:t>
      </w:r>
      <w:r>
        <w:rPr>
          <w:rFonts w:hint="eastAsia" w:ascii="仿宋" w:hAnsi="仿宋" w:eastAsia="仿宋" w:cs="仿宋"/>
          <w:color w:val="000000"/>
          <w:kern w:val="0"/>
          <w:sz w:val="32"/>
          <w:szCs w:val="32"/>
          <w:highlight w:val="none"/>
        </w:rPr>
        <w:t>厂库</w:t>
      </w:r>
      <w:r>
        <w:rPr>
          <w:rFonts w:hint="eastAsia" w:ascii="仿宋" w:hAnsi="仿宋" w:eastAsia="仿宋" w:cs="仿宋"/>
          <w:color w:val="000000"/>
          <w:kern w:val="0"/>
          <w:sz w:val="32"/>
          <w:szCs w:val="32"/>
          <w:highlight w:val="none"/>
          <w:lang w:eastAsia="zh-CN"/>
        </w:rPr>
        <w:t>等交割库</w:t>
      </w:r>
      <w:r>
        <w:rPr>
          <w:rFonts w:hint="eastAsia" w:ascii="仿宋" w:hAnsi="仿宋" w:eastAsia="仿宋" w:cs="仿宋"/>
          <w:color w:val="000000"/>
          <w:kern w:val="0"/>
          <w:sz w:val="32"/>
          <w:szCs w:val="32"/>
          <w:highlight w:val="none"/>
        </w:rPr>
        <w:t>的申请材料应当符合《</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仓库管理办法</w:t>
      </w: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厂库管理办法</w:t>
      </w: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等规定</w:t>
      </w:r>
      <w:r>
        <w:rPr>
          <w:rFonts w:hint="eastAsia" w:ascii="仿宋" w:hAnsi="仿宋" w:eastAsia="仿宋" w:cs="仿宋"/>
          <w:color w:val="000000"/>
          <w:kern w:val="0"/>
          <w:sz w:val="32"/>
          <w:szCs w:val="32"/>
          <w:highlight w:val="none"/>
        </w:rPr>
        <w:t>要求。</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申请成为仓库的，一般无需提供交易所要求的担保文件。</w:t>
      </w:r>
    </w:p>
    <w:p>
      <w:pPr>
        <w:widowControl/>
        <w:spacing w:line="560" w:lineRule="exact"/>
        <w:ind w:firstLine="642" w:firstLineChars="200"/>
        <w:rPr>
          <w:rFonts w:hint="eastAsia" w:ascii="仿宋" w:hAnsi="仿宋" w:eastAsia="仿宋" w:cs="仿宋"/>
          <w:color w:val="000000"/>
          <w:kern w:val="0"/>
          <w:sz w:val="32"/>
          <w:szCs w:val="32"/>
          <w:highlight w:val="none"/>
          <w:lang w:val="en-US" w:eastAsia="zh-CN"/>
        </w:rPr>
      </w:pPr>
      <w:r>
        <w:rPr>
          <w:rFonts w:hint="eastAsia" w:ascii="仿宋" w:hAnsi="仿宋" w:eastAsia="仿宋" w:cs="仿宋"/>
          <w:b/>
          <w:bCs/>
          <w:color w:val="000000"/>
          <w:kern w:val="0"/>
          <w:sz w:val="32"/>
          <w:szCs w:val="32"/>
          <w:highlight w:val="none"/>
          <w:lang w:eastAsia="zh-CN"/>
        </w:rPr>
        <w:t>第九条</w:t>
      </w:r>
      <w:r>
        <w:rPr>
          <w:rFonts w:hint="eastAsia" w:ascii="仿宋" w:hAnsi="仿宋" w:eastAsia="仿宋" w:cs="仿宋"/>
          <w:color w:val="000000"/>
          <w:kern w:val="0"/>
          <w:sz w:val="32"/>
          <w:szCs w:val="32"/>
          <w:highlight w:val="none"/>
          <w:lang w:val="en-US" w:eastAsia="zh-CN"/>
        </w:rPr>
        <w:t xml:space="preserve"> 在净资产可担保范围内开展交割业务的，集团一般无需提供担保单位。</w:t>
      </w:r>
    </w:p>
    <w:p>
      <w:pPr>
        <w:widowControl/>
        <w:spacing w:line="560" w:lineRule="exact"/>
        <w:ind w:firstLine="640" w:firstLineChars="200"/>
        <w:rPr>
          <w:rFonts w:hint="eastAsia" w:ascii="仿宋" w:hAnsi="仿宋" w:eastAsia="仿宋" w:cs="仿宋"/>
          <w:color w:val="000000"/>
          <w:kern w:val="0"/>
          <w:sz w:val="32"/>
          <w:szCs w:val="32"/>
          <w:highlight w:val="none"/>
          <w:lang w:val="en-US" w:eastAsia="zh-CN"/>
        </w:rPr>
      </w:pPr>
      <w:r>
        <w:rPr>
          <w:rFonts w:hint="eastAsia" w:ascii="仿宋" w:hAnsi="仿宋" w:eastAsia="仿宋" w:cs="仿宋"/>
          <w:color w:val="000000"/>
          <w:kern w:val="0"/>
          <w:sz w:val="32"/>
          <w:szCs w:val="32"/>
          <w:highlight w:val="none"/>
          <w:lang w:val="en-US" w:eastAsia="zh-CN"/>
        </w:rPr>
        <w:t>当市场风险明显增大或集团出现重大事项变更等情况，经交易所评估，可能影响集团承担交割库违约的全部责任的能力时，交易所有权要求集团提供担保单位。</w:t>
      </w:r>
    </w:p>
    <w:p>
      <w:pPr>
        <w:widowControl/>
        <w:spacing w:line="560" w:lineRule="exact"/>
        <w:ind w:firstLine="642" w:firstLineChars="200"/>
        <w:rPr>
          <w:rFonts w:hint="default" w:ascii="仿宋" w:hAnsi="仿宋" w:eastAsia="仿宋" w:cs="仿宋"/>
          <w:color w:val="000000"/>
          <w:kern w:val="0"/>
          <w:sz w:val="32"/>
          <w:szCs w:val="32"/>
          <w:highlight w:val="none"/>
          <w:lang w:val="en-US" w:eastAsia="zh-CN"/>
        </w:rPr>
      </w:pPr>
      <w:r>
        <w:rPr>
          <w:rFonts w:hint="eastAsia" w:ascii="仿宋" w:hAnsi="仿宋" w:eastAsia="仿宋" w:cs="仿宋"/>
          <w:b/>
          <w:bCs/>
          <w:color w:val="000000"/>
          <w:kern w:val="0"/>
          <w:sz w:val="32"/>
          <w:szCs w:val="32"/>
          <w:highlight w:val="none"/>
          <w:lang w:val="en-US" w:eastAsia="zh-CN"/>
        </w:rPr>
        <w:t>第十条</w:t>
      </w:r>
      <w:r>
        <w:rPr>
          <w:rFonts w:hint="eastAsia" w:ascii="仿宋" w:hAnsi="仿宋" w:eastAsia="仿宋" w:cs="仿宋"/>
          <w:color w:val="000000"/>
          <w:kern w:val="0"/>
          <w:sz w:val="32"/>
          <w:szCs w:val="32"/>
          <w:highlight w:val="none"/>
          <w:lang w:val="en-US" w:eastAsia="zh-CN"/>
        </w:rPr>
        <w:t xml:space="preserve"> 集团及交割库提交的所有信息，应当真实、准确、完整，不得有虚假记载、误导性陈述或者重大遗漏。</w:t>
      </w:r>
    </w:p>
    <w:p>
      <w:pPr>
        <w:widowControl/>
        <w:spacing w:before="156" w:beforeLines="50" w:line="560" w:lineRule="exact"/>
        <w:jc w:val="center"/>
        <w:rPr>
          <w:rFonts w:hint="eastAsia" w:ascii="仿宋" w:hAnsi="仿宋" w:eastAsia="仿宋" w:cs="仿宋"/>
          <w:b/>
          <w:bCs/>
          <w:color w:val="000000"/>
          <w:kern w:val="0"/>
          <w:sz w:val="32"/>
          <w:szCs w:val="32"/>
          <w:highlight w:val="none"/>
        </w:rPr>
      </w:pPr>
      <w:bookmarkStart w:id="3" w:name="RANGE!C41"/>
      <w:r>
        <w:rPr>
          <w:rFonts w:hint="eastAsia" w:ascii="仿宋" w:hAnsi="仿宋" w:eastAsia="仿宋" w:cs="仿宋"/>
          <w:b/>
          <w:bCs/>
          <w:color w:val="000000"/>
          <w:kern w:val="0"/>
          <w:sz w:val="32"/>
          <w:szCs w:val="32"/>
          <w:highlight w:val="none"/>
        </w:rPr>
        <w:t>第</w:t>
      </w:r>
      <w:r>
        <w:rPr>
          <w:rFonts w:hint="eastAsia" w:ascii="仿宋" w:hAnsi="仿宋" w:eastAsia="仿宋" w:cs="仿宋"/>
          <w:b/>
          <w:bCs/>
          <w:color w:val="000000"/>
          <w:kern w:val="0"/>
          <w:sz w:val="32"/>
          <w:szCs w:val="32"/>
          <w:highlight w:val="none"/>
          <w:lang w:eastAsia="zh-CN"/>
        </w:rPr>
        <w:t>三节</w:t>
      </w:r>
      <w:r>
        <w:rPr>
          <w:rFonts w:hint="eastAsia" w:ascii="仿宋" w:hAnsi="仿宋" w:eastAsia="仿宋" w:cs="仿宋"/>
          <w:b/>
          <w:bCs/>
          <w:color w:val="000000"/>
          <w:kern w:val="0"/>
          <w:sz w:val="32"/>
          <w:szCs w:val="32"/>
          <w:highlight w:val="none"/>
        </w:rPr>
        <w:t xml:space="preserve">  设立程序</w:t>
      </w:r>
      <w:bookmarkEnd w:id="3"/>
    </w:p>
    <w:p>
      <w:pPr>
        <w:widowControl/>
        <w:spacing w:line="560" w:lineRule="exact"/>
        <w:ind w:firstLine="642"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b/>
          <w:color w:val="000000"/>
          <w:kern w:val="0"/>
          <w:sz w:val="32"/>
          <w:szCs w:val="32"/>
          <w:highlight w:val="none"/>
        </w:rPr>
        <w:t>第十</w:t>
      </w:r>
      <w:r>
        <w:rPr>
          <w:rFonts w:hint="eastAsia" w:ascii="仿宋" w:hAnsi="仿宋" w:eastAsia="仿宋" w:cs="仿宋"/>
          <w:b/>
          <w:color w:val="000000"/>
          <w:kern w:val="0"/>
          <w:sz w:val="32"/>
          <w:szCs w:val="32"/>
          <w:highlight w:val="none"/>
          <w:lang w:eastAsia="zh-CN"/>
        </w:rPr>
        <w:t>一</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申请集团交割业务的，应当由拟作为集团的机构向交易所提交申请材料，包括集团</w:t>
      </w:r>
      <w:r>
        <w:rPr>
          <w:rFonts w:hint="eastAsia" w:ascii="仿宋" w:hAnsi="仿宋" w:eastAsia="仿宋" w:cs="仿宋"/>
          <w:color w:val="000000"/>
          <w:kern w:val="0"/>
          <w:sz w:val="32"/>
          <w:szCs w:val="32"/>
          <w:highlight w:val="none"/>
          <w:lang w:eastAsia="zh-CN"/>
        </w:rPr>
        <w:t>及交割库</w:t>
      </w:r>
      <w:r>
        <w:rPr>
          <w:rFonts w:hint="eastAsia" w:ascii="仿宋" w:hAnsi="仿宋" w:eastAsia="仿宋" w:cs="仿宋"/>
          <w:color w:val="000000"/>
          <w:kern w:val="0"/>
          <w:sz w:val="32"/>
          <w:szCs w:val="32"/>
          <w:highlight w:val="none"/>
        </w:rPr>
        <w:t>的所有材料。</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第十</w:t>
      </w:r>
      <w:r>
        <w:rPr>
          <w:rFonts w:hint="eastAsia" w:ascii="仿宋" w:hAnsi="仿宋" w:eastAsia="仿宋" w:cs="仿宋"/>
          <w:b/>
          <w:color w:val="000000"/>
          <w:kern w:val="0"/>
          <w:sz w:val="32"/>
          <w:szCs w:val="32"/>
          <w:highlight w:val="none"/>
          <w:lang w:eastAsia="zh-CN"/>
        </w:rPr>
        <w:t>二</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交易所收到完整的</w:t>
      </w:r>
      <w:r>
        <w:rPr>
          <w:rFonts w:hint="eastAsia" w:ascii="仿宋" w:hAnsi="仿宋" w:eastAsia="仿宋" w:cs="仿宋"/>
          <w:color w:val="000000"/>
          <w:kern w:val="0"/>
          <w:sz w:val="32"/>
          <w:szCs w:val="32"/>
          <w:highlight w:val="none"/>
          <w:lang w:eastAsia="zh-CN"/>
        </w:rPr>
        <w:t>申请</w:t>
      </w:r>
      <w:r>
        <w:rPr>
          <w:rFonts w:hint="eastAsia" w:ascii="仿宋" w:hAnsi="仿宋" w:eastAsia="仿宋" w:cs="仿宋"/>
          <w:color w:val="000000"/>
          <w:kern w:val="0"/>
          <w:sz w:val="32"/>
          <w:szCs w:val="32"/>
          <w:highlight w:val="none"/>
        </w:rPr>
        <w:t>材料后，应当组织初审。</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通过初审的，交易所可以对</w:t>
      </w:r>
      <w:r>
        <w:rPr>
          <w:rFonts w:hint="eastAsia" w:ascii="仿宋" w:hAnsi="仿宋" w:eastAsia="仿宋" w:cs="仿宋"/>
          <w:color w:val="000000"/>
          <w:kern w:val="0"/>
          <w:sz w:val="32"/>
          <w:szCs w:val="32"/>
          <w:highlight w:val="none"/>
          <w:lang w:eastAsia="zh-CN"/>
        </w:rPr>
        <w:t>集团</w:t>
      </w:r>
      <w:r>
        <w:rPr>
          <w:rFonts w:hint="eastAsia" w:ascii="仿宋" w:hAnsi="仿宋" w:eastAsia="仿宋" w:cs="仿宋"/>
          <w:color w:val="000000"/>
          <w:kern w:val="0"/>
          <w:sz w:val="32"/>
          <w:szCs w:val="32"/>
          <w:highlight w:val="none"/>
        </w:rPr>
        <w:t>及</w:t>
      </w:r>
      <w:r>
        <w:rPr>
          <w:rFonts w:hint="eastAsia" w:ascii="仿宋" w:hAnsi="仿宋" w:eastAsia="仿宋" w:cs="仿宋"/>
          <w:color w:val="000000"/>
          <w:kern w:val="0"/>
          <w:sz w:val="32"/>
          <w:szCs w:val="32"/>
          <w:highlight w:val="none"/>
          <w:lang w:eastAsia="zh-CN"/>
        </w:rPr>
        <w:t>交割库</w:t>
      </w:r>
      <w:r>
        <w:rPr>
          <w:rFonts w:hint="eastAsia" w:ascii="仿宋" w:hAnsi="仿宋" w:eastAsia="仿宋" w:cs="仿宋"/>
          <w:color w:val="000000"/>
          <w:kern w:val="0"/>
          <w:sz w:val="32"/>
          <w:szCs w:val="32"/>
          <w:highlight w:val="none"/>
        </w:rPr>
        <w:t>进行实地调查和评估。交易所根据实地调查、评估结果和</w:t>
      </w:r>
      <w:r>
        <w:rPr>
          <w:rFonts w:hint="eastAsia" w:ascii="仿宋" w:hAnsi="仿宋" w:eastAsia="仿宋" w:cs="仿宋"/>
          <w:color w:val="000000"/>
          <w:kern w:val="0"/>
          <w:sz w:val="32"/>
          <w:szCs w:val="32"/>
          <w:highlight w:val="none"/>
          <w:lang w:eastAsia="zh-CN"/>
        </w:rPr>
        <w:t>交易所</w:t>
      </w:r>
      <w:r>
        <w:rPr>
          <w:rFonts w:hint="eastAsia" w:ascii="仿宋" w:hAnsi="仿宋" w:eastAsia="仿宋" w:cs="仿宋"/>
          <w:color w:val="000000"/>
          <w:kern w:val="0"/>
          <w:sz w:val="32"/>
          <w:szCs w:val="32"/>
          <w:highlight w:val="none"/>
        </w:rPr>
        <w:t>业务规则的规定，择优选用。</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第十</w:t>
      </w:r>
      <w:r>
        <w:rPr>
          <w:rFonts w:hint="eastAsia" w:ascii="仿宋" w:hAnsi="仿宋" w:eastAsia="仿宋" w:cs="仿宋"/>
          <w:b/>
          <w:color w:val="000000"/>
          <w:kern w:val="0"/>
          <w:sz w:val="32"/>
          <w:szCs w:val="32"/>
          <w:highlight w:val="none"/>
          <w:lang w:eastAsia="zh-CN"/>
        </w:rPr>
        <w:t>三</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w:t>
      </w:r>
      <w:r>
        <w:rPr>
          <w:rFonts w:hint="eastAsia" w:ascii="仿宋" w:hAnsi="仿宋" w:eastAsia="仿宋" w:cs="仿宋"/>
          <w:color w:val="000000"/>
          <w:kern w:val="0"/>
          <w:sz w:val="32"/>
          <w:szCs w:val="32"/>
          <w:highlight w:val="none"/>
          <w:lang w:eastAsia="zh-CN"/>
        </w:rPr>
        <w:t>获批通过</w:t>
      </w:r>
      <w:r>
        <w:rPr>
          <w:rFonts w:hint="eastAsia" w:ascii="仿宋" w:hAnsi="仿宋" w:eastAsia="仿宋" w:cs="仿宋"/>
          <w:color w:val="000000"/>
          <w:kern w:val="0"/>
          <w:sz w:val="32"/>
          <w:szCs w:val="32"/>
          <w:highlight w:val="none"/>
        </w:rPr>
        <w:t>后，集团应当按要求办理以下事宜：</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一</w:t>
      </w:r>
      <w:r>
        <w:rPr>
          <w:rFonts w:hint="eastAsia" w:ascii="仿宋" w:hAnsi="仿宋" w:eastAsia="仿宋" w:cs="仿宋"/>
          <w:color w:val="000000"/>
          <w:kern w:val="0"/>
          <w:sz w:val="32"/>
          <w:szCs w:val="32"/>
          <w:highlight w:val="none"/>
        </w:rPr>
        <w:t>）集团</w:t>
      </w:r>
      <w:r>
        <w:rPr>
          <w:rFonts w:hint="eastAsia" w:ascii="仿宋" w:hAnsi="仿宋" w:eastAsia="仿宋" w:cs="仿宋"/>
          <w:color w:val="000000"/>
          <w:kern w:val="0"/>
          <w:sz w:val="32"/>
          <w:szCs w:val="32"/>
          <w:highlight w:val="none"/>
          <w:lang w:eastAsia="zh-CN"/>
        </w:rPr>
        <w:t>及交割库</w:t>
      </w:r>
      <w:r>
        <w:rPr>
          <w:rFonts w:hint="eastAsia" w:ascii="仿宋" w:hAnsi="仿宋" w:eastAsia="仿宋" w:cs="仿宋"/>
          <w:color w:val="000000"/>
          <w:kern w:val="0"/>
          <w:sz w:val="32"/>
          <w:szCs w:val="32"/>
          <w:highlight w:val="none"/>
        </w:rPr>
        <w:t>与交易所签署集团交割业务协议</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二</w:t>
      </w:r>
      <w:r>
        <w:rPr>
          <w:rFonts w:hint="eastAsia" w:ascii="仿宋" w:hAnsi="仿宋" w:eastAsia="仿宋" w:cs="仿宋"/>
          <w:color w:val="000000"/>
          <w:kern w:val="0"/>
          <w:sz w:val="32"/>
          <w:szCs w:val="32"/>
          <w:highlight w:val="none"/>
        </w:rPr>
        <w:t>）向交易所备案指定办理标准仓单业务的承办部门（或者机构）负责人、经办人和经办人的授权书</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（三）督促交割库按《郑州商品交易所指定商品交割仓库管理办法》《郑州商品交易所指定商品交割厂库管理办法》等规定办理取得仓库、厂库资格的其他相关事宜；</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四</w:t>
      </w:r>
      <w:r>
        <w:rPr>
          <w:rFonts w:hint="eastAsia" w:ascii="仿宋" w:hAnsi="仿宋" w:eastAsia="仿宋" w:cs="仿宋"/>
          <w:color w:val="000000"/>
          <w:kern w:val="0"/>
          <w:sz w:val="32"/>
          <w:szCs w:val="32"/>
          <w:highlight w:val="none"/>
        </w:rPr>
        <w:t>）交易所规定的其他事宜。</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第十</w:t>
      </w:r>
      <w:r>
        <w:rPr>
          <w:rFonts w:hint="eastAsia" w:ascii="仿宋" w:hAnsi="仿宋" w:eastAsia="仿宋" w:cs="仿宋"/>
          <w:b/>
          <w:color w:val="000000"/>
          <w:kern w:val="0"/>
          <w:sz w:val="32"/>
          <w:szCs w:val="32"/>
          <w:highlight w:val="none"/>
          <w:lang w:eastAsia="zh-CN"/>
        </w:rPr>
        <w:t>四</w:t>
      </w:r>
      <w:r>
        <w:rPr>
          <w:rFonts w:hint="eastAsia" w:ascii="仿宋" w:hAnsi="仿宋" w:eastAsia="仿宋" w:cs="仿宋"/>
          <w:b/>
          <w:color w:val="000000"/>
          <w:kern w:val="0"/>
          <w:sz w:val="32"/>
          <w:szCs w:val="32"/>
          <w:highlight w:val="none"/>
        </w:rPr>
        <w:t xml:space="preserve">条 </w:t>
      </w:r>
      <w:r>
        <w:rPr>
          <w:rFonts w:hint="eastAsia" w:ascii="仿宋" w:hAnsi="仿宋" w:eastAsia="仿宋" w:cs="仿宋"/>
          <w:color w:val="000000"/>
          <w:kern w:val="0"/>
          <w:sz w:val="32"/>
          <w:szCs w:val="32"/>
          <w:highlight w:val="none"/>
        </w:rPr>
        <w:t>集团可以根据市场情况和业务发展需要，申请增加或者减少</w:t>
      </w:r>
      <w:r>
        <w:rPr>
          <w:rFonts w:hint="eastAsia" w:ascii="仿宋" w:hAnsi="仿宋" w:eastAsia="仿宋" w:cs="仿宋"/>
          <w:color w:val="000000"/>
          <w:kern w:val="0"/>
          <w:sz w:val="32"/>
          <w:szCs w:val="32"/>
          <w:highlight w:val="none"/>
          <w:lang w:eastAsia="zh-CN"/>
        </w:rPr>
        <w:t>交割库</w:t>
      </w:r>
      <w:r>
        <w:rPr>
          <w:rFonts w:hint="eastAsia" w:ascii="仿宋" w:hAnsi="仿宋" w:eastAsia="仿宋" w:cs="仿宋"/>
          <w:color w:val="000000"/>
          <w:kern w:val="0"/>
          <w:sz w:val="32"/>
          <w:szCs w:val="32"/>
          <w:highlight w:val="none"/>
        </w:rPr>
        <w:t>。</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集团申请增加交割库时，需提供本办法要求的关于交割库的申请材料。</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交易所按照本节设立程序进行审批。</w:t>
      </w:r>
    </w:p>
    <w:p>
      <w:pPr>
        <w:widowControl/>
        <w:spacing w:line="560" w:lineRule="exact"/>
        <w:ind w:firstLine="642"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b/>
          <w:bCs/>
          <w:color w:val="000000"/>
          <w:kern w:val="0"/>
          <w:sz w:val="32"/>
          <w:szCs w:val="32"/>
          <w:highlight w:val="none"/>
          <w:lang w:eastAsia="zh-CN"/>
        </w:rPr>
        <w:t>第十五条</w:t>
      </w:r>
      <w:r>
        <w:rPr>
          <w:rFonts w:hint="eastAsia" w:ascii="仿宋" w:hAnsi="仿宋" w:eastAsia="仿宋" w:cs="仿宋"/>
          <w:color w:val="000000"/>
          <w:kern w:val="0"/>
          <w:sz w:val="32"/>
          <w:szCs w:val="32"/>
          <w:highlight w:val="none"/>
          <w:lang w:val="en-US" w:eastAsia="zh-CN"/>
        </w:rPr>
        <w:t xml:space="preserve"> </w:t>
      </w:r>
      <w:r>
        <w:rPr>
          <w:rFonts w:hint="eastAsia" w:ascii="仿宋" w:hAnsi="仿宋" w:eastAsia="仿宋" w:cs="仿宋"/>
          <w:color w:val="000000"/>
          <w:kern w:val="0"/>
          <w:sz w:val="32"/>
          <w:szCs w:val="32"/>
          <w:highlight w:val="none"/>
          <w:lang w:eastAsia="zh-CN"/>
        </w:rPr>
        <w:t>集团可以根据市场需要和集团经营情况，增加或减少交收库。</w:t>
      </w:r>
    </w:p>
    <w:p>
      <w:pPr>
        <w:widowControl/>
        <w:spacing w:line="560" w:lineRule="exact"/>
        <w:ind w:firstLine="640" w:firstLineChars="200"/>
        <w:rPr>
          <w:rFonts w:hint="default" w:ascii="仿宋" w:hAnsi="仿宋" w:eastAsia="仿宋" w:cs="仿宋"/>
          <w:color w:val="000000"/>
          <w:kern w:val="0"/>
          <w:sz w:val="32"/>
          <w:szCs w:val="32"/>
          <w:highlight w:val="none"/>
          <w:lang w:val="en-US" w:eastAsia="zh-CN"/>
        </w:rPr>
      </w:pPr>
      <w:r>
        <w:rPr>
          <w:rFonts w:hint="eastAsia" w:ascii="仿宋" w:hAnsi="仿宋" w:eastAsia="仿宋" w:cs="仿宋"/>
          <w:color w:val="000000"/>
          <w:kern w:val="0"/>
          <w:sz w:val="32"/>
          <w:szCs w:val="32"/>
          <w:highlight w:val="none"/>
          <w:lang w:eastAsia="zh-CN"/>
        </w:rPr>
        <w:t>增加交收库的，需提供本办法要求的相关材料。</w:t>
      </w:r>
    </w:p>
    <w:p>
      <w:pPr>
        <w:widowControl/>
        <w:spacing w:line="560" w:lineRule="exact"/>
        <w:ind w:firstLine="642" w:firstLineChars="200"/>
        <w:rPr>
          <w:rFonts w:hint="default" w:ascii="仿宋" w:hAnsi="仿宋" w:eastAsia="仿宋" w:cs="仿宋"/>
          <w:color w:val="000000"/>
          <w:kern w:val="0"/>
          <w:sz w:val="32"/>
          <w:szCs w:val="32"/>
          <w:highlight w:val="none"/>
          <w:lang w:val="en-US" w:eastAsia="zh-CN"/>
        </w:rPr>
      </w:pPr>
      <w:r>
        <w:rPr>
          <w:rFonts w:hint="eastAsia" w:ascii="仿宋" w:hAnsi="仿宋" w:eastAsia="仿宋" w:cs="仿宋"/>
          <w:b/>
          <w:bCs/>
          <w:color w:val="000000"/>
          <w:kern w:val="0"/>
          <w:sz w:val="32"/>
          <w:szCs w:val="32"/>
          <w:highlight w:val="none"/>
          <w:lang w:eastAsia="zh-CN"/>
        </w:rPr>
        <w:t>第十六</w:t>
      </w:r>
      <w:r>
        <w:rPr>
          <w:rFonts w:hint="eastAsia" w:ascii="仿宋" w:hAnsi="仿宋" w:eastAsia="仿宋" w:cs="仿宋"/>
          <w:b/>
          <w:bCs/>
          <w:color w:val="000000"/>
          <w:kern w:val="0"/>
          <w:sz w:val="32"/>
          <w:szCs w:val="32"/>
          <w:highlight w:val="none"/>
          <w:lang w:val="en-US" w:eastAsia="zh-CN"/>
        </w:rPr>
        <w:t>条</w:t>
      </w:r>
      <w:r>
        <w:rPr>
          <w:rFonts w:hint="eastAsia" w:ascii="仿宋" w:hAnsi="仿宋" w:eastAsia="仿宋" w:cs="仿宋"/>
          <w:color w:val="000000"/>
          <w:kern w:val="0"/>
          <w:sz w:val="32"/>
          <w:szCs w:val="32"/>
          <w:highlight w:val="none"/>
          <w:lang w:val="en-US" w:eastAsia="zh-CN"/>
        </w:rPr>
        <w:t xml:space="preserve"> 交易所可以根据市场情况，调整集团交割库和交收库的数量及构成。</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第十</w:t>
      </w:r>
      <w:r>
        <w:rPr>
          <w:rFonts w:hint="eastAsia" w:ascii="仿宋" w:hAnsi="仿宋" w:eastAsia="仿宋" w:cs="仿宋"/>
          <w:b/>
          <w:color w:val="000000"/>
          <w:kern w:val="0"/>
          <w:sz w:val="32"/>
          <w:szCs w:val="32"/>
          <w:highlight w:val="none"/>
          <w:lang w:eastAsia="zh-CN"/>
        </w:rPr>
        <w:t>七</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交易所公布集团交割业务设库机构相关信息。</w:t>
      </w:r>
    </w:p>
    <w:p>
      <w:pPr>
        <w:widowControl/>
        <w:spacing w:before="156" w:beforeLines="50" w:line="560" w:lineRule="exact"/>
        <w:jc w:val="center"/>
        <w:rPr>
          <w:rFonts w:hint="eastAsia" w:ascii="黑体" w:hAnsi="黑体" w:eastAsia="黑体" w:cs="黑体"/>
          <w:color w:val="000000"/>
          <w:kern w:val="0"/>
          <w:sz w:val="32"/>
          <w:szCs w:val="32"/>
          <w:highlight w:val="none"/>
        </w:rPr>
      </w:pPr>
      <w:bookmarkStart w:id="4" w:name="RANGE!C52"/>
      <w:r>
        <w:rPr>
          <w:rFonts w:hint="eastAsia" w:ascii="黑体" w:hAnsi="黑体" w:eastAsia="黑体" w:cs="黑体"/>
          <w:color w:val="000000"/>
          <w:kern w:val="0"/>
          <w:sz w:val="32"/>
          <w:szCs w:val="32"/>
          <w:highlight w:val="none"/>
        </w:rPr>
        <w:t>第</w:t>
      </w:r>
      <w:r>
        <w:rPr>
          <w:rFonts w:hint="eastAsia" w:ascii="黑体" w:hAnsi="黑体" w:eastAsia="黑体" w:cs="黑体"/>
          <w:color w:val="000000"/>
          <w:kern w:val="0"/>
          <w:sz w:val="32"/>
          <w:szCs w:val="32"/>
          <w:highlight w:val="none"/>
          <w:lang w:eastAsia="zh-CN"/>
        </w:rPr>
        <w:t>三</w:t>
      </w:r>
      <w:r>
        <w:rPr>
          <w:rFonts w:hint="eastAsia" w:ascii="黑体" w:hAnsi="黑体" w:eastAsia="黑体" w:cs="黑体"/>
          <w:color w:val="000000"/>
          <w:kern w:val="0"/>
          <w:sz w:val="32"/>
          <w:szCs w:val="32"/>
          <w:highlight w:val="none"/>
        </w:rPr>
        <w:t>章  业务管理</w:t>
      </w:r>
      <w:bookmarkEnd w:id="4"/>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第十</w:t>
      </w:r>
      <w:r>
        <w:rPr>
          <w:rFonts w:hint="eastAsia" w:ascii="仿宋" w:hAnsi="仿宋" w:eastAsia="仿宋" w:cs="仿宋"/>
          <w:b/>
          <w:color w:val="000000"/>
          <w:kern w:val="0"/>
          <w:sz w:val="32"/>
          <w:szCs w:val="32"/>
          <w:highlight w:val="none"/>
          <w:lang w:eastAsia="zh-CN"/>
        </w:rPr>
        <w:t>八</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集团享有以下权利：</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（一）按照交易所规定和</w:t>
      </w:r>
      <w:r>
        <w:rPr>
          <w:rFonts w:hint="eastAsia" w:ascii="仿宋" w:hAnsi="仿宋" w:eastAsia="仿宋" w:cs="仿宋"/>
          <w:color w:val="000000"/>
          <w:kern w:val="0"/>
          <w:sz w:val="32"/>
          <w:szCs w:val="32"/>
          <w:highlight w:val="none"/>
          <w:lang w:eastAsia="zh-CN"/>
        </w:rPr>
        <w:t>协议</w:t>
      </w:r>
      <w:r>
        <w:rPr>
          <w:rFonts w:hint="eastAsia" w:ascii="仿宋" w:hAnsi="仿宋" w:eastAsia="仿宋" w:cs="仿宋"/>
          <w:color w:val="000000"/>
          <w:kern w:val="0"/>
          <w:sz w:val="32"/>
          <w:szCs w:val="32"/>
          <w:highlight w:val="none"/>
        </w:rPr>
        <w:t>约定管理</w:t>
      </w:r>
      <w:r>
        <w:rPr>
          <w:rFonts w:hint="eastAsia" w:ascii="仿宋" w:hAnsi="仿宋" w:eastAsia="仿宋" w:cs="仿宋"/>
          <w:color w:val="000000"/>
          <w:kern w:val="0"/>
          <w:sz w:val="32"/>
          <w:szCs w:val="32"/>
          <w:highlight w:val="none"/>
          <w:lang w:eastAsia="zh-CN"/>
        </w:rPr>
        <w:t>交割库和交收库</w:t>
      </w:r>
      <w:r>
        <w:rPr>
          <w:rFonts w:hint="eastAsia" w:ascii="仿宋" w:hAnsi="仿宋" w:eastAsia="仿宋" w:cs="仿宋"/>
          <w:color w:val="000000"/>
          <w:kern w:val="0"/>
          <w:sz w:val="32"/>
          <w:szCs w:val="32"/>
          <w:highlight w:val="none"/>
        </w:rPr>
        <w:t>，可以申请增加或者减少</w:t>
      </w:r>
      <w:r>
        <w:rPr>
          <w:rFonts w:hint="eastAsia" w:ascii="仿宋" w:hAnsi="仿宋" w:eastAsia="仿宋" w:cs="仿宋"/>
          <w:color w:val="000000"/>
          <w:kern w:val="0"/>
          <w:sz w:val="32"/>
          <w:szCs w:val="32"/>
          <w:highlight w:val="none"/>
          <w:lang w:eastAsia="zh-CN"/>
        </w:rPr>
        <w:t>交割库和交收库</w:t>
      </w:r>
      <w:r>
        <w:rPr>
          <w:rFonts w:hint="eastAsia" w:ascii="仿宋" w:hAnsi="仿宋" w:eastAsia="仿宋" w:cs="仿宋"/>
          <w:color w:val="000000"/>
          <w:kern w:val="0"/>
          <w:sz w:val="32"/>
          <w:szCs w:val="32"/>
          <w:highlight w:val="none"/>
        </w:rPr>
        <w:t>；</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（二）</w:t>
      </w:r>
      <w:r>
        <w:rPr>
          <w:rFonts w:hint="eastAsia" w:ascii="仿宋" w:hAnsi="仿宋" w:eastAsia="仿宋" w:cs="仿宋"/>
          <w:color w:val="000000"/>
          <w:kern w:val="0"/>
          <w:sz w:val="32"/>
          <w:szCs w:val="32"/>
          <w:highlight w:val="none"/>
          <w:lang w:eastAsia="zh-CN"/>
        </w:rPr>
        <w:t>查询交割库仓单注册位置等交割业务相关信息</w:t>
      </w:r>
      <w:r>
        <w:rPr>
          <w:rFonts w:hint="eastAsia" w:ascii="仿宋" w:hAnsi="仿宋" w:eastAsia="仿宋" w:cs="仿宋"/>
          <w:color w:val="000000"/>
          <w:kern w:val="0"/>
          <w:sz w:val="32"/>
          <w:szCs w:val="32"/>
          <w:highlight w:val="none"/>
        </w:rPr>
        <w:t>；</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（三）确定交收库的提货升贴水、可提货量以及对应的交割库；</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四</w:t>
      </w:r>
      <w:r>
        <w:rPr>
          <w:rFonts w:hint="eastAsia" w:ascii="仿宋" w:hAnsi="仿宋" w:eastAsia="仿宋" w:cs="仿宋"/>
          <w:color w:val="000000"/>
          <w:kern w:val="0"/>
          <w:sz w:val="32"/>
          <w:szCs w:val="32"/>
          <w:highlight w:val="none"/>
        </w:rPr>
        <w:t>）对交易所制定的有关实物交割的规定</w:t>
      </w:r>
      <w:r>
        <w:rPr>
          <w:rFonts w:hint="eastAsia" w:ascii="仿宋" w:hAnsi="仿宋" w:eastAsia="仿宋" w:cs="仿宋"/>
          <w:color w:val="000000"/>
          <w:kern w:val="0"/>
          <w:sz w:val="32"/>
          <w:szCs w:val="32"/>
          <w:highlight w:val="none"/>
          <w:lang w:eastAsia="zh-CN"/>
        </w:rPr>
        <w:t>提出</w:t>
      </w:r>
      <w:r>
        <w:rPr>
          <w:rFonts w:hint="eastAsia" w:ascii="仿宋" w:hAnsi="仿宋" w:eastAsia="仿宋" w:cs="仿宋"/>
          <w:color w:val="000000"/>
          <w:kern w:val="0"/>
          <w:sz w:val="32"/>
          <w:szCs w:val="32"/>
          <w:highlight w:val="none"/>
        </w:rPr>
        <w:t>建议；</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五</w:t>
      </w:r>
      <w:r>
        <w:rPr>
          <w:rFonts w:hint="eastAsia" w:ascii="仿宋" w:hAnsi="仿宋" w:eastAsia="仿宋" w:cs="仿宋"/>
          <w:color w:val="000000"/>
          <w:kern w:val="0"/>
          <w:sz w:val="32"/>
          <w:szCs w:val="32"/>
          <w:highlight w:val="none"/>
        </w:rPr>
        <w:t>）交易所业务规则和集团交割业务协议规定的其他权利。</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第十</w:t>
      </w:r>
      <w:r>
        <w:rPr>
          <w:rFonts w:hint="eastAsia" w:ascii="仿宋" w:hAnsi="仿宋" w:eastAsia="仿宋" w:cs="仿宋"/>
          <w:b/>
          <w:color w:val="000000"/>
          <w:kern w:val="0"/>
          <w:sz w:val="32"/>
          <w:szCs w:val="32"/>
          <w:highlight w:val="none"/>
          <w:lang w:eastAsia="zh-CN"/>
        </w:rPr>
        <w:t>九</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集团应当承担以下义务：</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（一）按照交易所规定，科学有效管理集团交割业务，对</w:t>
      </w:r>
      <w:r>
        <w:rPr>
          <w:rFonts w:hint="eastAsia" w:ascii="仿宋" w:hAnsi="仿宋" w:eastAsia="仿宋" w:cs="仿宋"/>
          <w:color w:val="000000"/>
          <w:kern w:val="0"/>
          <w:sz w:val="32"/>
          <w:szCs w:val="32"/>
          <w:highlight w:val="none"/>
          <w:lang w:eastAsia="zh-CN"/>
        </w:rPr>
        <w:t>交割库和交收库</w:t>
      </w:r>
      <w:r>
        <w:rPr>
          <w:rFonts w:hint="eastAsia" w:ascii="仿宋" w:hAnsi="仿宋" w:eastAsia="仿宋" w:cs="仿宋"/>
          <w:color w:val="000000"/>
          <w:kern w:val="0"/>
          <w:sz w:val="32"/>
          <w:szCs w:val="32"/>
          <w:highlight w:val="none"/>
        </w:rPr>
        <w:t>的相关业务进行监督管理</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rPr>
        <w:t>（二）</w:t>
      </w:r>
      <w:r>
        <w:rPr>
          <w:rFonts w:hint="eastAsia" w:ascii="仿宋" w:hAnsi="仿宋" w:eastAsia="仿宋" w:cs="仿宋"/>
          <w:color w:val="000000"/>
          <w:kern w:val="0"/>
          <w:sz w:val="32"/>
          <w:szCs w:val="32"/>
          <w:highlight w:val="none"/>
          <w:lang w:eastAsia="zh-CN"/>
        </w:rPr>
        <w:t>及时发布交收库提货升贴水、可提货量及对应的交割库，为对应交割库的标准仓单持有人提供异地提货等交收服务；</w:t>
      </w:r>
    </w:p>
    <w:p>
      <w:pPr>
        <w:widowControl/>
        <w:spacing w:line="560" w:lineRule="exact"/>
        <w:ind w:firstLine="640"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color w:val="000000"/>
          <w:kern w:val="0"/>
          <w:sz w:val="32"/>
          <w:szCs w:val="32"/>
          <w:highlight w:val="none"/>
          <w:lang w:eastAsia="zh-CN"/>
        </w:rPr>
        <w:t>（三）</w:t>
      </w:r>
      <w:r>
        <w:rPr>
          <w:rFonts w:hint="eastAsia" w:ascii="仿宋" w:hAnsi="仿宋" w:eastAsia="仿宋" w:cs="仿宋"/>
          <w:color w:val="000000"/>
          <w:kern w:val="0"/>
          <w:sz w:val="32"/>
          <w:szCs w:val="32"/>
          <w:highlight w:val="none"/>
        </w:rPr>
        <w:t>参加交易所组织的年审，接受交易所监督管理，及时向交易所提供有关情况</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四</w:t>
      </w:r>
      <w:r>
        <w:rPr>
          <w:rFonts w:hint="eastAsia" w:ascii="仿宋" w:hAnsi="仿宋" w:eastAsia="仿宋" w:cs="仿宋"/>
          <w:color w:val="000000"/>
          <w:kern w:val="0"/>
          <w:sz w:val="32"/>
          <w:szCs w:val="32"/>
          <w:highlight w:val="none"/>
        </w:rPr>
        <w:t>）保守与集团交割业务有关的商业秘密，遵守交易所业务规则规定和集团交割业务协议的约定</w:t>
      </w:r>
      <w:r>
        <w:rPr>
          <w:rFonts w:hint="eastAsia" w:ascii="仿宋" w:hAnsi="仿宋" w:eastAsia="仿宋" w:cs="仿宋"/>
          <w:color w:val="000000"/>
          <w:kern w:val="0"/>
          <w:sz w:val="32"/>
          <w:szCs w:val="32"/>
          <w:highlight w:val="none"/>
          <w:lang w:eastAsia="zh-CN"/>
        </w:rPr>
        <w:t>。</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二十</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w:t>
      </w:r>
      <w:r>
        <w:rPr>
          <w:rFonts w:hint="eastAsia" w:ascii="仿宋" w:hAnsi="仿宋" w:eastAsia="仿宋" w:cs="仿宋"/>
          <w:color w:val="000000"/>
          <w:kern w:val="0"/>
          <w:sz w:val="32"/>
          <w:szCs w:val="32"/>
          <w:highlight w:val="none"/>
          <w:lang w:eastAsia="zh-CN"/>
        </w:rPr>
        <w:t>交割库的</w:t>
      </w:r>
      <w:r>
        <w:rPr>
          <w:rFonts w:hint="eastAsia" w:ascii="仿宋" w:hAnsi="仿宋" w:eastAsia="仿宋" w:cs="仿宋"/>
          <w:color w:val="000000"/>
          <w:kern w:val="0"/>
          <w:sz w:val="32"/>
          <w:szCs w:val="32"/>
          <w:highlight w:val="none"/>
        </w:rPr>
        <w:t>权利与义务按照集团交割业务协议</w:t>
      </w:r>
      <w:r>
        <w:rPr>
          <w:rFonts w:hint="eastAsia" w:ascii="仿宋" w:hAnsi="仿宋" w:eastAsia="仿宋" w:cs="仿宋"/>
          <w:color w:val="000000"/>
          <w:kern w:val="0"/>
          <w:sz w:val="32"/>
          <w:szCs w:val="32"/>
          <w:highlight w:val="none"/>
          <w:lang w:eastAsia="zh-CN"/>
        </w:rPr>
        <w:t>及</w:t>
      </w: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仓库</w:t>
      </w:r>
      <w:r>
        <w:rPr>
          <w:rFonts w:hint="eastAsia" w:ascii="仿宋" w:hAnsi="仿宋" w:eastAsia="仿宋" w:cs="仿宋"/>
          <w:color w:val="000000"/>
          <w:kern w:val="0"/>
          <w:sz w:val="32"/>
          <w:szCs w:val="32"/>
          <w:highlight w:val="none"/>
        </w:rPr>
        <w:t>管理办法》《</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厂库</w:t>
      </w:r>
      <w:r>
        <w:rPr>
          <w:rFonts w:hint="eastAsia" w:ascii="仿宋" w:hAnsi="仿宋" w:eastAsia="仿宋" w:cs="仿宋"/>
          <w:color w:val="000000"/>
          <w:kern w:val="0"/>
          <w:sz w:val="32"/>
          <w:szCs w:val="32"/>
          <w:highlight w:val="none"/>
        </w:rPr>
        <w:t>管理办法》</w:t>
      </w:r>
      <w:r>
        <w:rPr>
          <w:rFonts w:hint="eastAsia" w:ascii="仿宋" w:hAnsi="仿宋" w:eastAsia="仿宋" w:cs="仿宋"/>
          <w:color w:val="000000"/>
          <w:kern w:val="0"/>
          <w:sz w:val="32"/>
          <w:szCs w:val="32"/>
          <w:highlight w:val="none"/>
          <w:lang w:eastAsia="zh-CN"/>
        </w:rPr>
        <w:t>等</w:t>
      </w:r>
      <w:r>
        <w:rPr>
          <w:rFonts w:hint="eastAsia" w:ascii="仿宋" w:hAnsi="仿宋" w:eastAsia="仿宋" w:cs="仿宋"/>
          <w:color w:val="000000"/>
          <w:kern w:val="0"/>
          <w:sz w:val="32"/>
          <w:szCs w:val="32"/>
          <w:highlight w:val="none"/>
        </w:rPr>
        <w:t>相关规定执行，</w:t>
      </w:r>
      <w:r>
        <w:rPr>
          <w:rFonts w:hint="eastAsia" w:ascii="仿宋" w:hAnsi="仿宋" w:eastAsia="仿宋" w:cs="仿宋"/>
          <w:color w:val="000000"/>
          <w:kern w:val="0"/>
          <w:sz w:val="32"/>
          <w:szCs w:val="32"/>
          <w:highlight w:val="none"/>
          <w:lang w:eastAsia="zh-CN"/>
        </w:rPr>
        <w:t>并</w:t>
      </w:r>
      <w:r>
        <w:rPr>
          <w:rFonts w:hint="eastAsia" w:ascii="仿宋" w:hAnsi="仿宋" w:eastAsia="仿宋" w:cs="仿宋"/>
          <w:color w:val="000000"/>
          <w:kern w:val="0"/>
          <w:sz w:val="32"/>
          <w:szCs w:val="32"/>
          <w:highlight w:val="none"/>
        </w:rPr>
        <w:t>接受</w:t>
      </w:r>
      <w:r>
        <w:rPr>
          <w:rFonts w:hint="eastAsia" w:ascii="仿宋" w:hAnsi="仿宋" w:eastAsia="仿宋" w:cs="仿宋"/>
          <w:color w:val="000000"/>
          <w:kern w:val="0"/>
          <w:sz w:val="32"/>
          <w:szCs w:val="32"/>
          <w:highlight w:val="none"/>
          <w:lang w:eastAsia="zh-CN"/>
        </w:rPr>
        <w:t>交易所和</w:t>
      </w:r>
      <w:r>
        <w:rPr>
          <w:rFonts w:hint="eastAsia" w:ascii="仿宋" w:hAnsi="仿宋" w:eastAsia="仿宋" w:cs="仿宋"/>
          <w:color w:val="000000"/>
          <w:kern w:val="0"/>
          <w:sz w:val="32"/>
          <w:szCs w:val="32"/>
          <w:highlight w:val="none"/>
        </w:rPr>
        <w:t>集团的监督管理。</w:t>
      </w:r>
    </w:p>
    <w:p>
      <w:pPr>
        <w:widowControl/>
        <w:spacing w:line="560" w:lineRule="exact"/>
        <w:ind w:firstLine="642" w:firstLineChars="200"/>
        <w:rPr>
          <w:rFonts w:hint="default" w:ascii="仿宋" w:hAnsi="仿宋" w:eastAsia="仿宋" w:cs="仿宋"/>
          <w:color w:val="000000"/>
          <w:kern w:val="0"/>
          <w:sz w:val="32"/>
          <w:szCs w:val="32"/>
          <w:highlight w:val="none"/>
          <w:lang w:val="en-US" w:eastAsia="zh-CN"/>
        </w:rPr>
      </w:pPr>
      <w:r>
        <w:rPr>
          <w:rFonts w:hint="eastAsia" w:ascii="仿宋" w:hAnsi="仿宋" w:eastAsia="仿宋" w:cs="仿宋"/>
          <w:b/>
          <w:bCs/>
          <w:color w:val="000000"/>
          <w:kern w:val="0"/>
          <w:sz w:val="32"/>
          <w:szCs w:val="32"/>
          <w:highlight w:val="none"/>
          <w:lang w:val="en-US" w:eastAsia="zh-CN"/>
        </w:rPr>
        <w:t>第二十一条</w:t>
      </w:r>
      <w:r>
        <w:rPr>
          <w:rFonts w:hint="eastAsia" w:ascii="仿宋" w:hAnsi="仿宋" w:eastAsia="仿宋" w:cs="仿宋"/>
          <w:color w:val="000000"/>
          <w:kern w:val="0"/>
          <w:sz w:val="32"/>
          <w:szCs w:val="32"/>
          <w:highlight w:val="none"/>
          <w:lang w:val="en-US" w:eastAsia="zh-CN"/>
        </w:rPr>
        <w:t xml:space="preserve"> 交收库应该接受集团关于交收业务的管理，并按照相关约定提供异地交收等交收服务。</w:t>
      </w:r>
    </w:p>
    <w:p>
      <w:pPr>
        <w:widowControl/>
        <w:spacing w:line="560" w:lineRule="exact"/>
        <w:ind w:firstLine="642" w:firstLineChars="200"/>
        <w:rPr>
          <w:rFonts w:hint="eastAsia" w:ascii="仿宋" w:hAnsi="仿宋" w:eastAsia="仿宋" w:cs="仿宋"/>
          <w:color w:val="000000"/>
          <w:kern w:val="0"/>
          <w:sz w:val="32"/>
          <w:szCs w:val="32"/>
          <w:highlight w:val="none"/>
          <w:lang w:eastAsia="zh-CN"/>
        </w:rPr>
      </w:pPr>
      <w:r>
        <w:rPr>
          <w:rFonts w:hint="eastAsia" w:ascii="仿宋" w:hAnsi="仿宋" w:eastAsia="仿宋" w:cs="仿宋"/>
          <w:b/>
          <w:bCs/>
          <w:color w:val="000000"/>
          <w:kern w:val="0"/>
          <w:sz w:val="32"/>
          <w:szCs w:val="32"/>
          <w:highlight w:val="none"/>
          <w:lang w:eastAsia="zh-CN"/>
        </w:rPr>
        <w:t>第二十二条</w:t>
      </w:r>
      <w:r>
        <w:rPr>
          <w:rFonts w:hint="eastAsia" w:ascii="仿宋" w:hAnsi="仿宋" w:eastAsia="仿宋" w:cs="仿宋"/>
          <w:b w:val="0"/>
          <w:bCs w:val="0"/>
          <w:color w:val="000000"/>
          <w:kern w:val="0"/>
          <w:sz w:val="32"/>
          <w:szCs w:val="32"/>
          <w:highlight w:val="none"/>
          <w:lang w:val="en-US" w:eastAsia="zh-CN"/>
        </w:rPr>
        <w:t xml:space="preserve"> 交易所官方网站公布交收库提货升贴水、可提货量</w:t>
      </w:r>
      <w:r>
        <w:rPr>
          <w:rFonts w:hint="eastAsia" w:ascii="仿宋" w:hAnsi="仿宋" w:eastAsia="仿宋" w:cs="仿宋"/>
          <w:color w:val="000000"/>
          <w:kern w:val="0"/>
          <w:sz w:val="32"/>
          <w:szCs w:val="32"/>
          <w:highlight w:val="none"/>
          <w:lang w:eastAsia="zh-CN"/>
        </w:rPr>
        <w:t>以及对应的交割库。</w:t>
      </w:r>
    </w:p>
    <w:p>
      <w:pPr>
        <w:widowControl/>
        <w:spacing w:line="560" w:lineRule="exact"/>
        <w:ind w:firstLine="640" w:firstLineChars="200"/>
        <w:rPr>
          <w:rFonts w:hint="eastAsia" w:ascii="仿宋" w:hAnsi="仿宋" w:eastAsia="仿宋" w:cs="仿宋"/>
          <w:color w:val="000000"/>
          <w:kern w:val="0"/>
          <w:sz w:val="32"/>
          <w:szCs w:val="32"/>
          <w:highlight w:val="none"/>
          <w:lang w:val="en-US" w:eastAsia="zh-CN"/>
        </w:rPr>
      </w:pPr>
      <w:r>
        <w:rPr>
          <w:rFonts w:hint="eastAsia" w:ascii="仿宋" w:hAnsi="仿宋" w:eastAsia="仿宋" w:cs="仿宋"/>
          <w:color w:val="000000"/>
          <w:kern w:val="0"/>
          <w:sz w:val="32"/>
          <w:szCs w:val="32"/>
          <w:highlight w:val="none"/>
          <w:lang w:eastAsia="zh-CN"/>
        </w:rPr>
        <w:t>集团可动态调整交收库提货升贴水、可</w:t>
      </w:r>
      <w:r>
        <w:rPr>
          <w:rFonts w:hint="eastAsia" w:ascii="仿宋" w:hAnsi="仿宋" w:eastAsia="仿宋" w:cs="仿宋"/>
          <w:b w:val="0"/>
          <w:bCs w:val="0"/>
          <w:color w:val="000000"/>
          <w:kern w:val="0"/>
          <w:sz w:val="32"/>
          <w:szCs w:val="32"/>
          <w:highlight w:val="none"/>
          <w:lang w:val="en-US" w:eastAsia="zh-CN"/>
        </w:rPr>
        <w:t>提货量</w:t>
      </w:r>
      <w:r>
        <w:rPr>
          <w:rFonts w:hint="eastAsia" w:ascii="仿宋" w:hAnsi="仿宋" w:eastAsia="仿宋" w:cs="仿宋"/>
          <w:color w:val="000000"/>
          <w:kern w:val="0"/>
          <w:sz w:val="32"/>
          <w:szCs w:val="32"/>
          <w:highlight w:val="none"/>
          <w:lang w:eastAsia="zh-CN"/>
        </w:rPr>
        <w:t>以及对应的交割库，调整时间为当月第</w:t>
      </w:r>
      <w:r>
        <w:rPr>
          <w:rFonts w:hint="eastAsia" w:ascii="仿宋" w:hAnsi="仿宋" w:eastAsia="仿宋" w:cs="仿宋"/>
          <w:color w:val="000000"/>
          <w:kern w:val="0"/>
          <w:sz w:val="32"/>
          <w:szCs w:val="32"/>
          <w:highlight w:val="none"/>
          <w:lang w:val="en-US" w:eastAsia="zh-CN"/>
        </w:rPr>
        <w:t>10日、第20日前的第一个交易日及当月最后一个交易日或交易所公告的日期。</w:t>
      </w:r>
    </w:p>
    <w:p>
      <w:pPr>
        <w:widowControl/>
        <w:spacing w:line="560" w:lineRule="exact"/>
        <w:ind w:firstLine="642" w:firstLineChars="200"/>
        <w:rPr>
          <w:rFonts w:hint="eastAsia" w:ascii="仿宋" w:hAnsi="仿宋" w:eastAsia="宋体" w:cs="仿宋"/>
          <w:b w:val="0"/>
          <w:bCs w:val="0"/>
          <w:color w:val="000000"/>
          <w:kern w:val="0"/>
          <w:sz w:val="32"/>
          <w:szCs w:val="32"/>
          <w:highlight w:val="yellow"/>
          <w:lang w:val="en-US" w:eastAsia="zh-CN"/>
        </w:rPr>
      </w:pPr>
      <w:r>
        <w:rPr>
          <w:rFonts w:hint="eastAsia" w:ascii="仿宋" w:hAnsi="仿宋" w:eastAsia="仿宋" w:cs="仿宋"/>
          <w:b/>
          <w:bCs/>
          <w:color w:val="000000"/>
          <w:kern w:val="0"/>
          <w:sz w:val="32"/>
          <w:szCs w:val="32"/>
          <w:highlight w:val="none"/>
          <w:lang w:val="en-US" w:eastAsia="zh-CN"/>
        </w:rPr>
        <w:t>第</w:t>
      </w:r>
      <w:r>
        <w:rPr>
          <w:rFonts w:hint="eastAsia" w:ascii="仿宋" w:hAnsi="仿宋" w:eastAsia="仿宋" w:cs="仿宋"/>
          <w:b/>
          <w:bCs/>
          <w:color w:val="000000"/>
          <w:kern w:val="0"/>
          <w:sz w:val="32"/>
          <w:szCs w:val="32"/>
          <w:highlight w:val="none"/>
          <w:lang w:eastAsia="zh-CN"/>
        </w:rPr>
        <w:t>二十三条</w:t>
      </w:r>
      <w:r>
        <w:rPr>
          <w:rFonts w:hint="eastAsia" w:ascii="仿宋" w:hAnsi="仿宋" w:eastAsia="仿宋" w:cs="仿宋"/>
          <w:b w:val="0"/>
          <w:bCs w:val="0"/>
          <w:color w:val="000000"/>
          <w:kern w:val="0"/>
          <w:sz w:val="32"/>
          <w:szCs w:val="32"/>
          <w:highlight w:val="none"/>
          <w:lang w:val="en-US" w:eastAsia="zh-CN"/>
        </w:rPr>
        <w:t xml:space="preserve"> </w:t>
      </w:r>
      <w:r>
        <w:rPr>
          <w:rFonts w:hint="eastAsia" w:ascii="仿宋" w:hAnsi="仿宋" w:eastAsia="仿宋" w:cs="仿宋"/>
          <w:color w:val="000000"/>
          <w:kern w:val="0"/>
          <w:sz w:val="32"/>
          <w:szCs w:val="32"/>
          <w:highlight w:val="none"/>
          <w:lang w:eastAsia="zh-CN"/>
        </w:rPr>
        <w:t>对应交割库的标准仓单持有人</w:t>
      </w:r>
      <w:r>
        <w:rPr>
          <w:rFonts w:hint="eastAsia" w:ascii="仿宋" w:hAnsi="仿宋" w:eastAsia="仿宋" w:cs="仿宋"/>
          <w:b w:val="0"/>
          <w:bCs w:val="0"/>
          <w:color w:val="000000"/>
          <w:kern w:val="0"/>
          <w:sz w:val="32"/>
          <w:szCs w:val="32"/>
          <w:highlight w:val="none"/>
          <w:lang w:val="en-US" w:eastAsia="zh-CN"/>
        </w:rPr>
        <w:t>注销标准仓单后，选择在交收库提货的，交割库</w:t>
      </w:r>
      <w:r>
        <w:rPr>
          <w:rFonts w:hint="eastAsia" w:ascii="仿宋" w:hAnsi="仿宋" w:eastAsia="仿宋" w:cs="仿宋"/>
          <w:color w:val="000000"/>
          <w:kern w:val="0"/>
          <w:sz w:val="32"/>
          <w:szCs w:val="32"/>
          <w:highlight w:val="none"/>
        </w:rPr>
        <w:t>应在交易所开具《提货通知单》</w:t>
      </w:r>
      <w:r>
        <w:rPr>
          <w:rFonts w:hint="eastAsia" w:ascii="仿宋" w:hAnsi="仿宋" w:eastAsia="仿宋" w:cs="仿宋"/>
          <w:color w:val="000000"/>
          <w:kern w:val="0"/>
          <w:sz w:val="32"/>
          <w:szCs w:val="32"/>
          <w:highlight w:val="none"/>
          <w:lang w:eastAsia="zh-CN"/>
        </w:rPr>
        <w:t>有效期</w:t>
      </w:r>
      <w:r>
        <w:rPr>
          <w:rFonts w:hint="eastAsia" w:ascii="仿宋" w:hAnsi="仿宋" w:eastAsia="仿宋" w:cs="仿宋"/>
          <w:color w:val="000000"/>
          <w:kern w:val="0"/>
          <w:sz w:val="32"/>
          <w:szCs w:val="32"/>
          <w:highlight w:val="none"/>
          <w:lang w:val="en-US" w:eastAsia="zh-CN"/>
        </w:rPr>
        <w:t>内</w:t>
      </w:r>
      <w:r>
        <w:rPr>
          <w:rFonts w:hint="eastAsia" w:ascii="仿宋" w:hAnsi="仿宋" w:eastAsia="仿宋" w:cs="仿宋"/>
          <w:color w:val="000000"/>
          <w:kern w:val="0"/>
          <w:sz w:val="32"/>
          <w:szCs w:val="32"/>
          <w:highlight w:val="none"/>
          <w:lang w:eastAsia="zh-CN"/>
        </w:rPr>
        <w:t>与提货人签订</w:t>
      </w:r>
      <w:r>
        <w:rPr>
          <w:rFonts w:hint="eastAsia" w:ascii="仿宋" w:hAnsi="仿宋" w:eastAsia="仿宋" w:cs="仿宋"/>
          <w:color w:val="000000"/>
          <w:kern w:val="0"/>
          <w:sz w:val="32"/>
          <w:szCs w:val="32"/>
          <w:highlight w:val="none"/>
        </w:rPr>
        <w:t>协议交收通知书</w:t>
      </w:r>
      <w:r>
        <w:rPr>
          <w:rFonts w:hint="eastAsia" w:ascii="仿宋" w:hAnsi="仿宋" w:eastAsia="仿宋" w:cs="仿宋"/>
          <w:color w:val="000000"/>
          <w:kern w:val="0"/>
          <w:sz w:val="32"/>
          <w:szCs w:val="32"/>
          <w:highlight w:val="none"/>
          <w:lang w:eastAsia="zh-CN"/>
        </w:rPr>
        <w:t>，</w:t>
      </w:r>
      <w:r>
        <w:rPr>
          <w:rFonts w:hint="eastAsia" w:ascii="仿宋" w:hAnsi="仿宋" w:eastAsia="仿宋" w:cs="仿宋"/>
          <w:color w:val="000000"/>
          <w:kern w:val="0"/>
          <w:sz w:val="32"/>
          <w:szCs w:val="32"/>
          <w:highlight w:val="none"/>
        </w:rPr>
        <w:t>向交易所提交备案</w:t>
      </w:r>
      <w:r>
        <w:rPr>
          <w:rFonts w:hint="eastAsia" w:ascii="仿宋" w:hAnsi="仿宋" w:eastAsia="仿宋" w:cs="仿宋"/>
          <w:color w:val="000000"/>
          <w:kern w:val="0"/>
          <w:sz w:val="32"/>
          <w:szCs w:val="32"/>
          <w:highlight w:val="none"/>
          <w:lang w:eastAsia="zh-CN"/>
        </w:rPr>
        <w:t>并按照与提货人的约定自行结算。</w:t>
      </w:r>
      <w:r>
        <w:rPr>
          <w:rFonts w:hint="default" w:eastAsia="仿宋"/>
          <w:sz w:val="32"/>
          <w:szCs w:val="32"/>
          <w:lang w:eastAsia="zh-CN"/>
        </w:rPr>
        <w:t>由此</w:t>
      </w:r>
      <w:r>
        <w:rPr>
          <w:rFonts w:eastAsia="仿宋"/>
          <w:sz w:val="32"/>
          <w:szCs w:val="32"/>
        </w:rPr>
        <w:t>产生的</w:t>
      </w:r>
      <w:r>
        <w:rPr>
          <w:rFonts w:hint="eastAsia" w:eastAsia="仿宋"/>
          <w:sz w:val="32"/>
          <w:szCs w:val="32"/>
          <w:lang w:eastAsia="zh-CN"/>
        </w:rPr>
        <w:t>纠纷自行解决</w:t>
      </w:r>
      <w:r>
        <w:rPr>
          <w:rFonts w:eastAsia="仿宋"/>
          <w:sz w:val="32"/>
          <w:szCs w:val="32"/>
        </w:rPr>
        <w:t>，</w:t>
      </w:r>
      <w:r>
        <w:rPr>
          <w:rFonts w:hint="eastAsia" w:eastAsia="仿宋"/>
          <w:sz w:val="32"/>
          <w:szCs w:val="32"/>
          <w:lang w:eastAsia="zh-CN"/>
        </w:rPr>
        <w:t>交易所不承担责任</w:t>
      </w:r>
      <w:r>
        <w:rPr>
          <w:rFonts w:hint="eastAsia" w:ascii="仿宋" w:hAnsi="仿宋" w:eastAsia="仿宋" w:cs="仿宋"/>
          <w:color w:val="000000"/>
          <w:kern w:val="0"/>
          <w:sz w:val="32"/>
          <w:szCs w:val="32"/>
          <w:highlight w:val="none"/>
          <w:lang w:eastAsia="zh-CN"/>
        </w:rPr>
        <w:t>。</w:t>
      </w:r>
    </w:p>
    <w:p>
      <w:pPr>
        <w:widowControl/>
        <w:spacing w:before="156" w:beforeLines="50" w:line="560" w:lineRule="exact"/>
        <w:ind w:firstLine="0" w:firstLineChars="0"/>
        <w:jc w:val="center"/>
        <w:rPr>
          <w:rFonts w:hint="eastAsia" w:ascii="黑体" w:hAnsi="黑体" w:eastAsia="黑体" w:cs="黑体"/>
          <w:color w:val="000000"/>
          <w:kern w:val="0"/>
          <w:sz w:val="32"/>
          <w:szCs w:val="32"/>
          <w:highlight w:val="none"/>
          <w:lang w:val="en-US" w:eastAsia="zh-CN"/>
        </w:rPr>
      </w:pPr>
      <w:r>
        <w:rPr>
          <w:rFonts w:hint="eastAsia" w:ascii="黑体" w:hAnsi="黑体" w:eastAsia="黑体" w:cs="黑体"/>
          <w:color w:val="000000"/>
          <w:kern w:val="0"/>
          <w:sz w:val="32"/>
          <w:szCs w:val="32"/>
          <w:highlight w:val="none"/>
          <w:lang w:eastAsia="zh-CN"/>
        </w:rPr>
        <w:t>第四章</w:t>
      </w:r>
      <w:r>
        <w:rPr>
          <w:rFonts w:hint="eastAsia" w:ascii="黑体" w:hAnsi="黑体" w:eastAsia="黑体" w:cs="黑体"/>
          <w:color w:val="000000"/>
          <w:kern w:val="0"/>
          <w:sz w:val="32"/>
          <w:szCs w:val="32"/>
          <w:highlight w:val="none"/>
          <w:lang w:val="en-US" w:eastAsia="zh-CN"/>
        </w:rPr>
        <w:t xml:space="preserve"> 监督管理</w:t>
      </w:r>
    </w:p>
    <w:p>
      <w:pPr>
        <w:pStyle w:val="6"/>
        <w:widowControl/>
        <w:shd w:val="clear" w:color="auto" w:fill="FFFFFF"/>
        <w:spacing w:before="0" w:beforeAutospacing="0" w:after="0" w:afterAutospacing="0" w:line="580" w:lineRule="exact"/>
        <w:ind w:firstLine="642" w:firstLineChars="200"/>
        <w:jc w:val="both"/>
        <w:rPr>
          <w:rFonts w:hint="eastAsia" w:ascii="仿宋" w:hAnsi="仿宋" w:eastAsia="仿宋" w:cs="仿宋"/>
          <w:b w:val="0"/>
          <w:bCs w:val="0"/>
          <w:color w:val="000000"/>
          <w:sz w:val="32"/>
          <w:szCs w:val="32"/>
          <w:highlight w:val="none"/>
          <w:shd w:val="clear" w:color="auto" w:fill="auto"/>
          <w:lang w:val="en-US" w:eastAsia="zh-CN"/>
        </w:rPr>
      </w:pPr>
      <w:r>
        <w:rPr>
          <w:rFonts w:hint="eastAsia" w:ascii="仿宋_GB2312" w:hAnsi="仿宋_GB2312" w:eastAsia="仿宋_GB2312" w:cs="仿宋_GB2312"/>
          <w:b/>
          <w:bCs/>
          <w:sz w:val="32"/>
          <w:szCs w:val="32"/>
          <w:highlight w:val="none"/>
          <w:shd w:val="clear" w:color="auto" w:fill="FFFFFF"/>
          <w:lang w:eastAsia="zh-CN"/>
        </w:rPr>
        <w:t>第二十四</w:t>
      </w:r>
      <w:r>
        <w:rPr>
          <w:rFonts w:hint="eastAsia" w:ascii="仿宋_GB2312" w:hAnsi="仿宋_GB2312" w:eastAsia="仿宋_GB2312" w:cs="仿宋_GB2312"/>
          <w:b/>
          <w:bCs/>
          <w:sz w:val="32"/>
          <w:szCs w:val="32"/>
          <w:highlight w:val="none"/>
          <w:shd w:val="clear" w:color="auto" w:fill="FFFFFF"/>
          <w:lang w:val="en-US" w:eastAsia="zh-CN"/>
        </w:rPr>
        <w:t xml:space="preserve">条 </w:t>
      </w:r>
      <w:r>
        <w:rPr>
          <w:rFonts w:hint="eastAsia" w:ascii="仿宋" w:hAnsi="仿宋" w:eastAsia="仿宋" w:cs="仿宋"/>
          <w:b w:val="0"/>
          <w:bCs w:val="0"/>
          <w:color w:val="000000"/>
          <w:sz w:val="32"/>
          <w:szCs w:val="32"/>
          <w:highlight w:val="none"/>
          <w:shd w:val="clear" w:color="auto" w:fill="auto"/>
          <w:lang w:val="en-US" w:eastAsia="zh-CN"/>
        </w:rPr>
        <w:t>交易所有权组织对集团实行检查、自查，可以委托会员或交易所指定的第三方机构进行检查，并组织对集团的年审。</w:t>
      </w:r>
    </w:p>
    <w:p>
      <w:pPr>
        <w:pStyle w:val="6"/>
        <w:widowControl/>
        <w:shd w:val="clear" w:color="auto" w:fill="FFFFFF"/>
        <w:spacing w:before="0" w:beforeAutospacing="0" w:after="0" w:afterAutospacing="0" w:line="580" w:lineRule="exact"/>
        <w:ind w:firstLine="640" w:firstLineChars="200"/>
        <w:jc w:val="both"/>
      </w:pPr>
      <w:r>
        <w:rPr>
          <w:rFonts w:hint="eastAsia" w:ascii="仿宋" w:hAnsi="仿宋" w:eastAsia="仿宋" w:cs="仿宋"/>
          <w:b w:val="0"/>
          <w:bCs w:val="0"/>
          <w:color w:val="000000"/>
          <w:sz w:val="32"/>
          <w:szCs w:val="32"/>
          <w:highlight w:val="none"/>
          <w:shd w:val="clear" w:color="auto" w:fill="auto"/>
          <w:lang w:val="en-US" w:eastAsia="zh-CN"/>
        </w:rPr>
        <w:t>对交割库的监督管理按《郑州商品交易所指定商品交割仓库管理办法》《郑州商品交易所指定商品交割厂库管理办法》等相关规定执行。</w:t>
      </w:r>
    </w:p>
    <w:p>
      <w:pPr>
        <w:pStyle w:val="6"/>
        <w:widowControl/>
        <w:shd w:val="clear" w:color="auto" w:fill="FFFFFF"/>
        <w:spacing w:before="0" w:beforeAutospacing="0" w:after="0" w:afterAutospacing="0" w:line="580" w:lineRule="exact"/>
        <w:ind w:firstLine="640" w:firstLineChars="200"/>
        <w:jc w:val="both"/>
        <w:rPr>
          <w:rFonts w:hint="default" w:ascii="仿宋" w:hAnsi="仿宋" w:eastAsia="仿宋" w:cs="仿宋"/>
          <w:b w:val="0"/>
          <w:bCs w:val="0"/>
          <w:color w:val="000000"/>
          <w:sz w:val="32"/>
          <w:szCs w:val="32"/>
          <w:highlight w:val="none"/>
          <w:shd w:val="clear" w:color="auto" w:fill="auto"/>
          <w:lang w:val="en-US" w:eastAsia="zh-CN"/>
        </w:rPr>
      </w:pPr>
      <w:r>
        <w:rPr>
          <w:rFonts w:hint="eastAsia" w:ascii="仿宋" w:hAnsi="仿宋" w:eastAsia="仿宋" w:cs="仿宋"/>
          <w:b w:val="0"/>
          <w:bCs w:val="0"/>
          <w:color w:val="000000"/>
          <w:sz w:val="32"/>
          <w:szCs w:val="32"/>
          <w:highlight w:val="none"/>
          <w:shd w:val="clear" w:color="auto" w:fill="auto"/>
          <w:lang w:val="en-US" w:eastAsia="zh-CN"/>
        </w:rPr>
        <w:t>集团和交割库年审所需材料，由集团向交易所提供。</w:t>
      </w:r>
    </w:p>
    <w:p>
      <w:pPr>
        <w:pStyle w:val="6"/>
        <w:widowControl/>
        <w:shd w:val="clear" w:color="auto" w:fill="FFFFFF"/>
        <w:spacing w:before="0" w:beforeAutospacing="0" w:after="0" w:afterAutospacing="0" w:line="580" w:lineRule="exact"/>
        <w:ind w:firstLine="642" w:firstLineChars="200"/>
        <w:jc w:val="both"/>
        <w:rPr>
          <w:rFonts w:hint="eastAsia" w:ascii="仿宋_GB2312" w:hAnsi="仿宋_GB2312" w:eastAsia="仿宋_GB2312" w:cs="仿宋_GB2312"/>
          <w:sz w:val="32"/>
          <w:szCs w:val="32"/>
          <w:highlight w:val="none"/>
          <w:shd w:val="clear" w:color="auto" w:fill="FFFFFF"/>
        </w:rPr>
      </w:pPr>
      <w:r>
        <w:rPr>
          <w:rFonts w:hint="eastAsia" w:ascii="仿宋_GB2312" w:hAnsi="仿宋_GB2312" w:eastAsia="仿宋_GB2312" w:cs="仿宋_GB2312"/>
          <w:b/>
          <w:bCs/>
          <w:sz w:val="32"/>
          <w:szCs w:val="32"/>
          <w:highlight w:val="none"/>
          <w:shd w:val="clear" w:color="auto" w:fill="FFFFFF"/>
        </w:rPr>
        <w:t>第</w:t>
      </w:r>
      <w:r>
        <w:rPr>
          <w:rFonts w:hint="eastAsia" w:ascii="仿宋_GB2312" w:hAnsi="仿宋_GB2312" w:eastAsia="仿宋_GB2312" w:cs="仿宋_GB2312"/>
          <w:b/>
          <w:bCs/>
          <w:sz w:val="32"/>
          <w:szCs w:val="32"/>
          <w:highlight w:val="none"/>
          <w:shd w:val="clear" w:color="auto" w:fill="FFFFFF"/>
          <w:lang w:eastAsia="zh-CN"/>
        </w:rPr>
        <w:t>二</w:t>
      </w:r>
      <w:r>
        <w:rPr>
          <w:rFonts w:hint="eastAsia" w:ascii="仿宋_GB2312" w:hAnsi="仿宋_GB2312" w:eastAsia="仿宋_GB2312" w:cs="仿宋_GB2312"/>
          <w:b/>
          <w:bCs/>
          <w:sz w:val="32"/>
          <w:szCs w:val="32"/>
          <w:highlight w:val="none"/>
          <w:shd w:val="clear" w:color="auto" w:fill="FFFFFF"/>
        </w:rPr>
        <w:t>十</w:t>
      </w:r>
      <w:r>
        <w:rPr>
          <w:rFonts w:hint="eastAsia" w:ascii="仿宋_GB2312" w:hAnsi="仿宋_GB2312" w:eastAsia="仿宋_GB2312" w:cs="仿宋_GB2312"/>
          <w:b/>
          <w:bCs/>
          <w:sz w:val="32"/>
          <w:szCs w:val="32"/>
          <w:highlight w:val="none"/>
          <w:shd w:val="clear" w:color="auto" w:fill="FFFFFF"/>
          <w:lang w:eastAsia="zh-CN"/>
        </w:rPr>
        <w:t>五</w:t>
      </w:r>
      <w:r>
        <w:rPr>
          <w:rFonts w:hint="eastAsia" w:ascii="仿宋_GB2312" w:hAnsi="仿宋_GB2312" w:eastAsia="仿宋_GB2312" w:cs="仿宋_GB2312"/>
          <w:b/>
          <w:bCs/>
          <w:sz w:val="32"/>
          <w:szCs w:val="32"/>
          <w:highlight w:val="none"/>
          <w:shd w:val="clear" w:color="auto" w:fill="FFFFFF"/>
        </w:rPr>
        <w:t>条</w:t>
      </w:r>
      <w:r>
        <w:rPr>
          <w:rFonts w:hint="eastAsia" w:ascii="仿宋_GB2312" w:hAnsi="仿宋_GB2312" w:eastAsia="仿宋_GB2312" w:cs="仿宋_GB2312"/>
          <w:b/>
          <w:bCs/>
          <w:sz w:val="32"/>
          <w:szCs w:val="32"/>
          <w:highlight w:val="none"/>
          <w:shd w:val="clear" w:color="auto" w:fill="FFFFFF"/>
          <w:lang w:val="en-US" w:eastAsia="zh-CN"/>
        </w:rPr>
        <w:t xml:space="preserve"> </w:t>
      </w:r>
      <w:r>
        <w:rPr>
          <w:rFonts w:hint="eastAsia" w:ascii="仿宋" w:hAnsi="仿宋" w:eastAsia="仿宋" w:cs="仿宋"/>
          <w:color w:val="000000"/>
          <w:sz w:val="32"/>
          <w:szCs w:val="32"/>
          <w:highlight w:val="none"/>
          <w:shd w:val="clear" w:color="auto" w:fill="auto"/>
          <w:lang w:eastAsia="zh-CN"/>
        </w:rPr>
        <w:t>在检查、自查和年审过程中，发现检查对象存在违法违规行为的，交易所可以根据情节轻重，</w:t>
      </w:r>
      <w:r>
        <w:rPr>
          <w:rFonts w:hint="eastAsia" w:ascii="仿宋" w:hAnsi="仿宋" w:eastAsia="仿宋" w:cs="仿宋"/>
          <w:color w:val="000000"/>
          <w:sz w:val="32"/>
          <w:szCs w:val="32"/>
          <w:highlight w:val="none"/>
          <w:shd w:val="clear" w:color="auto" w:fill="auto"/>
        </w:rPr>
        <w:t>采取下列监督管理措施：</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rPr>
      </w:pPr>
      <w:r>
        <w:rPr>
          <w:rFonts w:hint="eastAsia" w:ascii="仿宋" w:hAnsi="仿宋" w:eastAsia="仿宋" w:cs="仿宋"/>
          <w:color w:val="000000"/>
          <w:sz w:val="32"/>
          <w:szCs w:val="32"/>
          <w:highlight w:val="none"/>
          <w:shd w:val="clear" w:color="auto" w:fill="auto"/>
        </w:rPr>
        <w:t>（一）</w:t>
      </w:r>
      <w:r>
        <w:rPr>
          <w:rFonts w:hint="eastAsia" w:ascii="仿宋" w:hAnsi="仿宋" w:eastAsia="仿宋" w:cs="仿宋"/>
          <w:color w:val="000000"/>
          <w:sz w:val="32"/>
          <w:szCs w:val="32"/>
          <w:highlight w:val="none"/>
          <w:shd w:val="clear" w:color="auto" w:fill="auto"/>
          <w:lang w:eastAsia="zh-CN"/>
        </w:rPr>
        <w:t>限期整改</w:t>
      </w:r>
      <w:r>
        <w:rPr>
          <w:rFonts w:hint="eastAsia" w:ascii="仿宋" w:hAnsi="仿宋" w:eastAsia="仿宋" w:cs="仿宋"/>
          <w:color w:val="000000"/>
          <w:sz w:val="32"/>
          <w:szCs w:val="32"/>
          <w:highlight w:val="none"/>
          <w:shd w:val="clear" w:color="auto" w:fill="auto"/>
        </w:rPr>
        <w:t>；</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rPr>
      </w:pPr>
      <w:r>
        <w:rPr>
          <w:rFonts w:hint="eastAsia" w:ascii="仿宋" w:hAnsi="仿宋" w:eastAsia="仿宋" w:cs="仿宋"/>
          <w:color w:val="000000"/>
          <w:sz w:val="32"/>
          <w:szCs w:val="32"/>
          <w:highlight w:val="none"/>
          <w:shd w:val="clear" w:color="auto" w:fill="auto"/>
          <w:lang w:val="en-US" w:eastAsia="zh-CN"/>
        </w:rPr>
        <w:t>（二）调整仓库库容或厂库额度；</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rPr>
      </w:pPr>
      <w:r>
        <w:rPr>
          <w:rFonts w:hint="eastAsia" w:ascii="仿宋" w:hAnsi="仿宋" w:eastAsia="仿宋" w:cs="仿宋"/>
          <w:color w:val="000000"/>
          <w:sz w:val="32"/>
          <w:szCs w:val="32"/>
          <w:highlight w:val="none"/>
          <w:shd w:val="clear" w:color="auto" w:fill="auto"/>
        </w:rPr>
        <w:t>（</w:t>
      </w:r>
      <w:r>
        <w:rPr>
          <w:rFonts w:hint="eastAsia" w:ascii="仿宋" w:hAnsi="仿宋" w:eastAsia="仿宋" w:cs="仿宋"/>
          <w:color w:val="000000"/>
          <w:sz w:val="32"/>
          <w:szCs w:val="32"/>
          <w:highlight w:val="none"/>
          <w:shd w:val="clear" w:color="auto" w:fill="auto"/>
          <w:lang w:eastAsia="zh-CN"/>
        </w:rPr>
        <w:t>三</w:t>
      </w:r>
      <w:r>
        <w:rPr>
          <w:rFonts w:hint="eastAsia" w:ascii="仿宋" w:hAnsi="仿宋" w:eastAsia="仿宋" w:cs="仿宋"/>
          <w:color w:val="000000"/>
          <w:sz w:val="32"/>
          <w:szCs w:val="32"/>
          <w:highlight w:val="none"/>
          <w:shd w:val="clear" w:color="auto" w:fill="auto"/>
        </w:rPr>
        <w:t>）</w:t>
      </w:r>
      <w:r>
        <w:rPr>
          <w:rFonts w:hint="eastAsia" w:ascii="仿宋" w:hAnsi="仿宋" w:eastAsia="仿宋" w:cs="仿宋"/>
          <w:color w:val="000000"/>
          <w:sz w:val="32"/>
          <w:szCs w:val="32"/>
          <w:highlight w:val="none"/>
          <w:shd w:val="clear" w:color="auto" w:fill="auto"/>
          <w:lang w:eastAsia="zh-CN"/>
        </w:rPr>
        <w:t>暂停</w:t>
      </w:r>
      <w:r>
        <w:rPr>
          <w:rFonts w:hint="eastAsia" w:ascii="仿宋" w:hAnsi="仿宋" w:eastAsia="仿宋" w:cs="仿宋"/>
          <w:color w:val="000000"/>
          <w:sz w:val="32"/>
          <w:szCs w:val="32"/>
          <w:highlight w:val="none"/>
          <w:shd w:val="clear" w:color="auto" w:fill="auto"/>
        </w:rPr>
        <w:t>办理交割预报；</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color w:val="000000"/>
          <w:sz w:val="32"/>
          <w:szCs w:val="32"/>
          <w:highlight w:val="none"/>
          <w:shd w:val="clear" w:color="auto" w:fill="auto"/>
        </w:rPr>
        <w:t>（</w:t>
      </w:r>
      <w:r>
        <w:rPr>
          <w:rFonts w:hint="eastAsia" w:ascii="仿宋" w:hAnsi="仿宋" w:eastAsia="仿宋" w:cs="仿宋"/>
          <w:color w:val="000000"/>
          <w:sz w:val="32"/>
          <w:szCs w:val="32"/>
          <w:highlight w:val="none"/>
          <w:shd w:val="clear" w:color="auto" w:fill="auto"/>
          <w:lang w:eastAsia="zh-CN"/>
        </w:rPr>
        <w:t>四</w:t>
      </w:r>
      <w:r>
        <w:rPr>
          <w:rFonts w:hint="eastAsia" w:ascii="仿宋" w:hAnsi="仿宋" w:eastAsia="仿宋" w:cs="仿宋"/>
          <w:color w:val="000000"/>
          <w:sz w:val="32"/>
          <w:szCs w:val="32"/>
          <w:highlight w:val="none"/>
          <w:shd w:val="clear" w:color="auto" w:fill="auto"/>
        </w:rPr>
        <w:t>）暂</w:t>
      </w:r>
      <w:r>
        <w:rPr>
          <w:rFonts w:hint="eastAsia" w:ascii="仿宋" w:hAnsi="仿宋" w:eastAsia="仿宋" w:cs="仿宋"/>
          <w:color w:val="000000"/>
          <w:sz w:val="32"/>
          <w:szCs w:val="32"/>
          <w:highlight w:val="none"/>
          <w:shd w:val="clear" w:color="auto" w:fill="auto"/>
          <w:lang w:eastAsia="zh-CN"/>
        </w:rPr>
        <w:t>停</w:t>
      </w:r>
      <w:r>
        <w:rPr>
          <w:rFonts w:hint="eastAsia" w:ascii="仿宋" w:hAnsi="仿宋" w:eastAsia="仿宋" w:cs="仿宋"/>
          <w:color w:val="000000"/>
          <w:sz w:val="32"/>
          <w:szCs w:val="32"/>
          <w:highlight w:val="none"/>
          <w:shd w:val="clear" w:color="auto" w:fill="auto"/>
        </w:rPr>
        <w:t>办理仓单注册；</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color w:val="000000"/>
          <w:sz w:val="32"/>
          <w:szCs w:val="32"/>
          <w:highlight w:val="none"/>
          <w:shd w:val="clear" w:color="auto" w:fill="auto"/>
          <w:lang w:eastAsia="zh-CN"/>
        </w:rPr>
        <w:t>（五）暂停办理交收业务；</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color w:val="000000"/>
          <w:sz w:val="32"/>
          <w:szCs w:val="32"/>
          <w:highlight w:val="none"/>
          <w:shd w:val="clear" w:color="auto" w:fill="auto"/>
        </w:rPr>
        <w:t>（</w:t>
      </w:r>
      <w:r>
        <w:rPr>
          <w:rFonts w:hint="eastAsia" w:ascii="仿宋" w:hAnsi="仿宋" w:eastAsia="仿宋" w:cs="仿宋"/>
          <w:color w:val="000000"/>
          <w:sz w:val="32"/>
          <w:szCs w:val="32"/>
          <w:highlight w:val="none"/>
          <w:shd w:val="clear" w:color="auto" w:fill="auto"/>
          <w:lang w:eastAsia="zh-CN"/>
        </w:rPr>
        <w:t>六</w:t>
      </w:r>
      <w:r>
        <w:rPr>
          <w:rFonts w:hint="eastAsia" w:ascii="仿宋" w:hAnsi="仿宋" w:eastAsia="仿宋" w:cs="仿宋"/>
          <w:color w:val="000000"/>
          <w:sz w:val="32"/>
          <w:szCs w:val="32"/>
          <w:highlight w:val="none"/>
          <w:shd w:val="clear" w:color="auto" w:fill="auto"/>
        </w:rPr>
        <w:t>）取消集团或</w:t>
      </w:r>
      <w:r>
        <w:rPr>
          <w:rFonts w:hint="eastAsia" w:ascii="仿宋" w:hAnsi="仿宋" w:eastAsia="仿宋" w:cs="仿宋"/>
          <w:color w:val="000000"/>
          <w:sz w:val="32"/>
          <w:szCs w:val="32"/>
          <w:highlight w:val="none"/>
          <w:shd w:val="clear" w:color="auto" w:fill="auto"/>
          <w:lang w:eastAsia="zh-CN"/>
        </w:rPr>
        <w:t>交割库</w:t>
      </w:r>
      <w:r>
        <w:rPr>
          <w:rFonts w:hint="eastAsia" w:ascii="仿宋" w:hAnsi="仿宋" w:eastAsia="仿宋" w:cs="仿宋"/>
          <w:color w:val="000000"/>
          <w:sz w:val="32"/>
          <w:szCs w:val="32"/>
          <w:highlight w:val="none"/>
          <w:shd w:val="clear" w:color="auto" w:fill="auto"/>
        </w:rPr>
        <w:t>资格</w:t>
      </w:r>
      <w:r>
        <w:rPr>
          <w:rFonts w:hint="eastAsia" w:ascii="仿宋" w:hAnsi="仿宋" w:eastAsia="仿宋" w:cs="仿宋"/>
          <w:color w:val="000000"/>
          <w:sz w:val="32"/>
          <w:szCs w:val="32"/>
          <w:highlight w:val="none"/>
          <w:shd w:val="clear" w:color="auto" w:fill="auto"/>
          <w:lang w:eastAsia="zh-CN"/>
        </w:rPr>
        <w:t>；</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rPr>
      </w:pPr>
      <w:r>
        <w:rPr>
          <w:rFonts w:hint="eastAsia" w:ascii="仿宋" w:hAnsi="仿宋" w:eastAsia="仿宋" w:cs="仿宋"/>
          <w:color w:val="000000"/>
          <w:sz w:val="32"/>
          <w:szCs w:val="32"/>
          <w:highlight w:val="none"/>
          <w:shd w:val="clear" w:color="auto" w:fill="auto"/>
          <w:lang w:eastAsia="zh-CN"/>
        </w:rPr>
        <w:t>（七）交易所规定的其他监管措施。</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color w:val="000000"/>
          <w:sz w:val="32"/>
          <w:szCs w:val="32"/>
          <w:highlight w:val="none"/>
          <w:shd w:val="clear" w:color="auto" w:fill="auto"/>
          <w:lang w:eastAsia="zh-CN"/>
        </w:rPr>
        <w:t>由上述措施产生损失的，由集团及交割库和交收库承担。</w:t>
      </w:r>
    </w:p>
    <w:p>
      <w:pPr>
        <w:pStyle w:val="6"/>
        <w:widowControl/>
        <w:shd w:val="clear" w:color="auto" w:fill="FFFFFF"/>
        <w:spacing w:before="0" w:beforeAutospacing="0" w:after="0" w:afterAutospacing="0" w:line="580" w:lineRule="exact"/>
        <w:ind w:firstLine="642" w:firstLineChars="200"/>
        <w:jc w:val="both"/>
        <w:rPr>
          <w:rFonts w:hint="eastAsia" w:ascii="仿宋_GB2312" w:hAnsi="仿宋_GB2312" w:eastAsia="仿宋_GB2312" w:cs="仿宋_GB2312"/>
          <w:sz w:val="32"/>
          <w:szCs w:val="32"/>
          <w:highlight w:val="none"/>
          <w:shd w:val="clear" w:color="auto" w:fill="FFFFFF"/>
        </w:rPr>
      </w:pPr>
      <w:r>
        <w:rPr>
          <w:rFonts w:hint="eastAsia" w:ascii="仿宋_GB2312" w:hAnsi="仿宋_GB2312" w:eastAsia="仿宋_GB2312" w:cs="仿宋_GB2312"/>
          <w:b/>
          <w:bCs/>
          <w:sz w:val="32"/>
          <w:szCs w:val="32"/>
          <w:highlight w:val="none"/>
          <w:shd w:val="clear" w:color="auto" w:fill="FFFFFF"/>
        </w:rPr>
        <w:t>第</w:t>
      </w:r>
      <w:r>
        <w:rPr>
          <w:rFonts w:hint="eastAsia" w:ascii="仿宋_GB2312" w:hAnsi="仿宋_GB2312" w:eastAsia="仿宋_GB2312" w:cs="仿宋_GB2312"/>
          <w:b/>
          <w:bCs/>
          <w:sz w:val="32"/>
          <w:szCs w:val="32"/>
          <w:highlight w:val="none"/>
          <w:shd w:val="clear" w:color="auto" w:fill="FFFFFF"/>
          <w:lang w:eastAsia="zh-CN"/>
        </w:rPr>
        <w:t>二</w:t>
      </w:r>
      <w:r>
        <w:rPr>
          <w:rFonts w:hint="eastAsia" w:ascii="仿宋_GB2312" w:hAnsi="仿宋_GB2312" w:eastAsia="仿宋_GB2312" w:cs="仿宋_GB2312"/>
          <w:b/>
          <w:bCs/>
          <w:sz w:val="32"/>
          <w:szCs w:val="32"/>
          <w:highlight w:val="none"/>
          <w:shd w:val="clear" w:color="auto" w:fill="FFFFFF"/>
        </w:rPr>
        <w:t>十</w:t>
      </w:r>
      <w:r>
        <w:rPr>
          <w:rFonts w:hint="eastAsia" w:ascii="仿宋_GB2312" w:hAnsi="仿宋_GB2312" w:eastAsia="仿宋_GB2312" w:cs="仿宋_GB2312"/>
          <w:b/>
          <w:bCs/>
          <w:sz w:val="32"/>
          <w:szCs w:val="32"/>
          <w:highlight w:val="none"/>
          <w:shd w:val="clear" w:color="auto" w:fill="FFFFFF"/>
          <w:lang w:eastAsia="zh-CN"/>
        </w:rPr>
        <w:t>六</w:t>
      </w:r>
      <w:r>
        <w:rPr>
          <w:rFonts w:hint="eastAsia" w:ascii="仿宋_GB2312" w:hAnsi="仿宋_GB2312" w:eastAsia="仿宋_GB2312" w:cs="仿宋_GB2312"/>
          <w:b/>
          <w:bCs/>
          <w:sz w:val="32"/>
          <w:szCs w:val="32"/>
          <w:highlight w:val="none"/>
          <w:shd w:val="clear" w:color="auto" w:fill="FFFFFF"/>
        </w:rPr>
        <w:t>条</w:t>
      </w:r>
      <w:r>
        <w:rPr>
          <w:rFonts w:hint="eastAsia" w:ascii="仿宋_GB2312" w:hAnsi="仿宋_GB2312" w:eastAsia="仿宋_GB2312" w:cs="仿宋_GB2312"/>
          <w:b/>
          <w:bCs/>
          <w:sz w:val="32"/>
          <w:szCs w:val="32"/>
          <w:highlight w:val="none"/>
          <w:shd w:val="clear" w:color="auto" w:fill="FFFFFF"/>
          <w:lang w:val="en-US" w:eastAsia="zh-CN"/>
        </w:rPr>
        <w:t xml:space="preserve"> </w:t>
      </w:r>
      <w:r>
        <w:rPr>
          <w:rFonts w:hint="eastAsia" w:ascii="仿宋" w:hAnsi="仿宋" w:eastAsia="仿宋" w:cs="仿宋"/>
          <w:color w:val="000000"/>
          <w:sz w:val="32"/>
          <w:szCs w:val="32"/>
          <w:highlight w:val="none"/>
          <w:shd w:val="clear" w:color="auto" w:fill="auto"/>
        </w:rPr>
        <w:t>检查对象</w:t>
      </w:r>
      <w:r>
        <w:rPr>
          <w:rFonts w:hint="eastAsia" w:ascii="仿宋" w:hAnsi="仿宋" w:eastAsia="仿宋" w:cs="仿宋"/>
          <w:color w:val="000000"/>
          <w:sz w:val="32"/>
          <w:szCs w:val="32"/>
          <w:highlight w:val="none"/>
          <w:shd w:val="clear" w:color="auto" w:fill="auto"/>
          <w:lang w:eastAsia="zh-CN"/>
        </w:rPr>
        <w:t>需要整改的，</w:t>
      </w:r>
      <w:r>
        <w:rPr>
          <w:rFonts w:hint="eastAsia" w:ascii="仿宋" w:hAnsi="仿宋" w:eastAsia="仿宋" w:cs="仿宋"/>
          <w:color w:val="000000"/>
          <w:sz w:val="32"/>
          <w:szCs w:val="32"/>
          <w:highlight w:val="none"/>
          <w:shd w:val="clear" w:color="auto" w:fill="auto"/>
        </w:rPr>
        <w:t>应当</w:t>
      </w:r>
      <w:r>
        <w:rPr>
          <w:rFonts w:hint="eastAsia" w:ascii="仿宋" w:hAnsi="仿宋" w:eastAsia="仿宋" w:cs="仿宋"/>
          <w:color w:val="000000"/>
          <w:sz w:val="32"/>
          <w:szCs w:val="32"/>
          <w:highlight w:val="none"/>
          <w:shd w:val="clear" w:color="auto" w:fill="auto"/>
          <w:lang w:eastAsia="zh-CN"/>
        </w:rPr>
        <w:t>按交易所要求的期限</w:t>
      </w:r>
      <w:r>
        <w:rPr>
          <w:rFonts w:hint="eastAsia" w:ascii="仿宋" w:hAnsi="仿宋" w:eastAsia="仿宋" w:cs="仿宋"/>
          <w:color w:val="000000"/>
          <w:sz w:val="32"/>
          <w:szCs w:val="32"/>
          <w:highlight w:val="none"/>
          <w:shd w:val="clear" w:color="auto" w:fill="auto"/>
        </w:rPr>
        <w:t>内向交易所提交整改报告。交易所将跟踪监督检查对象的整改工作，检查整改措施的落实情况，并根据整改落实情况决定是否</w:t>
      </w:r>
      <w:r>
        <w:rPr>
          <w:rFonts w:hint="eastAsia" w:ascii="仿宋" w:hAnsi="仿宋" w:eastAsia="仿宋" w:cs="仿宋"/>
          <w:color w:val="000000"/>
          <w:sz w:val="32"/>
          <w:szCs w:val="32"/>
          <w:highlight w:val="none"/>
          <w:shd w:val="clear" w:color="auto" w:fill="auto"/>
          <w:lang w:eastAsia="zh-CN"/>
        </w:rPr>
        <w:t>进一步采取监管措施</w:t>
      </w:r>
      <w:r>
        <w:rPr>
          <w:rFonts w:hint="eastAsia" w:ascii="仿宋" w:hAnsi="仿宋" w:eastAsia="仿宋" w:cs="仿宋"/>
          <w:color w:val="000000"/>
          <w:sz w:val="32"/>
          <w:szCs w:val="32"/>
          <w:highlight w:val="none"/>
          <w:shd w:val="clear" w:color="auto" w:fill="auto"/>
        </w:rPr>
        <w:t>。</w:t>
      </w:r>
    </w:p>
    <w:p>
      <w:pPr>
        <w:pStyle w:val="6"/>
        <w:widowControl/>
        <w:shd w:val="clear" w:color="auto" w:fill="FFFFFF"/>
        <w:spacing w:before="0" w:beforeAutospacing="0" w:after="0" w:afterAutospacing="0" w:line="580" w:lineRule="exact"/>
        <w:ind w:firstLine="642" w:firstLineChars="200"/>
        <w:jc w:val="both"/>
        <w:rPr>
          <w:rFonts w:hint="eastAsia" w:ascii="仿宋" w:hAnsi="仿宋" w:eastAsia="仿宋" w:cs="仿宋"/>
          <w:color w:val="000000"/>
          <w:sz w:val="32"/>
          <w:szCs w:val="32"/>
          <w:highlight w:val="none"/>
          <w:shd w:val="clear" w:color="auto" w:fill="auto"/>
          <w:lang w:val="en-US" w:eastAsia="zh-CN"/>
        </w:rPr>
      </w:pPr>
      <w:r>
        <w:rPr>
          <w:rFonts w:hint="eastAsia" w:ascii="仿宋_GB2312" w:hAnsi="仿宋_GB2312" w:eastAsia="仿宋_GB2312" w:cs="仿宋_GB2312"/>
          <w:b/>
          <w:bCs/>
          <w:sz w:val="32"/>
          <w:szCs w:val="32"/>
          <w:highlight w:val="none"/>
          <w:shd w:val="clear" w:color="auto" w:fill="FFFFFF"/>
          <w:lang w:eastAsia="zh-CN"/>
        </w:rPr>
        <w:t>第二十七条</w:t>
      </w:r>
      <w:r>
        <w:rPr>
          <w:rFonts w:hint="eastAsia" w:ascii="仿宋_GB2312" w:hAnsi="仿宋_GB2312" w:eastAsia="仿宋_GB2312" w:cs="仿宋_GB2312"/>
          <w:sz w:val="32"/>
          <w:szCs w:val="32"/>
          <w:highlight w:val="none"/>
          <w:shd w:val="clear" w:color="auto" w:fill="FFFFFF"/>
          <w:lang w:val="en-US" w:eastAsia="zh-CN"/>
        </w:rPr>
        <w:t xml:space="preserve"> </w:t>
      </w:r>
      <w:r>
        <w:rPr>
          <w:rFonts w:hint="eastAsia" w:ascii="仿宋" w:hAnsi="仿宋" w:eastAsia="仿宋" w:cs="仿宋"/>
          <w:color w:val="000000"/>
          <w:kern w:val="0"/>
          <w:sz w:val="32"/>
          <w:szCs w:val="32"/>
          <w:highlight w:val="none"/>
          <w:lang w:eastAsia="zh-CN"/>
        </w:rPr>
        <w:t>集团发生名称、注册资本、经营状况、控股股东、股权结构、实际控制人及其与交割库和交收库的股权关系、影响净资产的重大诉讼等重大事项变更时，集团应及时向交易所报告并提供相关说明材料。</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val="en-US" w:eastAsia="zh-CN"/>
        </w:rPr>
      </w:pPr>
      <w:r>
        <w:rPr>
          <w:rFonts w:hint="eastAsia" w:ascii="仿宋" w:hAnsi="仿宋" w:eastAsia="仿宋" w:cs="仿宋"/>
          <w:color w:val="000000"/>
          <w:sz w:val="32"/>
          <w:szCs w:val="32"/>
          <w:highlight w:val="none"/>
          <w:shd w:val="clear" w:color="auto" w:fill="auto"/>
          <w:lang w:val="en-US" w:eastAsia="zh-CN"/>
        </w:rPr>
        <w:t>交割库发生名称、注册资本等重大事项变更时，交割库应当及时向交易所和集团报告并提供说明材料。</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val="en-US" w:eastAsia="zh-CN"/>
        </w:rPr>
      </w:pPr>
      <w:r>
        <w:rPr>
          <w:rFonts w:hint="eastAsia" w:ascii="仿宋" w:hAnsi="仿宋" w:eastAsia="仿宋" w:cs="仿宋"/>
          <w:color w:val="000000"/>
          <w:sz w:val="32"/>
          <w:szCs w:val="32"/>
          <w:highlight w:val="none"/>
          <w:shd w:val="clear" w:color="auto" w:fill="auto"/>
          <w:lang w:val="en-US" w:eastAsia="zh-CN"/>
        </w:rPr>
        <w:t>交收库发生名称、所在地址等事项变更时，集团应及时向交易所报告并提供说明材料。</w:t>
      </w:r>
    </w:p>
    <w:p>
      <w:pPr>
        <w:pStyle w:val="6"/>
        <w:widowControl/>
        <w:shd w:val="clear" w:color="auto" w:fill="FFFFFF"/>
        <w:spacing w:before="0" w:beforeAutospacing="0" w:after="0" w:afterAutospacing="0" w:line="580" w:lineRule="exact"/>
        <w:ind w:firstLine="642" w:firstLineChars="200"/>
        <w:jc w:val="both"/>
        <w:rPr>
          <w:rFonts w:hint="eastAsia" w:ascii="仿宋" w:hAnsi="仿宋" w:eastAsia="仿宋" w:cs="仿宋"/>
          <w:color w:val="000000"/>
          <w:sz w:val="32"/>
          <w:szCs w:val="32"/>
          <w:highlight w:val="none"/>
          <w:shd w:val="clear" w:color="auto" w:fill="auto"/>
          <w:lang w:val="en-US" w:eastAsia="zh-CN"/>
        </w:rPr>
      </w:pPr>
      <w:r>
        <w:rPr>
          <w:rFonts w:hint="eastAsia" w:ascii="仿宋_GB2312" w:hAnsi="仿宋_GB2312" w:eastAsia="仿宋_GB2312" w:cs="仿宋_GB2312"/>
          <w:b/>
          <w:bCs/>
          <w:sz w:val="32"/>
          <w:szCs w:val="32"/>
          <w:highlight w:val="none"/>
          <w:shd w:val="clear" w:color="auto" w:fill="FFFFFF"/>
          <w:lang w:val="en-US" w:eastAsia="zh-CN"/>
        </w:rPr>
        <w:t>第二十八条</w:t>
      </w:r>
      <w:r>
        <w:rPr>
          <w:rFonts w:hint="eastAsia" w:ascii="仿宋_GB2312" w:hAnsi="仿宋_GB2312" w:eastAsia="仿宋_GB2312" w:cs="仿宋_GB2312"/>
          <w:sz w:val="32"/>
          <w:szCs w:val="32"/>
          <w:highlight w:val="none"/>
          <w:shd w:val="clear" w:color="auto" w:fill="FFFFFF"/>
          <w:lang w:val="en-US" w:eastAsia="zh-CN"/>
        </w:rPr>
        <w:t xml:space="preserve"> </w:t>
      </w:r>
      <w:r>
        <w:rPr>
          <w:rFonts w:hint="eastAsia" w:ascii="仿宋" w:hAnsi="仿宋" w:eastAsia="仿宋" w:cs="仿宋"/>
          <w:color w:val="000000"/>
          <w:sz w:val="32"/>
          <w:szCs w:val="32"/>
          <w:highlight w:val="none"/>
          <w:shd w:val="clear" w:color="auto" w:fill="auto"/>
          <w:lang w:val="en-US" w:eastAsia="zh-CN"/>
        </w:rPr>
        <w:t>交易所认为集团、交割库的重大事项变更等情况可能引发风险时，可以对集团及交割库采取以下措施：</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val="en-US" w:eastAsia="zh-CN"/>
        </w:rPr>
      </w:pPr>
      <w:r>
        <w:rPr>
          <w:rFonts w:hint="eastAsia" w:ascii="仿宋" w:hAnsi="仿宋" w:eastAsia="仿宋" w:cs="仿宋"/>
          <w:color w:val="000000"/>
          <w:sz w:val="32"/>
          <w:szCs w:val="32"/>
          <w:highlight w:val="none"/>
          <w:shd w:val="clear" w:color="auto" w:fill="auto"/>
          <w:lang w:val="en-US" w:eastAsia="zh-CN"/>
        </w:rPr>
        <w:t>（一）调整仓库库容或厂库额度；</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val="en-US" w:eastAsia="zh-CN"/>
        </w:rPr>
      </w:pPr>
      <w:r>
        <w:rPr>
          <w:rFonts w:hint="eastAsia" w:ascii="仿宋" w:hAnsi="仿宋" w:eastAsia="仿宋" w:cs="仿宋"/>
          <w:color w:val="000000"/>
          <w:sz w:val="32"/>
          <w:szCs w:val="32"/>
          <w:highlight w:val="none"/>
          <w:shd w:val="clear" w:color="auto" w:fill="auto"/>
          <w:lang w:eastAsia="zh-CN"/>
        </w:rPr>
        <w:t>（二）</w:t>
      </w:r>
      <w:r>
        <w:rPr>
          <w:rFonts w:hint="eastAsia" w:ascii="仿宋" w:hAnsi="仿宋" w:eastAsia="仿宋" w:cs="仿宋"/>
          <w:color w:val="000000"/>
          <w:sz w:val="32"/>
          <w:szCs w:val="32"/>
          <w:highlight w:val="none"/>
          <w:shd w:val="clear" w:color="auto" w:fill="auto"/>
        </w:rPr>
        <w:t>暂</w:t>
      </w:r>
      <w:r>
        <w:rPr>
          <w:rFonts w:hint="eastAsia" w:ascii="仿宋" w:hAnsi="仿宋" w:eastAsia="仿宋" w:cs="仿宋"/>
          <w:color w:val="000000"/>
          <w:sz w:val="32"/>
          <w:szCs w:val="32"/>
          <w:highlight w:val="none"/>
          <w:shd w:val="clear" w:color="auto" w:fill="auto"/>
          <w:lang w:eastAsia="zh-CN"/>
        </w:rPr>
        <w:t>停</w:t>
      </w:r>
      <w:r>
        <w:rPr>
          <w:rFonts w:hint="eastAsia" w:ascii="仿宋" w:hAnsi="仿宋" w:eastAsia="仿宋" w:cs="仿宋"/>
          <w:color w:val="000000"/>
          <w:sz w:val="32"/>
          <w:szCs w:val="32"/>
          <w:highlight w:val="none"/>
          <w:shd w:val="clear" w:color="auto" w:fill="auto"/>
        </w:rPr>
        <w:t>办理交割预报；</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color w:val="000000"/>
          <w:sz w:val="32"/>
          <w:szCs w:val="32"/>
          <w:highlight w:val="none"/>
          <w:shd w:val="clear" w:color="auto" w:fill="auto"/>
          <w:lang w:val="en-US" w:eastAsia="zh-CN"/>
        </w:rPr>
        <w:t>（三）</w:t>
      </w:r>
      <w:r>
        <w:rPr>
          <w:rFonts w:hint="eastAsia" w:ascii="仿宋" w:hAnsi="仿宋" w:eastAsia="仿宋" w:cs="仿宋"/>
          <w:color w:val="000000"/>
          <w:sz w:val="32"/>
          <w:szCs w:val="32"/>
          <w:highlight w:val="none"/>
          <w:shd w:val="clear" w:color="auto" w:fill="auto"/>
        </w:rPr>
        <w:t>暂</w:t>
      </w:r>
      <w:r>
        <w:rPr>
          <w:rFonts w:hint="eastAsia" w:ascii="仿宋" w:hAnsi="仿宋" w:eastAsia="仿宋" w:cs="仿宋"/>
          <w:color w:val="000000"/>
          <w:sz w:val="32"/>
          <w:szCs w:val="32"/>
          <w:highlight w:val="none"/>
          <w:shd w:val="clear" w:color="auto" w:fill="auto"/>
          <w:lang w:eastAsia="zh-CN"/>
        </w:rPr>
        <w:t>停</w:t>
      </w:r>
      <w:r>
        <w:rPr>
          <w:rFonts w:hint="eastAsia" w:ascii="仿宋" w:hAnsi="仿宋" w:eastAsia="仿宋" w:cs="仿宋"/>
          <w:color w:val="000000"/>
          <w:sz w:val="32"/>
          <w:szCs w:val="32"/>
          <w:highlight w:val="none"/>
          <w:shd w:val="clear" w:color="auto" w:fill="auto"/>
        </w:rPr>
        <w:t>办理仓单注册</w:t>
      </w:r>
      <w:r>
        <w:rPr>
          <w:rFonts w:hint="eastAsia" w:ascii="仿宋" w:hAnsi="仿宋" w:eastAsia="仿宋" w:cs="仿宋"/>
          <w:color w:val="000000"/>
          <w:sz w:val="32"/>
          <w:szCs w:val="32"/>
          <w:highlight w:val="none"/>
          <w:shd w:val="clear" w:color="auto" w:fill="auto"/>
          <w:lang w:eastAsia="zh-CN"/>
        </w:rPr>
        <w:t>；</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color w:val="000000"/>
          <w:sz w:val="32"/>
          <w:szCs w:val="32"/>
          <w:highlight w:val="none"/>
          <w:shd w:val="clear" w:color="auto" w:fill="auto"/>
        </w:rPr>
        <w:t>（</w:t>
      </w:r>
      <w:r>
        <w:rPr>
          <w:rFonts w:hint="eastAsia" w:ascii="仿宋" w:hAnsi="仿宋" w:eastAsia="仿宋" w:cs="仿宋"/>
          <w:color w:val="000000"/>
          <w:sz w:val="32"/>
          <w:szCs w:val="32"/>
          <w:highlight w:val="none"/>
          <w:shd w:val="clear" w:color="auto" w:fill="auto"/>
          <w:lang w:eastAsia="zh-CN"/>
        </w:rPr>
        <w:t>四</w:t>
      </w:r>
      <w:r>
        <w:rPr>
          <w:rFonts w:hint="eastAsia" w:ascii="仿宋" w:hAnsi="仿宋" w:eastAsia="仿宋" w:cs="仿宋"/>
          <w:color w:val="000000"/>
          <w:sz w:val="32"/>
          <w:szCs w:val="32"/>
          <w:highlight w:val="none"/>
          <w:shd w:val="clear" w:color="auto" w:fill="auto"/>
        </w:rPr>
        <w:t>）</w:t>
      </w:r>
      <w:r>
        <w:rPr>
          <w:rFonts w:hint="eastAsia" w:ascii="仿宋" w:hAnsi="仿宋" w:eastAsia="仿宋" w:cs="仿宋"/>
          <w:color w:val="000000"/>
          <w:sz w:val="32"/>
          <w:szCs w:val="32"/>
          <w:highlight w:val="none"/>
          <w:shd w:val="clear" w:color="auto" w:fill="auto"/>
          <w:lang w:eastAsia="zh-CN"/>
        </w:rPr>
        <w:t>暂停办理交收业务；</w:t>
      </w:r>
    </w:p>
    <w:p>
      <w:pPr>
        <w:pStyle w:val="6"/>
        <w:widowControl/>
        <w:shd w:val="clear" w:color="auto" w:fill="FFFFFF"/>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color w:val="000000"/>
          <w:sz w:val="32"/>
          <w:szCs w:val="32"/>
          <w:highlight w:val="none"/>
          <w:shd w:val="clear" w:color="auto" w:fill="auto"/>
          <w:lang w:eastAsia="zh-CN"/>
        </w:rPr>
        <w:t>（五）</w:t>
      </w:r>
      <w:r>
        <w:rPr>
          <w:rFonts w:hint="eastAsia" w:ascii="仿宋" w:hAnsi="仿宋" w:eastAsia="仿宋" w:cs="仿宋"/>
          <w:color w:val="000000"/>
          <w:sz w:val="32"/>
          <w:szCs w:val="32"/>
          <w:highlight w:val="none"/>
          <w:shd w:val="clear" w:color="auto" w:fill="auto"/>
        </w:rPr>
        <w:t>取消集团或</w:t>
      </w:r>
      <w:r>
        <w:rPr>
          <w:rFonts w:hint="eastAsia" w:ascii="仿宋" w:hAnsi="仿宋" w:eastAsia="仿宋" w:cs="仿宋"/>
          <w:color w:val="000000"/>
          <w:sz w:val="32"/>
          <w:szCs w:val="32"/>
          <w:highlight w:val="none"/>
          <w:shd w:val="clear" w:color="auto" w:fill="auto"/>
          <w:lang w:eastAsia="zh-CN"/>
        </w:rPr>
        <w:t>交割库</w:t>
      </w:r>
      <w:r>
        <w:rPr>
          <w:rFonts w:hint="eastAsia" w:ascii="仿宋" w:hAnsi="仿宋" w:eastAsia="仿宋" w:cs="仿宋"/>
          <w:color w:val="000000"/>
          <w:sz w:val="32"/>
          <w:szCs w:val="32"/>
          <w:highlight w:val="none"/>
          <w:shd w:val="clear" w:color="auto" w:fill="auto"/>
        </w:rPr>
        <w:t>资格</w:t>
      </w:r>
      <w:r>
        <w:rPr>
          <w:rFonts w:hint="eastAsia" w:ascii="仿宋" w:hAnsi="仿宋" w:eastAsia="仿宋" w:cs="仿宋"/>
          <w:color w:val="000000"/>
          <w:sz w:val="32"/>
          <w:szCs w:val="32"/>
          <w:highlight w:val="none"/>
          <w:shd w:val="clear" w:color="auto" w:fill="auto"/>
          <w:lang w:eastAsia="zh-CN"/>
        </w:rPr>
        <w:t>；</w:t>
      </w:r>
    </w:p>
    <w:p>
      <w:pPr>
        <w:pStyle w:val="6"/>
        <w:widowControl/>
        <w:shd w:val="clear" w:color="auto" w:fill="FFFFFF"/>
        <w:tabs>
          <w:tab w:val="left" w:pos="2353"/>
        </w:tabs>
        <w:spacing w:before="0" w:beforeAutospacing="0" w:after="0" w:afterAutospacing="0" w:line="580" w:lineRule="exact"/>
        <w:ind w:firstLine="640" w:firstLineChars="200"/>
        <w:jc w:val="both"/>
        <w:rPr>
          <w:rFonts w:hint="eastAsia" w:ascii="仿宋" w:hAnsi="仿宋" w:eastAsia="仿宋" w:cs="仿宋"/>
          <w:color w:val="000000"/>
          <w:sz w:val="32"/>
          <w:szCs w:val="32"/>
          <w:highlight w:val="none"/>
          <w:shd w:val="clear" w:color="auto" w:fill="auto"/>
          <w:lang w:val="en-US" w:eastAsia="zh-CN"/>
        </w:rPr>
      </w:pPr>
      <w:r>
        <w:rPr>
          <w:rFonts w:hint="eastAsia" w:ascii="仿宋" w:hAnsi="仿宋" w:eastAsia="仿宋" w:cs="仿宋"/>
          <w:color w:val="000000"/>
          <w:sz w:val="32"/>
          <w:szCs w:val="32"/>
          <w:highlight w:val="none"/>
          <w:shd w:val="clear" w:color="auto" w:fill="auto"/>
          <w:lang w:val="en-US" w:eastAsia="zh-CN"/>
        </w:rPr>
        <w:t>（六）交易所规定的其他措施。</w:t>
      </w:r>
    </w:p>
    <w:p>
      <w:pPr>
        <w:widowControl/>
        <w:spacing w:before="156" w:beforeLines="50" w:line="560" w:lineRule="exact"/>
        <w:jc w:val="center"/>
        <w:rPr>
          <w:rFonts w:hint="eastAsia" w:ascii="黑体" w:hAnsi="黑体" w:eastAsia="黑体" w:cs="黑体"/>
          <w:color w:val="000000"/>
          <w:kern w:val="0"/>
          <w:sz w:val="32"/>
          <w:szCs w:val="32"/>
          <w:highlight w:val="none"/>
        </w:rPr>
      </w:pPr>
      <w:r>
        <w:rPr>
          <w:rFonts w:hint="eastAsia" w:ascii="黑体" w:hAnsi="黑体" w:eastAsia="黑体" w:cs="黑体"/>
          <w:color w:val="000000"/>
          <w:kern w:val="0"/>
          <w:sz w:val="32"/>
          <w:szCs w:val="32"/>
          <w:highlight w:val="none"/>
        </w:rPr>
        <w:t>第</w:t>
      </w:r>
      <w:r>
        <w:rPr>
          <w:rFonts w:hint="eastAsia" w:ascii="黑体" w:hAnsi="黑体" w:eastAsia="黑体" w:cs="黑体"/>
          <w:color w:val="000000"/>
          <w:kern w:val="0"/>
          <w:sz w:val="32"/>
          <w:szCs w:val="32"/>
          <w:highlight w:val="none"/>
          <w:lang w:eastAsia="zh-CN"/>
        </w:rPr>
        <w:t>五</w:t>
      </w:r>
      <w:r>
        <w:rPr>
          <w:rFonts w:hint="eastAsia" w:ascii="黑体" w:hAnsi="黑体" w:eastAsia="黑体" w:cs="黑体"/>
          <w:color w:val="000000"/>
          <w:kern w:val="0"/>
          <w:sz w:val="32"/>
          <w:szCs w:val="32"/>
          <w:highlight w:val="none"/>
        </w:rPr>
        <w:t>章  附 则</w:t>
      </w:r>
    </w:p>
    <w:p>
      <w:pPr>
        <w:widowControl/>
        <w:spacing w:line="560" w:lineRule="exact"/>
        <w:ind w:firstLine="642" w:firstLineChars="200"/>
        <w:rPr>
          <w:rFonts w:hint="default" w:ascii="仿宋" w:hAnsi="仿宋" w:eastAsia="仿宋" w:cs="仿宋"/>
          <w:color w:val="000000"/>
          <w:kern w:val="0"/>
          <w:sz w:val="32"/>
          <w:szCs w:val="32"/>
          <w:highlight w:val="none"/>
          <w:lang w:val="en-US" w:eastAsia="zh-CN"/>
        </w:rPr>
      </w:pPr>
      <w:r>
        <w:rPr>
          <w:rFonts w:hint="eastAsia" w:ascii="仿宋" w:hAnsi="仿宋" w:eastAsia="仿宋" w:cs="仿宋"/>
          <w:b/>
          <w:bCs/>
          <w:color w:val="000000"/>
          <w:kern w:val="0"/>
          <w:sz w:val="32"/>
          <w:szCs w:val="32"/>
          <w:highlight w:val="none"/>
          <w:lang w:val="en-US" w:eastAsia="zh-CN"/>
        </w:rPr>
        <w:t>第</w:t>
      </w:r>
      <w:r>
        <w:rPr>
          <w:rFonts w:hint="eastAsia" w:ascii="仿宋" w:hAnsi="仿宋" w:eastAsia="仿宋" w:cs="仿宋"/>
          <w:b/>
          <w:bCs/>
          <w:color w:val="000000"/>
          <w:kern w:val="0"/>
          <w:sz w:val="32"/>
          <w:szCs w:val="32"/>
          <w:highlight w:val="none"/>
          <w:lang w:eastAsia="zh-CN"/>
        </w:rPr>
        <w:t>二十九条</w:t>
      </w:r>
      <w:r>
        <w:rPr>
          <w:rFonts w:hint="eastAsia" w:ascii="仿宋" w:hAnsi="仿宋" w:eastAsia="仿宋" w:cs="仿宋"/>
          <w:b w:val="0"/>
          <w:bCs w:val="0"/>
          <w:color w:val="000000"/>
          <w:kern w:val="0"/>
          <w:sz w:val="32"/>
          <w:szCs w:val="32"/>
          <w:highlight w:val="none"/>
          <w:lang w:val="en-US" w:eastAsia="zh-CN"/>
        </w:rPr>
        <w:t xml:space="preserve"> 交易所鼓励集团在引入境外交易者的期货品种上探索境外交收业务。</w:t>
      </w:r>
    </w:p>
    <w:p>
      <w:pPr>
        <w:widowControl/>
        <w:spacing w:line="560" w:lineRule="exact"/>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b w:val="0"/>
          <w:bCs w:val="0"/>
          <w:color w:val="000000"/>
          <w:kern w:val="0"/>
          <w:sz w:val="32"/>
          <w:szCs w:val="32"/>
          <w:highlight w:val="none"/>
          <w:lang w:val="en-US" w:eastAsia="zh-CN"/>
        </w:rPr>
        <w:t>集团及有关境外交收业务参与者应当遵守外汇管理、海关管理等国家有关规定及交易所业务规则。</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三</w:t>
      </w:r>
      <w:r>
        <w:rPr>
          <w:rFonts w:hint="eastAsia" w:ascii="仿宋" w:hAnsi="仿宋" w:eastAsia="仿宋" w:cs="仿宋"/>
          <w:b/>
          <w:color w:val="000000"/>
          <w:kern w:val="0"/>
          <w:sz w:val="32"/>
          <w:szCs w:val="32"/>
          <w:highlight w:val="none"/>
        </w:rPr>
        <w:t>十条</w:t>
      </w:r>
      <w:r>
        <w:rPr>
          <w:rFonts w:hint="eastAsia" w:ascii="仿宋" w:hAnsi="仿宋" w:eastAsia="仿宋" w:cs="仿宋"/>
          <w:color w:val="000000"/>
          <w:kern w:val="0"/>
          <w:sz w:val="32"/>
          <w:szCs w:val="32"/>
          <w:highlight w:val="none"/>
        </w:rPr>
        <w:t xml:space="preserve"> 集团交割业务存在违规行为的，按照《</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交易所违规处理办法》的有关规定和约定处理。</w:t>
      </w:r>
    </w:p>
    <w:p>
      <w:pPr>
        <w:widowControl/>
        <w:spacing w:line="560" w:lineRule="exact"/>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三</w:t>
      </w:r>
      <w:r>
        <w:rPr>
          <w:rFonts w:hint="eastAsia" w:ascii="仿宋" w:hAnsi="仿宋" w:eastAsia="仿宋" w:cs="仿宋"/>
          <w:b/>
          <w:color w:val="000000"/>
          <w:kern w:val="0"/>
          <w:sz w:val="32"/>
          <w:szCs w:val="32"/>
          <w:highlight w:val="none"/>
        </w:rPr>
        <w:t>十</w:t>
      </w:r>
      <w:r>
        <w:rPr>
          <w:rFonts w:hint="eastAsia" w:ascii="仿宋" w:hAnsi="仿宋" w:eastAsia="仿宋" w:cs="仿宋"/>
          <w:b/>
          <w:color w:val="000000"/>
          <w:kern w:val="0"/>
          <w:sz w:val="32"/>
          <w:szCs w:val="32"/>
          <w:highlight w:val="none"/>
          <w:lang w:eastAsia="zh-CN"/>
        </w:rPr>
        <w:t>一</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本办法未规定的，按照《</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交易所交割管理办法》等规定办理。本办法解释权属于</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p>
    <w:p>
      <w:pPr>
        <w:ind w:firstLine="642" w:firstLineChars="200"/>
        <w:rPr>
          <w:rFonts w:hint="eastAsia" w:ascii="仿宋" w:hAnsi="仿宋" w:eastAsia="仿宋" w:cs="仿宋"/>
          <w:sz w:val="32"/>
          <w:szCs w:val="32"/>
          <w:highlight w:val="none"/>
          <w:lang w:val="en-US"/>
        </w:rPr>
      </w:pPr>
      <w:r>
        <w:rPr>
          <w:rFonts w:hint="eastAsia" w:ascii="仿宋" w:hAnsi="仿宋" w:eastAsia="仿宋" w:cs="仿宋"/>
          <w:b/>
          <w:color w:val="000000"/>
          <w:kern w:val="0"/>
          <w:sz w:val="32"/>
          <w:szCs w:val="32"/>
          <w:highlight w:val="none"/>
        </w:rPr>
        <w:t>第</w:t>
      </w:r>
      <w:r>
        <w:rPr>
          <w:rFonts w:hint="eastAsia" w:ascii="仿宋" w:hAnsi="仿宋" w:eastAsia="仿宋" w:cs="仿宋"/>
          <w:b/>
          <w:color w:val="000000"/>
          <w:kern w:val="0"/>
          <w:sz w:val="32"/>
          <w:szCs w:val="32"/>
          <w:highlight w:val="none"/>
          <w:lang w:eastAsia="zh-CN"/>
        </w:rPr>
        <w:t>三</w:t>
      </w:r>
      <w:r>
        <w:rPr>
          <w:rFonts w:hint="eastAsia" w:ascii="仿宋" w:hAnsi="仿宋" w:eastAsia="仿宋" w:cs="仿宋"/>
          <w:b/>
          <w:color w:val="000000"/>
          <w:kern w:val="0"/>
          <w:sz w:val="32"/>
          <w:szCs w:val="32"/>
          <w:highlight w:val="none"/>
        </w:rPr>
        <w:t>十</w:t>
      </w:r>
      <w:r>
        <w:rPr>
          <w:rFonts w:hint="eastAsia" w:ascii="仿宋" w:hAnsi="仿宋" w:eastAsia="仿宋" w:cs="仿宋"/>
          <w:b/>
          <w:color w:val="000000"/>
          <w:kern w:val="0"/>
          <w:sz w:val="32"/>
          <w:szCs w:val="32"/>
          <w:highlight w:val="none"/>
          <w:lang w:eastAsia="zh-CN"/>
        </w:rPr>
        <w:t>二</w:t>
      </w:r>
      <w:r>
        <w:rPr>
          <w:rFonts w:hint="eastAsia" w:ascii="仿宋" w:hAnsi="仿宋" w:eastAsia="仿宋" w:cs="仿宋"/>
          <w:b/>
          <w:color w:val="000000"/>
          <w:kern w:val="0"/>
          <w:sz w:val="32"/>
          <w:szCs w:val="32"/>
          <w:highlight w:val="none"/>
        </w:rPr>
        <w:t>条</w:t>
      </w:r>
      <w:r>
        <w:rPr>
          <w:rFonts w:hint="eastAsia" w:ascii="仿宋" w:hAnsi="仿宋" w:eastAsia="仿宋" w:cs="仿宋"/>
          <w:color w:val="000000"/>
          <w:kern w:val="0"/>
          <w:sz w:val="32"/>
          <w:szCs w:val="32"/>
          <w:highlight w:val="none"/>
        </w:rPr>
        <w:t xml:space="preserve"> 本办法自</w:t>
      </w:r>
      <w:r>
        <w:rPr>
          <w:rFonts w:hint="eastAsia" w:ascii="仿宋" w:hAnsi="仿宋" w:eastAsia="仿宋" w:cs="仿宋"/>
          <w:color w:val="000000"/>
          <w:kern w:val="0"/>
          <w:sz w:val="32"/>
          <w:szCs w:val="32"/>
          <w:highlight w:val="none"/>
          <w:lang w:val="en-US" w:eastAsia="zh-CN"/>
        </w:rPr>
        <w:t>X</w:t>
      </w:r>
      <w:r>
        <w:rPr>
          <w:rFonts w:hint="eastAsia" w:ascii="仿宋" w:hAnsi="仿宋" w:eastAsia="仿宋" w:cs="仿宋"/>
          <w:color w:val="000000"/>
          <w:kern w:val="0"/>
          <w:sz w:val="32"/>
          <w:szCs w:val="32"/>
          <w:highlight w:val="none"/>
        </w:rPr>
        <w:t>年</w:t>
      </w:r>
      <w:r>
        <w:rPr>
          <w:rFonts w:hint="eastAsia" w:ascii="仿宋" w:hAnsi="仿宋" w:eastAsia="仿宋" w:cs="仿宋"/>
          <w:color w:val="000000"/>
          <w:kern w:val="0"/>
          <w:sz w:val="32"/>
          <w:szCs w:val="32"/>
          <w:highlight w:val="none"/>
          <w:lang w:val="en-US" w:eastAsia="zh-CN"/>
        </w:rPr>
        <w:t>X</w:t>
      </w:r>
      <w:r>
        <w:rPr>
          <w:rFonts w:hint="eastAsia" w:ascii="仿宋" w:hAnsi="仿宋" w:eastAsia="仿宋" w:cs="仿宋"/>
          <w:color w:val="000000"/>
          <w:kern w:val="0"/>
          <w:sz w:val="32"/>
          <w:szCs w:val="32"/>
          <w:highlight w:val="none"/>
        </w:rPr>
        <w:t>月</w:t>
      </w:r>
      <w:r>
        <w:rPr>
          <w:rFonts w:hint="eastAsia" w:ascii="仿宋" w:hAnsi="仿宋" w:eastAsia="仿宋" w:cs="仿宋"/>
          <w:color w:val="000000"/>
          <w:kern w:val="0"/>
          <w:sz w:val="32"/>
          <w:szCs w:val="32"/>
          <w:highlight w:val="none"/>
          <w:lang w:val="en-US" w:eastAsia="zh-CN"/>
        </w:rPr>
        <w:t>X</w:t>
      </w:r>
      <w:r>
        <w:rPr>
          <w:rFonts w:hint="eastAsia" w:ascii="仿宋" w:hAnsi="仿宋" w:eastAsia="仿宋" w:cs="仿宋"/>
          <w:color w:val="000000"/>
          <w:kern w:val="0"/>
          <w:sz w:val="32"/>
          <w:szCs w:val="32"/>
          <w:highlight w:val="none"/>
        </w:rPr>
        <w:t>日起实施。</w:t>
      </w:r>
    </w:p>
    <w:p>
      <w:pPr>
        <w:rPr>
          <w:rFonts w:hint="eastAsia" w:ascii="仿宋" w:hAnsi="仿宋" w:eastAsia="仿宋" w:cs="仿宋"/>
          <w:sz w:val="32"/>
          <w:szCs w:val="32"/>
          <w:highlight w:val="none"/>
          <w:lang w:val="en-US"/>
        </w:rPr>
      </w:pPr>
    </w:p>
    <w:p>
      <w:pPr>
        <w:ind w:firstLine="648"/>
        <w:rPr>
          <w:rFonts w:ascii="仿宋" w:hAnsi="仿宋" w:eastAsia="仿宋"/>
          <w:sz w:val="32"/>
          <w:szCs w:val="32"/>
        </w:rPr>
      </w:pPr>
    </w:p>
    <w:p>
      <w:pPr>
        <w:ind w:right="800"/>
        <w:rPr>
          <w:rFonts w:ascii="仿宋" w:hAnsi="仿宋" w:eastAsia="仿宋"/>
          <w:sz w:val="32"/>
          <w:szCs w:val="32"/>
        </w:rPr>
      </w:pPr>
    </w:p>
    <w:p>
      <w:pPr>
        <w:ind w:right="800"/>
        <w:rPr>
          <w:rFonts w:ascii="仿宋" w:hAnsi="仿宋" w:eastAsia="仿宋"/>
          <w:sz w:val="32"/>
          <w:szCs w:val="32"/>
        </w:rPr>
      </w:pPr>
    </w:p>
    <w:p>
      <w:pPr>
        <w:ind w:right="800"/>
        <w:rPr>
          <w:rFonts w:ascii="仿宋" w:hAnsi="仿宋" w:eastAsia="仿宋"/>
          <w:sz w:val="32"/>
          <w:szCs w:val="32"/>
        </w:rPr>
      </w:pPr>
    </w:p>
    <w:p>
      <w:pPr>
        <w:rPr>
          <w:rFonts w:ascii="仿宋" w:hAnsi="仿宋" w:eastAsia="仿宋"/>
          <w:sz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sz w:val="28"/>
      </w:rPr>
    </w:pPr>
    <w:r>
      <w:rPr>
        <w:rFonts w:hint="eastAsia"/>
        <w:sz w:val="28"/>
      </w:rPr>
      <w:t>—</w:t>
    </w:r>
    <w:r>
      <w:rPr>
        <w:rStyle w:val="9"/>
        <w:sz w:val="28"/>
      </w:rPr>
      <w:fldChar w:fldCharType="begin"/>
    </w:r>
    <w:r>
      <w:rPr>
        <w:rStyle w:val="9"/>
        <w:sz w:val="28"/>
      </w:rPr>
      <w:instrText xml:space="preserve"> PAGE </w:instrText>
    </w:r>
    <w:r>
      <w:rPr>
        <w:rStyle w:val="9"/>
        <w:sz w:val="28"/>
      </w:rPr>
      <w:fldChar w:fldCharType="separate"/>
    </w:r>
    <w:r>
      <w:rPr>
        <w:rStyle w:val="9"/>
        <w:sz w:val="28"/>
      </w:rPr>
      <w:t>1</w:t>
    </w:r>
    <w:r>
      <w:rPr>
        <w:rStyle w:val="9"/>
        <w:sz w:val="28"/>
      </w:rPr>
      <w:fldChar w:fldCharType="end"/>
    </w:r>
    <w:r>
      <w:rPr>
        <w:rFonts w:hint="eastAsia"/>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sz w:val="28"/>
      </w:rPr>
    </w:pPr>
    <w:r>
      <w:rPr>
        <w:rFonts w:hint="eastAsia"/>
        <w:sz w:val="28"/>
      </w:rPr>
      <w:t>—</w:t>
    </w:r>
    <w:r>
      <w:rPr>
        <w:rStyle w:val="9"/>
        <w:sz w:val="28"/>
      </w:rPr>
      <w:fldChar w:fldCharType="begin"/>
    </w:r>
    <w:r>
      <w:rPr>
        <w:rStyle w:val="9"/>
        <w:sz w:val="28"/>
      </w:rPr>
      <w:instrText xml:space="preserve"> PAGE </w:instrText>
    </w:r>
    <w:r>
      <w:rPr>
        <w:rStyle w:val="9"/>
        <w:sz w:val="28"/>
      </w:rPr>
      <w:fldChar w:fldCharType="separate"/>
    </w:r>
    <w:r>
      <w:rPr>
        <w:rStyle w:val="9"/>
        <w:sz w:val="28"/>
      </w:rPr>
      <w:t>4</w:t>
    </w:r>
    <w:r>
      <w:rPr>
        <w:rStyle w:val="9"/>
        <w:sz w:val="28"/>
      </w:rPr>
      <w:fldChar w:fldCharType="end"/>
    </w:r>
    <w:r>
      <w:rPr>
        <w:rFonts w:hint="eastAsia"/>
        <w:sz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0E8A"/>
    <w:rsid w:val="000001F5"/>
    <w:rsid w:val="000003DC"/>
    <w:rsid w:val="000014F8"/>
    <w:rsid w:val="00002A40"/>
    <w:rsid w:val="00002BEB"/>
    <w:rsid w:val="00002E26"/>
    <w:rsid w:val="00004296"/>
    <w:rsid w:val="00004C6F"/>
    <w:rsid w:val="00004EB1"/>
    <w:rsid w:val="00005702"/>
    <w:rsid w:val="000073AA"/>
    <w:rsid w:val="00010417"/>
    <w:rsid w:val="00011183"/>
    <w:rsid w:val="00012607"/>
    <w:rsid w:val="0001260C"/>
    <w:rsid w:val="00014A55"/>
    <w:rsid w:val="000169B4"/>
    <w:rsid w:val="0002049C"/>
    <w:rsid w:val="000242DE"/>
    <w:rsid w:val="0002676C"/>
    <w:rsid w:val="00026C87"/>
    <w:rsid w:val="00027299"/>
    <w:rsid w:val="00030567"/>
    <w:rsid w:val="000329D1"/>
    <w:rsid w:val="0003324C"/>
    <w:rsid w:val="00034F86"/>
    <w:rsid w:val="00036407"/>
    <w:rsid w:val="00044139"/>
    <w:rsid w:val="0005173D"/>
    <w:rsid w:val="0005205B"/>
    <w:rsid w:val="00052C5E"/>
    <w:rsid w:val="0005492E"/>
    <w:rsid w:val="00056C26"/>
    <w:rsid w:val="00060795"/>
    <w:rsid w:val="000608B0"/>
    <w:rsid w:val="000617CC"/>
    <w:rsid w:val="00061A4A"/>
    <w:rsid w:val="0006518A"/>
    <w:rsid w:val="0006663E"/>
    <w:rsid w:val="00067B6F"/>
    <w:rsid w:val="00067BE9"/>
    <w:rsid w:val="00074328"/>
    <w:rsid w:val="00074E4B"/>
    <w:rsid w:val="000754DD"/>
    <w:rsid w:val="00081302"/>
    <w:rsid w:val="000820C9"/>
    <w:rsid w:val="00082102"/>
    <w:rsid w:val="00082D2E"/>
    <w:rsid w:val="0008334C"/>
    <w:rsid w:val="0008416A"/>
    <w:rsid w:val="00085DE8"/>
    <w:rsid w:val="000900EC"/>
    <w:rsid w:val="000901D1"/>
    <w:rsid w:val="00094CFF"/>
    <w:rsid w:val="000967AC"/>
    <w:rsid w:val="00097D09"/>
    <w:rsid w:val="000A140C"/>
    <w:rsid w:val="000A5168"/>
    <w:rsid w:val="000A5A3D"/>
    <w:rsid w:val="000B1E3C"/>
    <w:rsid w:val="000B31FF"/>
    <w:rsid w:val="000B3E74"/>
    <w:rsid w:val="000B5091"/>
    <w:rsid w:val="000B5688"/>
    <w:rsid w:val="000B7916"/>
    <w:rsid w:val="000C172F"/>
    <w:rsid w:val="000C17CA"/>
    <w:rsid w:val="000C3315"/>
    <w:rsid w:val="000C356C"/>
    <w:rsid w:val="000C4C59"/>
    <w:rsid w:val="000C7636"/>
    <w:rsid w:val="000D0540"/>
    <w:rsid w:val="000D606B"/>
    <w:rsid w:val="000D7306"/>
    <w:rsid w:val="000D762C"/>
    <w:rsid w:val="000E0627"/>
    <w:rsid w:val="000E06FA"/>
    <w:rsid w:val="000E5475"/>
    <w:rsid w:val="000E76FB"/>
    <w:rsid w:val="000F23E7"/>
    <w:rsid w:val="000F29FC"/>
    <w:rsid w:val="000F2DBF"/>
    <w:rsid w:val="000F40AA"/>
    <w:rsid w:val="001033A4"/>
    <w:rsid w:val="001062DA"/>
    <w:rsid w:val="001065BE"/>
    <w:rsid w:val="00110A8C"/>
    <w:rsid w:val="00110E85"/>
    <w:rsid w:val="00110E86"/>
    <w:rsid w:val="001213D3"/>
    <w:rsid w:val="0012151D"/>
    <w:rsid w:val="001228B3"/>
    <w:rsid w:val="00124271"/>
    <w:rsid w:val="00125339"/>
    <w:rsid w:val="0012557A"/>
    <w:rsid w:val="001314E3"/>
    <w:rsid w:val="00133D3D"/>
    <w:rsid w:val="00134BCD"/>
    <w:rsid w:val="00134E02"/>
    <w:rsid w:val="001356A6"/>
    <w:rsid w:val="00136D74"/>
    <w:rsid w:val="00137D11"/>
    <w:rsid w:val="00140916"/>
    <w:rsid w:val="001409DF"/>
    <w:rsid w:val="001433B9"/>
    <w:rsid w:val="00143967"/>
    <w:rsid w:val="00143D92"/>
    <w:rsid w:val="001441F0"/>
    <w:rsid w:val="001441F8"/>
    <w:rsid w:val="001447A0"/>
    <w:rsid w:val="0014593B"/>
    <w:rsid w:val="0014676B"/>
    <w:rsid w:val="00147675"/>
    <w:rsid w:val="00151823"/>
    <w:rsid w:val="00153C74"/>
    <w:rsid w:val="00154105"/>
    <w:rsid w:val="00156318"/>
    <w:rsid w:val="00156457"/>
    <w:rsid w:val="00162E48"/>
    <w:rsid w:val="00163388"/>
    <w:rsid w:val="00163ECE"/>
    <w:rsid w:val="00164038"/>
    <w:rsid w:val="00164B62"/>
    <w:rsid w:val="00164F46"/>
    <w:rsid w:val="001706AC"/>
    <w:rsid w:val="00171E7C"/>
    <w:rsid w:val="00171F06"/>
    <w:rsid w:val="0017384B"/>
    <w:rsid w:val="00176367"/>
    <w:rsid w:val="00180471"/>
    <w:rsid w:val="00181992"/>
    <w:rsid w:val="00181DFD"/>
    <w:rsid w:val="0018239C"/>
    <w:rsid w:val="001861A4"/>
    <w:rsid w:val="001862D9"/>
    <w:rsid w:val="00190997"/>
    <w:rsid w:val="00191680"/>
    <w:rsid w:val="00192AD1"/>
    <w:rsid w:val="00194106"/>
    <w:rsid w:val="001A0003"/>
    <w:rsid w:val="001A0DA0"/>
    <w:rsid w:val="001A356C"/>
    <w:rsid w:val="001A52B1"/>
    <w:rsid w:val="001A7B8A"/>
    <w:rsid w:val="001B2208"/>
    <w:rsid w:val="001B3392"/>
    <w:rsid w:val="001B3B4A"/>
    <w:rsid w:val="001B616B"/>
    <w:rsid w:val="001B6997"/>
    <w:rsid w:val="001B6D33"/>
    <w:rsid w:val="001B6EF1"/>
    <w:rsid w:val="001C0D37"/>
    <w:rsid w:val="001C1EBD"/>
    <w:rsid w:val="001C2DA1"/>
    <w:rsid w:val="001C4BA8"/>
    <w:rsid w:val="001C4E7B"/>
    <w:rsid w:val="001C5CE6"/>
    <w:rsid w:val="001C7403"/>
    <w:rsid w:val="001D2C75"/>
    <w:rsid w:val="001D3188"/>
    <w:rsid w:val="001D33B7"/>
    <w:rsid w:val="001D6F9A"/>
    <w:rsid w:val="001E18EE"/>
    <w:rsid w:val="001E18F9"/>
    <w:rsid w:val="001E366C"/>
    <w:rsid w:val="001E4DE0"/>
    <w:rsid w:val="001E4FD8"/>
    <w:rsid w:val="001E66F0"/>
    <w:rsid w:val="001F04EB"/>
    <w:rsid w:val="001F261A"/>
    <w:rsid w:val="001F3D02"/>
    <w:rsid w:val="001F4C5C"/>
    <w:rsid w:val="001F52D8"/>
    <w:rsid w:val="001F5336"/>
    <w:rsid w:val="001F7336"/>
    <w:rsid w:val="001F7DEE"/>
    <w:rsid w:val="002027A7"/>
    <w:rsid w:val="002030EA"/>
    <w:rsid w:val="002064B3"/>
    <w:rsid w:val="0021318F"/>
    <w:rsid w:val="00213A1D"/>
    <w:rsid w:val="0021433B"/>
    <w:rsid w:val="00215DED"/>
    <w:rsid w:val="002203D1"/>
    <w:rsid w:val="002205AB"/>
    <w:rsid w:val="0022195F"/>
    <w:rsid w:val="0022333C"/>
    <w:rsid w:val="00223499"/>
    <w:rsid w:val="0022466A"/>
    <w:rsid w:val="002265F2"/>
    <w:rsid w:val="00227684"/>
    <w:rsid w:val="002308AD"/>
    <w:rsid w:val="00230BBB"/>
    <w:rsid w:val="0023113C"/>
    <w:rsid w:val="002339F9"/>
    <w:rsid w:val="00233A04"/>
    <w:rsid w:val="00233AA1"/>
    <w:rsid w:val="002342EC"/>
    <w:rsid w:val="00236543"/>
    <w:rsid w:val="00236A42"/>
    <w:rsid w:val="002373CA"/>
    <w:rsid w:val="00237510"/>
    <w:rsid w:val="002411B9"/>
    <w:rsid w:val="00241BA8"/>
    <w:rsid w:val="002425E4"/>
    <w:rsid w:val="00242C8C"/>
    <w:rsid w:val="00244C30"/>
    <w:rsid w:val="002465C0"/>
    <w:rsid w:val="00247137"/>
    <w:rsid w:val="00251A65"/>
    <w:rsid w:val="002520CF"/>
    <w:rsid w:val="0025352C"/>
    <w:rsid w:val="00253770"/>
    <w:rsid w:val="002548CD"/>
    <w:rsid w:val="00257D88"/>
    <w:rsid w:val="0026069B"/>
    <w:rsid w:val="002658FB"/>
    <w:rsid w:val="002669A1"/>
    <w:rsid w:val="00267DAA"/>
    <w:rsid w:val="00270700"/>
    <w:rsid w:val="00270AE1"/>
    <w:rsid w:val="002719A7"/>
    <w:rsid w:val="002735CC"/>
    <w:rsid w:val="0027432D"/>
    <w:rsid w:val="0028016B"/>
    <w:rsid w:val="00280F80"/>
    <w:rsid w:val="00281DBB"/>
    <w:rsid w:val="002829F2"/>
    <w:rsid w:val="0028462F"/>
    <w:rsid w:val="00286088"/>
    <w:rsid w:val="00287836"/>
    <w:rsid w:val="00287BED"/>
    <w:rsid w:val="00291BA0"/>
    <w:rsid w:val="00291DD3"/>
    <w:rsid w:val="00291E6A"/>
    <w:rsid w:val="002953EA"/>
    <w:rsid w:val="00295707"/>
    <w:rsid w:val="00297E3F"/>
    <w:rsid w:val="002A08CD"/>
    <w:rsid w:val="002A0A8F"/>
    <w:rsid w:val="002A2D8E"/>
    <w:rsid w:val="002A3208"/>
    <w:rsid w:val="002B18F5"/>
    <w:rsid w:val="002B1977"/>
    <w:rsid w:val="002B21D8"/>
    <w:rsid w:val="002B53B4"/>
    <w:rsid w:val="002B5E5D"/>
    <w:rsid w:val="002B79A7"/>
    <w:rsid w:val="002C067B"/>
    <w:rsid w:val="002C2288"/>
    <w:rsid w:val="002C2AD8"/>
    <w:rsid w:val="002C401D"/>
    <w:rsid w:val="002C49BB"/>
    <w:rsid w:val="002C545C"/>
    <w:rsid w:val="002C54DF"/>
    <w:rsid w:val="002C66E0"/>
    <w:rsid w:val="002D4C09"/>
    <w:rsid w:val="002D5C89"/>
    <w:rsid w:val="002D6773"/>
    <w:rsid w:val="002E1A35"/>
    <w:rsid w:val="002E25FB"/>
    <w:rsid w:val="002E3400"/>
    <w:rsid w:val="002E39C3"/>
    <w:rsid w:val="002E39F5"/>
    <w:rsid w:val="002E481D"/>
    <w:rsid w:val="002E7A81"/>
    <w:rsid w:val="002F1A51"/>
    <w:rsid w:val="002F4C97"/>
    <w:rsid w:val="002F5419"/>
    <w:rsid w:val="0030292D"/>
    <w:rsid w:val="00306EBE"/>
    <w:rsid w:val="0031001B"/>
    <w:rsid w:val="00312BA8"/>
    <w:rsid w:val="003149DA"/>
    <w:rsid w:val="00317E1B"/>
    <w:rsid w:val="00321B8F"/>
    <w:rsid w:val="00321C8E"/>
    <w:rsid w:val="003223F2"/>
    <w:rsid w:val="003226A6"/>
    <w:rsid w:val="003231B1"/>
    <w:rsid w:val="0032481B"/>
    <w:rsid w:val="003301BB"/>
    <w:rsid w:val="0033099F"/>
    <w:rsid w:val="003314C9"/>
    <w:rsid w:val="00333080"/>
    <w:rsid w:val="00336655"/>
    <w:rsid w:val="0033681A"/>
    <w:rsid w:val="00340820"/>
    <w:rsid w:val="00344236"/>
    <w:rsid w:val="00344F8F"/>
    <w:rsid w:val="003461AD"/>
    <w:rsid w:val="00347FB0"/>
    <w:rsid w:val="00350091"/>
    <w:rsid w:val="00352A3F"/>
    <w:rsid w:val="003561DD"/>
    <w:rsid w:val="003602CA"/>
    <w:rsid w:val="0036356D"/>
    <w:rsid w:val="00364976"/>
    <w:rsid w:val="00365F05"/>
    <w:rsid w:val="0037359E"/>
    <w:rsid w:val="0037586C"/>
    <w:rsid w:val="0037605A"/>
    <w:rsid w:val="00377265"/>
    <w:rsid w:val="003801B1"/>
    <w:rsid w:val="00382171"/>
    <w:rsid w:val="00382985"/>
    <w:rsid w:val="003849B5"/>
    <w:rsid w:val="00384FA8"/>
    <w:rsid w:val="00386551"/>
    <w:rsid w:val="00387FA7"/>
    <w:rsid w:val="00390ABB"/>
    <w:rsid w:val="003913E8"/>
    <w:rsid w:val="00392985"/>
    <w:rsid w:val="003930F1"/>
    <w:rsid w:val="0039314B"/>
    <w:rsid w:val="00393181"/>
    <w:rsid w:val="00395343"/>
    <w:rsid w:val="003967D5"/>
    <w:rsid w:val="003A107E"/>
    <w:rsid w:val="003A133D"/>
    <w:rsid w:val="003A7001"/>
    <w:rsid w:val="003A748A"/>
    <w:rsid w:val="003A7807"/>
    <w:rsid w:val="003A7D1E"/>
    <w:rsid w:val="003B01E2"/>
    <w:rsid w:val="003B51C1"/>
    <w:rsid w:val="003B7506"/>
    <w:rsid w:val="003B7561"/>
    <w:rsid w:val="003B75E3"/>
    <w:rsid w:val="003B75EE"/>
    <w:rsid w:val="003C051B"/>
    <w:rsid w:val="003C151A"/>
    <w:rsid w:val="003C1A4A"/>
    <w:rsid w:val="003C2638"/>
    <w:rsid w:val="003C3470"/>
    <w:rsid w:val="003C4245"/>
    <w:rsid w:val="003C5A99"/>
    <w:rsid w:val="003D0613"/>
    <w:rsid w:val="003D0967"/>
    <w:rsid w:val="003D19D2"/>
    <w:rsid w:val="003D556B"/>
    <w:rsid w:val="003D7F73"/>
    <w:rsid w:val="003E0362"/>
    <w:rsid w:val="003E1029"/>
    <w:rsid w:val="003E2FE4"/>
    <w:rsid w:val="003E4471"/>
    <w:rsid w:val="003E6C9F"/>
    <w:rsid w:val="003E73A5"/>
    <w:rsid w:val="003E7595"/>
    <w:rsid w:val="003E787F"/>
    <w:rsid w:val="003F01B2"/>
    <w:rsid w:val="003F0D09"/>
    <w:rsid w:val="003F4183"/>
    <w:rsid w:val="003F6309"/>
    <w:rsid w:val="003F6ED2"/>
    <w:rsid w:val="003F769A"/>
    <w:rsid w:val="003F7EF5"/>
    <w:rsid w:val="0040148C"/>
    <w:rsid w:val="004018D9"/>
    <w:rsid w:val="00403A9B"/>
    <w:rsid w:val="00404591"/>
    <w:rsid w:val="00405FD8"/>
    <w:rsid w:val="00406F84"/>
    <w:rsid w:val="00407062"/>
    <w:rsid w:val="00410188"/>
    <w:rsid w:val="00410991"/>
    <w:rsid w:val="00411DB1"/>
    <w:rsid w:val="004126B3"/>
    <w:rsid w:val="00416877"/>
    <w:rsid w:val="00420EDB"/>
    <w:rsid w:val="00423645"/>
    <w:rsid w:val="00423667"/>
    <w:rsid w:val="00425A35"/>
    <w:rsid w:val="004269A5"/>
    <w:rsid w:val="00426A35"/>
    <w:rsid w:val="0043178A"/>
    <w:rsid w:val="00433114"/>
    <w:rsid w:val="00433274"/>
    <w:rsid w:val="00433B15"/>
    <w:rsid w:val="004374B5"/>
    <w:rsid w:val="004408B1"/>
    <w:rsid w:val="00440D54"/>
    <w:rsid w:val="00440F13"/>
    <w:rsid w:val="004414FB"/>
    <w:rsid w:val="00442279"/>
    <w:rsid w:val="00444D7A"/>
    <w:rsid w:val="00446281"/>
    <w:rsid w:val="00446447"/>
    <w:rsid w:val="00446938"/>
    <w:rsid w:val="004473BE"/>
    <w:rsid w:val="0045364B"/>
    <w:rsid w:val="0046210E"/>
    <w:rsid w:val="00462A8C"/>
    <w:rsid w:val="00466AFC"/>
    <w:rsid w:val="00470443"/>
    <w:rsid w:val="00470D46"/>
    <w:rsid w:val="0047312A"/>
    <w:rsid w:val="00473ED2"/>
    <w:rsid w:val="00474229"/>
    <w:rsid w:val="00480E20"/>
    <w:rsid w:val="004821A8"/>
    <w:rsid w:val="004829A0"/>
    <w:rsid w:val="00484774"/>
    <w:rsid w:val="00485652"/>
    <w:rsid w:val="00486416"/>
    <w:rsid w:val="00490F3B"/>
    <w:rsid w:val="004921FC"/>
    <w:rsid w:val="00492DE1"/>
    <w:rsid w:val="0049421E"/>
    <w:rsid w:val="0049451D"/>
    <w:rsid w:val="00496FBD"/>
    <w:rsid w:val="00497FC8"/>
    <w:rsid w:val="004A089A"/>
    <w:rsid w:val="004A0F82"/>
    <w:rsid w:val="004A5508"/>
    <w:rsid w:val="004A59DC"/>
    <w:rsid w:val="004A627A"/>
    <w:rsid w:val="004B0CDC"/>
    <w:rsid w:val="004B2684"/>
    <w:rsid w:val="004B39FE"/>
    <w:rsid w:val="004B4495"/>
    <w:rsid w:val="004B63B0"/>
    <w:rsid w:val="004C14F0"/>
    <w:rsid w:val="004C1BB7"/>
    <w:rsid w:val="004C23D2"/>
    <w:rsid w:val="004C3FD8"/>
    <w:rsid w:val="004C47BC"/>
    <w:rsid w:val="004C7DC3"/>
    <w:rsid w:val="004D0874"/>
    <w:rsid w:val="004D0C9D"/>
    <w:rsid w:val="004D0D5C"/>
    <w:rsid w:val="004D1EE3"/>
    <w:rsid w:val="004D2CD1"/>
    <w:rsid w:val="004D57D3"/>
    <w:rsid w:val="004D7963"/>
    <w:rsid w:val="004E1889"/>
    <w:rsid w:val="004E390F"/>
    <w:rsid w:val="004E5897"/>
    <w:rsid w:val="004E683C"/>
    <w:rsid w:val="004E7E37"/>
    <w:rsid w:val="004E7F35"/>
    <w:rsid w:val="004F0AD2"/>
    <w:rsid w:val="004F3A0C"/>
    <w:rsid w:val="004F49CC"/>
    <w:rsid w:val="004F5AB1"/>
    <w:rsid w:val="005001D1"/>
    <w:rsid w:val="00500FB7"/>
    <w:rsid w:val="0050160E"/>
    <w:rsid w:val="00501C80"/>
    <w:rsid w:val="00503228"/>
    <w:rsid w:val="005046CA"/>
    <w:rsid w:val="005048F5"/>
    <w:rsid w:val="00505011"/>
    <w:rsid w:val="00505EDB"/>
    <w:rsid w:val="00507749"/>
    <w:rsid w:val="00507CE6"/>
    <w:rsid w:val="00514116"/>
    <w:rsid w:val="005153FE"/>
    <w:rsid w:val="0052702A"/>
    <w:rsid w:val="00527C0C"/>
    <w:rsid w:val="00527D39"/>
    <w:rsid w:val="00535129"/>
    <w:rsid w:val="005379F1"/>
    <w:rsid w:val="00540AA8"/>
    <w:rsid w:val="00541262"/>
    <w:rsid w:val="00541F96"/>
    <w:rsid w:val="00542C13"/>
    <w:rsid w:val="00545CBA"/>
    <w:rsid w:val="00546229"/>
    <w:rsid w:val="00546406"/>
    <w:rsid w:val="00551A87"/>
    <w:rsid w:val="00551C0C"/>
    <w:rsid w:val="00554132"/>
    <w:rsid w:val="0055488E"/>
    <w:rsid w:val="00554FF2"/>
    <w:rsid w:val="0055541A"/>
    <w:rsid w:val="00555939"/>
    <w:rsid w:val="00556447"/>
    <w:rsid w:val="005621AA"/>
    <w:rsid w:val="005628BD"/>
    <w:rsid w:val="00564AE3"/>
    <w:rsid w:val="00564C50"/>
    <w:rsid w:val="005668E5"/>
    <w:rsid w:val="00566CC1"/>
    <w:rsid w:val="00567284"/>
    <w:rsid w:val="00571B6C"/>
    <w:rsid w:val="005729DA"/>
    <w:rsid w:val="005738F5"/>
    <w:rsid w:val="00574D60"/>
    <w:rsid w:val="00575806"/>
    <w:rsid w:val="005819FD"/>
    <w:rsid w:val="00581D48"/>
    <w:rsid w:val="00582539"/>
    <w:rsid w:val="00583F73"/>
    <w:rsid w:val="005846F6"/>
    <w:rsid w:val="0058594A"/>
    <w:rsid w:val="00590D0A"/>
    <w:rsid w:val="0059177F"/>
    <w:rsid w:val="00592AEE"/>
    <w:rsid w:val="00592EA1"/>
    <w:rsid w:val="00593014"/>
    <w:rsid w:val="0059455E"/>
    <w:rsid w:val="0059464C"/>
    <w:rsid w:val="00595D4E"/>
    <w:rsid w:val="005A1D09"/>
    <w:rsid w:val="005A3192"/>
    <w:rsid w:val="005A50CF"/>
    <w:rsid w:val="005A6A99"/>
    <w:rsid w:val="005B0920"/>
    <w:rsid w:val="005B2CFA"/>
    <w:rsid w:val="005B3EB0"/>
    <w:rsid w:val="005B4FEC"/>
    <w:rsid w:val="005B5660"/>
    <w:rsid w:val="005B59CF"/>
    <w:rsid w:val="005B6DD9"/>
    <w:rsid w:val="005C02E0"/>
    <w:rsid w:val="005C04FC"/>
    <w:rsid w:val="005C0873"/>
    <w:rsid w:val="005C1FB9"/>
    <w:rsid w:val="005C2E57"/>
    <w:rsid w:val="005C5072"/>
    <w:rsid w:val="005D1EB0"/>
    <w:rsid w:val="005D3662"/>
    <w:rsid w:val="005D514A"/>
    <w:rsid w:val="005D5928"/>
    <w:rsid w:val="005D592A"/>
    <w:rsid w:val="005D6191"/>
    <w:rsid w:val="005D6E7E"/>
    <w:rsid w:val="005D7939"/>
    <w:rsid w:val="005E0426"/>
    <w:rsid w:val="005E0D26"/>
    <w:rsid w:val="005E1791"/>
    <w:rsid w:val="005E3374"/>
    <w:rsid w:val="005E3E96"/>
    <w:rsid w:val="005E555F"/>
    <w:rsid w:val="005E5956"/>
    <w:rsid w:val="005E5BC9"/>
    <w:rsid w:val="005F12E8"/>
    <w:rsid w:val="005F21B2"/>
    <w:rsid w:val="005F4FB5"/>
    <w:rsid w:val="005F6138"/>
    <w:rsid w:val="005F713B"/>
    <w:rsid w:val="005F7E81"/>
    <w:rsid w:val="00601454"/>
    <w:rsid w:val="00602ADC"/>
    <w:rsid w:val="006037EF"/>
    <w:rsid w:val="00603D6E"/>
    <w:rsid w:val="00606801"/>
    <w:rsid w:val="00607C2B"/>
    <w:rsid w:val="00607DBD"/>
    <w:rsid w:val="00610591"/>
    <w:rsid w:val="00613D08"/>
    <w:rsid w:val="0061555B"/>
    <w:rsid w:val="00617CB2"/>
    <w:rsid w:val="00620DF9"/>
    <w:rsid w:val="00621317"/>
    <w:rsid w:val="00623308"/>
    <w:rsid w:val="006248CD"/>
    <w:rsid w:val="00624A63"/>
    <w:rsid w:val="00625B3C"/>
    <w:rsid w:val="0062699B"/>
    <w:rsid w:val="00630498"/>
    <w:rsid w:val="006314E1"/>
    <w:rsid w:val="006328C3"/>
    <w:rsid w:val="00632F5E"/>
    <w:rsid w:val="00633E7F"/>
    <w:rsid w:val="00635785"/>
    <w:rsid w:val="0063717C"/>
    <w:rsid w:val="00640929"/>
    <w:rsid w:val="00641386"/>
    <w:rsid w:val="00641C5C"/>
    <w:rsid w:val="00644D4D"/>
    <w:rsid w:val="00645213"/>
    <w:rsid w:val="006474F9"/>
    <w:rsid w:val="0065129A"/>
    <w:rsid w:val="00651AEC"/>
    <w:rsid w:val="00651D9C"/>
    <w:rsid w:val="00652D9B"/>
    <w:rsid w:val="006537A3"/>
    <w:rsid w:val="00653B1E"/>
    <w:rsid w:val="00653EDC"/>
    <w:rsid w:val="00654E70"/>
    <w:rsid w:val="00655591"/>
    <w:rsid w:val="006562F6"/>
    <w:rsid w:val="0066079D"/>
    <w:rsid w:val="00660A2F"/>
    <w:rsid w:val="00660B6E"/>
    <w:rsid w:val="006627B1"/>
    <w:rsid w:val="00663022"/>
    <w:rsid w:val="0066351A"/>
    <w:rsid w:val="00665C44"/>
    <w:rsid w:val="00665DDA"/>
    <w:rsid w:val="00670F02"/>
    <w:rsid w:val="0067102D"/>
    <w:rsid w:val="0067266B"/>
    <w:rsid w:val="00673F4C"/>
    <w:rsid w:val="006742EA"/>
    <w:rsid w:val="00674913"/>
    <w:rsid w:val="00674E39"/>
    <w:rsid w:val="00677267"/>
    <w:rsid w:val="0068138E"/>
    <w:rsid w:val="00684780"/>
    <w:rsid w:val="00686E1A"/>
    <w:rsid w:val="0069003D"/>
    <w:rsid w:val="0069003F"/>
    <w:rsid w:val="00692E94"/>
    <w:rsid w:val="006969B9"/>
    <w:rsid w:val="006A0F09"/>
    <w:rsid w:val="006A1AEA"/>
    <w:rsid w:val="006A2176"/>
    <w:rsid w:val="006A2184"/>
    <w:rsid w:val="006A3A0A"/>
    <w:rsid w:val="006A5DA6"/>
    <w:rsid w:val="006A6DE3"/>
    <w:rsid w:val="006A7851"/>
    <w:rsid w:val="006A7EA8"/>
    <w:rsid w:val="006B0ACE"/>
    <w:rsid w:val="006B2BDD"/>
    <w:rsid w:val="006B4965"/>
    <w:rsid w:val="006B4980"/>
    <w:rsid w:val="006C02A5"/>
    <w:rsid w:val="006C0447"/>
    <w:rsid w:val="006C129D"/>
    <w:rsid w:val="006C203E"/>
    <w:rsid w:val="006C38A4"/>
    <w:rsid w:val="006C49FD"/>
    <w:rsid w:val="006C4B97"/>
    <w:rsid w:val="006C50CD"/>
    <w:rsid w:val="006C6454"/>
    <w:rsid w:val="006C7AC8"/>
    <w:rsid w:val="006D149C"/>
    <w:rsid w:val="006D3857"/>
    <w:rsid w:val="006D4925"/>
    <w:rsid w:val="006D569A"/>
    <w:rsid w:val="006E31D8"/>
    <w:rsid w:val="006E6A2A"/>
    <w:rsid w:val="006F0484"/>
    <w:rsid w:val="006F080C"/>
    <w:rsid w:val="006F1359"/>
    <w:rsid w:val="006F158B"/>
    <w:rsid w:val="006F1E58"/>
    <w:rsid w:val="006F23CB"/>
    <w:rsid w:val="006F48E3"/>
    <w:rsid w:val="006F50AC"/>
    <w:rsid w:val="006F74A2"/>
    <w:rsid w:val="00700211"/>
    <w:rsid w:val="007011FA"/>
    <w:rsid w:val="00703268"/>
    <w:rsid w:val="0070466B"/>
    <w:rsid w:val="00704C41"/>
    <w:rsid w:val="00705B6C"/>
    <w:rsid w:val="0071126F"/>
    <w:rsid w:val="00716716"/>
    <w:rsid w:val="007174FB"/>
    <w:rsid w:val="0072193C"/>
    <w:rsid w:val="00722195"/>
    <w:rsid w:val="00722DF3"/>
    <w:rsid w:val="0072337C"/>
    <w:rsid w:val="007248DD"/>
    <w:rsid w:val="00725DC9"/>
    <w:rsid w:val="007353B7"/>
    <w:rsid w:val="007401A6"/>
    <w:rsid w:val="007411E7"/>
    <w:rsid w:val="007421F7"/>
    <w:rsid w:val="00743992"/>
    <w:rsid w:val="00746E50"/>
    <w:rsid w:val="00753B62"/>
    <w:rsid w:val="00756541"/>
    <w:rsid w:val="007577C1"/>
    <w:rsid w:val="00762951"/>
    <w:rsid w:val="00762D59"/>
    <w:rsid w:val="007645DA"/>
    <w:rsid w:val="00764E4E"/>
    <w:rsid w:val="00767AB0"/>
    <w:rsid w:val="00767CFD"/>
    <w:rsid w:val="00767F64"/>
    <w:rsid w:val="00770547"/>
    <w:rsid w:val="00770D97"/>
    <w:rsid w:val="00774CBB"/>
    <w:rsid w:val="00776102"/>
    <w:rsid w:val="00776C9C"/>
    <w:rsid w:val="00777225"/>
    <w:rsid w:val="00782F7F"/>
    <w:rsid w:val="00782FB3"/>
    <w:rsid w:val="00785516"/>
    <w:rsid w:val="00786FDC"/>
    <w:rsid w:val="007870B5"/>
    <w:rsid w:val="00787A85"/>
    <w:rsid w:val="00791FF4"/>
    <w:rsid w:val="00793217"/>
    <w:rsid w:val="007934D7"/>
    <w:rsid w:val="007936C6"/>
    <w:rsid w:val="007945EC"/>
    <w:rsid w:val="0079609E"/>
    <w:rsid w:val="00797651"/>
    <w:rsid w:val="007A0D07"/>
    <w:rsid w:val="007A1C3A"/>
    <w:rsid w:val="007A7856"/>
    <w:rsid w:val="007B045B"/>
    <w:rsid w:val="007B0F2F"/>
    <w:rsid w:val="007B225A"/>
    <w:rsid w:val="007B3428"/>
    <w:rsid w:val="007B3443"/>
    <w:rsid w:val="007B74D2"/>
    <w:rsid w:val="007C0A55"/>
    <w:rsid w:val="007C1F4B"/>
    <w:rsid w:val="007C406F"/>
    <w:rsid w:val="007C41F5"/>
    <w:rsid w:val="007C44FF"/>
    <w:rsid w:val="007D117D"/>
    <w:rsid w:val="007D50B2"/>
    <w:rsid w:val="007E1202"/>
    <w:rsid w:val="007E1648"/>
    <w:rsid w:val="007E1CF4"/>
    <w:rsid w:val="007E4F5C"/>
    <w:rsid w:val="007F0B9C"/>
    <w:rsid w:val="007F12DF"/>
    <w:rsid w:val="007F25BD"/>
    <w:rsid w:val="007F47CF"/>
    <w:rsid w:val="007F5054"/>
    <w:rsid w:val="00801CD4"/>
    <w:rsid w:val="008041DD"/>
    <w:rsid w:val="0080452C"/>
    <w:rsid w:val="00805924"/>
    <w:rsid w:val="008079BF"/>
    <w:rsid w:val="00807B60"/>
    <w:rsid w:val="00807BD8"/>
    <w:rsid w:val="00807C11"/>
    <w:rsid w:val="008105F4"/>
    <w:rsid w:val="008119D8"/>
    <w:rsid w:val="00811E93"/>
    <w:rsid w:val="008125CE"/>
    <w:rsid w:val="008146E6"/>
    <w:rsid w:val="00814C5F"/>
    <w:rsid w:val="008332E6"/>
    <w:rsid w:val="0083409E"/>
    <w:rsid w:val="008347C5"/>
    <w:rsid w:val="008353DC"/>
    <w:rsid w:val="00835DF3"/>
    <w:rsid w:val="008402AB"/>
    <w:rsid w:val="00840C50"/>
    <w:rsid w:val="00842221"/>
    <w:rsid w:val="00843C4D"/>
    <w:rsid w:val="008455D2"/>
    <w:rsid w:val="0085280D"/>
    <w:rsid w:val="00854C4A"/>
    <w:rsid w:val="00855939"/>
    <w:rsid w:val="00855A48"/>
    <w:rsid w:val="00857098"/>
    <w:rsid w:val="00857D9B"/>
    <w:rsid w:val="00860824"/>
    <w:rsid w:val="0086088F"/>
    <w:rsid w:val="00860F09"/>
    <w:rsid w:val="00862247"/>
    <w:rsid w:val="0086374F"/>
    <w:rsid w:val="0086458C"/>
    <w:rsid w:val="00865982"/>
    <w:rsid w:val="008677F8"/>
    <w:rsid w:val="00867CBC"/>
    <w:rsid w:val="0087311C"/>
    <w:rsid w:val="0087312B"/>
    <w:rsid w:val="00877623"/>
    <w:rsid w:val="00880FE3"/>
    <w:rsid w:val="00885AF3"/>
    <w:rsid w:val="008861DB"/>
    <w:rsid w:val="00886B5B"/>
    <w:rsid w:val="00887BC0"/>
    <w:rsid w:val="00890E4E"/>
    <w:rsid w:val="00892CEA"/>
    <w:rsid w:val="00893FA5"/>
    <w:rsid w:val="00895ED3"/>
    <w:rsid w:val="00896A7D"/>
    <w:rsid w:val="00896D80"/>
    <w:rsid w:val="00896F45"/>
    <w:rsid w:val="008975C2"/>
    <w:rsid w:val="00897F0A"/>
    <w:rsid w:val="008A29C6"/>
    <w:rsid w:val="008A3724"/>
    <w:rsid w:val="008A37A0"/>
    <w:rsid w:val="008A3D86"/>
    <w:rsid w:val="008A4369"/>
    <w:rsid w:val="008A6A41"/>
    <w:rsid w:val="008A7137"/>
    <w:rsid w:val="008A73A6"/>
    <w:rsid w:val="008A752D"/>
    <w:rsid w:val="008B0BEF"/>
    <w:rsid w:val="008B108E"/>
    <w:rsid w:val="008B4109"/>
    <w:rsid w:val="008B44D1"/>
    <w:rsid w:val="008B58D3"/>
    <w:rsid w:val="008B666D"/>
    <w:rsid w:val="008B726D"/>
    <w:rsid w:val="008C4D65"/>
    <w:rsid w:val="008C5808"/>
    <w:rsid w:val="008C6277"/>
    <w:rsid w:val="008C686F"/>
    <w:rsid w:val="008C69E6"/>
    <w:rsid w:val="008C791C"/>
    <w:rsid w:val="008C79E3"/>
    <w:rsid w:val="008C7A2C"/>
    <w:rsid w:val="008D1F8C"/>
    <w:rsid w:val="008D43F0"/>
    <w:rsid w:val="008D6A30"/>
    <w:rsid w:val="008D70A1"/>
    <w:rsid w:val="008D7E6C"/>
    <w:rsid w:val="008D7F8E"/>
    <w:rsid w:val="008E1CF1"/>
    <w:rsid w:val="008E4600"/>
    <w:rsid w:val="008E4864"/>
    <w:rsid w:val="008E5280"/>
    <w:rsid w:val="008F194F"/>
    <w:rsid w:val="008F23BA"/>
    <w:rsid w:val="008F707F"/>
    <w:rsid w:val="008F7AF0"/>
    <w:rsid w:val="0090427D"/>
    <w:rsid w:val="009049B0"/>
    <w:rsid w:val="00907630"/>
    <w:rsid w:val="00907746"/>
    <w:rsid w:val="00912290"/>
    <w:rsid w:val="009179C7"/>
    <w:rsid w:val="009213DC"/>
    <w:rsid w:val="00922713"/>
    <w:rsid w:val="0092514C"/>
    <w:rsid w:val="00925743"/>
    <w:rsid w:val="00926249"/>
    <w:rsid w:val="00927B12"/>
    <w:rsid w:val="00927DD5"/>
    <w:rsid w:val="00933314"/>
    <w:rsid w:val="00936376"/>
    <w:rsid w:val="00936625"/>
    <w:rsid w:val="00936727"/>
    <w:rsid w:val="0094190F"/>
    <w:rsid w:val="00941D9D"/>
    <w:rsid w:val="00941E8C"/>
    <w:rsid w:val="00942036"/>
    <w:rsid w:val="009435D7"/>
    <w:rsid w:val="00945CAD"/>
    <w:rsid w:val="00946101"/>
    <w:rsid w:val="009471A6"/>
    <w:rsid w:val="00950339"/>
    <w:rsid w:val="0095072D"/>
    <w:rsid w:val="009516B9"/>
    <w:rsid w:val="00951E05"/>
    <w:rsid w:val="00953FE9"/>
    <w:rsid w:val="00967314"/>
    <w:rsid w:val="00967401"/>
    <w:rsid w:val="00967C83"/>
    <w:rsid w:val="009735A6"/>
    <w:rsid w:val="00975B60"/>
    <w:rsid w:val="009773DF"/>
    <w:rsid w:val="00977777"/>
    <w:rsid w:val="00977B4E"/>
    <w:rsid w:val="00981747"/>
    <w:rsid w:val="00983412"/>
    <w:rsid w:val="00985E9D"/>
    <w:rsid w:val="0099036A"/>
    <w:rsid w:val="00990981"/>
    <w:rsid w:val="00991648"/>
    <w:rsid w:val="00992245"/>
    <w:rsid w:val="009A2431"/>
    <w:rsid w:val="009A3D9F"/>
    <w:rsid w:val="009A6D15"/>
    <w:rsid w:val="009A707D"/>
    <w:rsid w:val="009A79B7"/>
    <w:rsid w:val="009B0EFA"/>
    <w:rsid w:val="009B1069"/>
    <w:rsid w:val="009B1625"/>
    <w:rsid w:val="009B35A4"/>
    <w:rsid w:val="009B414D"/>
    <w:rsid w:val="009B6E50"/>
    <w:rsid w:val="009C19F3"/>
    <w:rsid w:val="009C1C67"/>
    <w:rsid w:val="009C5B82"/>
    <w:rsid w:val="009C787A"/>
    <w:rsid w:val="009D1570"/>
    <w:rsid w:val="009D3D00"/>
    <w:rsid w:val="009D433B"/>
    <w:rsid w:val="009E0A2C"/>
    <w:rsid w:val="009E1A47"/>
    <w:rsid w:val="009E4DFE"/>
    <w:rsid w:val="009F1B63"/>
    <w:rsid w:val="009F2AD7"/>
    <w:rsid w:val="009F42EE"/>
    <w:rsid w:val="009F6A61"/>
    <w:rsid w:val="009F7DA6"/>
    <w:rsid w:val="00A01A63"/>
    <w:rsid w:val="00A02121"/>
    <w:rsid w:val="00A03706"/>
    <w:rsid w:val="00A03D5B"/>
    <w:rsid w:val="00A05EE7"/>
    <w:rsid w:val="00A10A72"/>
    <w:rsid w:val="00A1115B"/>
    <w:rsid w:val="00A1204A"/>
    <w:rsid w:val="00A152FF"/>
    <w:rsid w:val="00A16314"/>
    <w:rsid w:val="00A216CB"/>
    <w:rsid w:val="00A220C3"/>
    <w:rsid w:val="00A22A2E"/>
    <w:rsid w:val="00A22BFF"/>
    <w:rsid w:val="00A232D8"/>
    <w:rsid w:val="00A2404E"/>
    <w:rsid w:val="00A26387"/>
    <w:rsid w:val="00A26689"/>
    <w:rsid w:val="00A31713"/>
    <w:rsid w:val="00A3235F"/>
    <w:rsid w:val="00A3251B"/>
    <w:rsid w:val="00A33E65"/>
    <w:rsid w:val="00A34BCB"/>
    <w:rsid w:val="00A3589C"/>
    <w:rsid w:val="00A3634C"/>
    <w:rsid w:val="00A36DA0"/>
    <w:rsid w:val="00A40684"/>
    <w:rsid w:val="00A411AF"/>
    <w:rsid w:val="00A41A0E"/>
    <w:rsid w:val="00A44164"/>
    <w:rsid w:val="00A44806"/>
    <w:rsid w:val="00A47B8F"/>
    <w:rsid w:val="00A50223"/>
    <w:rsid w:val="00A50A42"/>
    <w:rsid w:val="00A524D8"/>
    <w:rsid w:val="00A52DC2"/>
    <w:rsid w:val="00A543BD"/>
    <w:rsid w:val="00A54BC9"/>
    <w:rsid w:val="00A5671D"/>
    <w:rsid w:val="00A56F8A"/>
    <w:rsid w:val="00A57C25"/>
    <w:rsid w:val="00A66558"/>
    <w:rsid w:val="00A66F48"/>
    <w:rsid w:val="00A71A45"/>
    <w:rsid w:val="00A7556B"/>
    <w:rsid w:val="00A770CF"/>
    <w:rsid w:val="00A8210C"/>
    <w:rsid w:val="00A822DA"/>
    <w:rsid w:val="00A8355C"/>
    <w:rsid w:val="00A84C24"/>
    <w:rsid w:val="00A85B0F"/>
    <w:rsid w:val="00A87534"/>
    <w:rsid w:val="00A87A28"/>
    <w:rsid w:val="00A920DF"/>
    <w:rsid w:val="00A931F6"/>
    <w:rsid w:val="00A94938"/>
    <w:rsid w:val="00A955A8"/>
    <w:rsid w:val="00A956C6"/>
    <w:rsid w:val="00A97BCB"/>
    <w:rsid w:val="00AA1721"/>
    <w:rsid w:val="00AA1DCD"/>
    <w:rsid w:val="00AA373A"/>
    <w:rsid w:val="00AA5413"/>
    <w:rsid w:val="00AA580A"/>
    <w:rsid w:val="00AA732E"/>
    <w:rsid w:val="00AB2140"/>
    <w:rsid w:val="00AB2BBF"/>
    <w:rsid w:val="00AB5BDE"/>
    <w:rsid w:val="00AB645B"/>
    <w:rsid w:val="00AC00D7"/>
    <w:rsid w:val="00AC00DD"/>
    <w:rsid w:val="00AC0732"/>
    <w:rsid w:val="00AC08AE"/>
    <w:rsid w:val="00AC0F0D"/>
    <w:rsid w:val="00AC132D"/>
    <w:rsid w:val="00AC3B0A"/>
    <w:rsid w:val="00AC4733"/>
    <w:rsid w:val="00AC5236"/>
    <w:rsid w:val="00AC548F"/>
    <w:rsid w:val="00AC54B8"/>
    <w:rsid w:val="00AD0753"/>
    <w:rsid w:val="00AD0E8A"/>
    <w:rsid w:val="00AD43D3"/>
    <w:rsid w:val="00AD5279"/>
    <w:rsid w:val="00AD5DCE"/>
    <w:rsid w:val="00AD605C"/>
    <w:rsid w:val="00AD6FB9"/>
    <w:rsid w:val="00AD7588"/>
    <w:rsid w:val="00AE08E3"/>
    <w:rsid w:val="00AE128D"/>
    <w:rsid w:val="00AE1488"/>
    <w:rsid w:val="00AE1950"/>
    <w:rsid w:val="00AE1B03"/>
    <w:rsid w:val="00AE25F4"/>
    <w:rsid w:val="00AE405E"/>
    <w:rsid w:val="00AF1CFB"/>
    <w:rsid w:val="00AF1FEB"/>
    <w:rsid w:val="00AF6012"/>
    <w:rsid w:val="00AF7B07"/>
    <w:rsid w:val="00B01C55"/>
    <w:rsid w:val="00B02B5E"/>
    <w:rsid w:val="00B0344D"/>
    <w:rsid w:val="00B0592E"/>
    <w:rsid w:val="00B07113"/>
    <w:rsid w:val="00B075B3"/>
    <w:rsid w:val="00B10D5F"/>
    <w:rsid w:val="00B125C2"/>
    <w:rsid w:val="00B12B1A"/>
    <w:rsid w:val="00B1688C"/>
    <w:rsid w:val="00B20BDE"/>
    <w:rsid w:val="00B2177E"/>
    <w:rsid w:val="00B2248F"/>
    <w:rsid w:val="00B24AAA"/>
    <w:rsid w:val="00B262BF"/>
    <w:rsid w:val="00B3031F"/>
    <w:rsid w:val="00B30673"/>
    <w:rsid w:val="00B30C4E"/>
    <w:rsid w:val="00B31238"/>
    <w:rsid w:val="00B31809"/>
    <w:rsid w:val="00B326CD"/>
    <w:rsid w:val="00B32834"/>
    <w:rsid w:val="00B35C50"/>
    <w:rsid w:val="00B41B36"/>
    <w:rsid w:val="00B420D2"/>
    <w:rsid w:val="00B42745"/>
    <w:rsid w:val="00B42EDD"/>
    <w:rsid w:val="00B43346"/>
    <w:rsid w:val="00B45D4B"/>
    <w:rsid w:val="00B51218"/>
    <w:rsid w:val="00B52268"/>
    <w:rsid w:val="00B53A27"/>
    <w:rsid w:val="00B557E9"/>
    <w:rsid w:val="00B60C4C"/>
    <w:rsid w:val="00B60CFD"/>
    <w:rsid w:val="00B625B9"/>
    <w:rsid w:val="00B62BF8"/>
    <w:rsid w:val="00B63310"/>
    <w:rsid w:val="00B63BFD"/>
    <w:rsid w:val="00B63DF9"/>
    <w:rsid w:val="00B6597B"/>
    <w:rsid w:val="00B6620F"/>
    <w:rsid w:val="00B66D88"/>
    <w:rsid w:val="00B67F6B"/>
    <w:rsid w:val="00B71633"/>
    <w:rsid w:val="00B7236C"/>
    <w:rsid w:val="00B73B63"/>
    <w:rsid w:val="00B73E52"/>
    <w:rsid w:val="00B81214"/>
    <w:rsid w:val="00B826C1"/>
    <w:rsid w:val="00B8273B"/>
    <w:rsid w:val="00B837C8"/>
    <w:rsid w:val="00B84910"/>
    <w:rsid w:val="00B85465"/>
    <w:rsid w:val="00B85F9F"/>
    <w:rsid w:val="00B90F81"/>
    <w:rsid w:val="00B91B20"/>
    <w:rsid w:val="00B92FD6"/>
    <w:rsid w:val="00B9322D"/>
    <w:rsid w:val="00B95329"/>
    <w:rsid w:val="00B9569C"/>
    <w:rsid w:val="00B96591"/>
    <w:rsid w:val="00B969DE"/>
    <w:rsid w:val="00B97D6F"/>
    <w:rsid w:val="00BA0BB5"/>
    <w:rsid w:val="00BA17B5"/>
    <w:rsid w:val="00BA27DC"/>
    <w:rsid w:val="00BA2DF8"/>
    <w:rsid w:val="00BA30DE"/>
    <w:rsid w:val="00BA3AC8"/>
    <w:rsid w:val="00BA3E0A"/>
    <w:rsid w:val="00BA4043"/>
    <w:rsid w:val="00BA5D6D"/>
    <w:rsid w:val="00BA6545"/>
    <w:rsid w:val="00BB0C65"/>
    <w:rsid w:val="00BB5446"/>
    <w:rsid w:val="00BB5B0C"/>
    <w:rsid w:val="00BB6BA7"/>
    <w:rsid w:val="00BC3A1E"/>
    <w:rsid w:val="00BC4949"/>
    <w:rsid w:val="00BC5690"/>
    <w:rsid w:val="00BC68FA"/>
    <w:rsid w:val="00BC77C9"/>
    <w:rsid w:val="00BC77D9"/>
    <w:rsid w:val="00BC7BB8"/>
    <w:rsid w:val="00BD138D"/>
    <w:rsid w:val="00BD273D"/>
    <w:rsid w:val="00BD28CC"/>
    <w:rsid w:val="00BD3161"/>
    <w:rsid w:val="00BD6F69"/>
    <w:rsid w:val="00BE1424"/>
    <w:rsid w:val="00BE266D"/>
    <w:rsid w:val="00BE6073"/>
    <w:rsid w:val="00BE657A"/>
    <w:rsid w:val="00BF36E1"/>
    <w:rsid w:val="00BF57C4"/>
    <w:rsid w:val="00BF5CAF"/>
    <w:rsid w:val="00BF656E"/>
    <w:rsid w:val="00C03FB7"/>
    <w:rsid w:val="00C04796"/>
    <w:rsid w:val="00C057E6"/>
    <w:rsid w:val="00C057F1"/>
    <w:rsid w:val="00C16987"/>
    <w:rsid w:val="00C16CAA"/>
    <w:rsid w:val="00C16EDA"/>
    <w:rsid w:val="00C22034"/>
    <w:rsid w:val="00C26D02"/>
    <w:rsid w:val="00C2777A"/>
    <w:rsid w:val="00C319D0"/>
    <w:rsid w:val="00C31F46"/>
    <w:rsid w:val="00C334F9"/>
    <w:rsid w:val="00C34053"/>
    <w:rsid w:val="00C3430E"/>
    <w:rsid w:val="00C34358"/>
    <w:rsid w:val="00C34E4D"/>
    <w:rsid w:val="00C354CE"/>
    <w:rsid w:val="00C40113"/>
    <w:rsid w:val="00C4072E"/>
    <w:rsid w:val="00C44513"/>
    <w:rsid w:val="00C44699"/>
    <w:rsid w:val="00C46773"/>
    <w:rsid w:val="00C467D2"/>
    <w:rsid w:val="00C5075D"/>
    <w:rsid w:val="00C51E91"/>
    <w:rsid w:val="00C521E6"/>
    <w:rsid w:val="00C56E47"/>
    <w:rsid w:val="00C57F87"/>
    <w:rsid w:val="00C6089B"/>
    <w:rsid w:val="00C61940"/>
    <w:rsid w:val="00C6457F"/>
    <w:rsid w:val="00C65F24"/>
    <w:rsid w:val="00C671DF"/>
    <w:rsid w:val="00C6751D"/>
    <w:rsid w:val="00C7285A"/>
    <w:rsid w:val="00C73465"/>
    <w:rsid w:val="00C759AB"/>
    <w:rsid w:val="00C7624B"/>
    <w:rsid w:val="00C76DF2"/>
    <w:rsid w:val="00C7788C"/>
    <w:rsid w:val="00C816F5"/>
    <w:rsid w:val="00C8258D"/>
    <w:rsid w:val="00C8457F"/>
    <w:rsid w:val="00C865CE"/>
    <w:rsid w:val="00C87D41"/>
    <w:rsid w:val="00C87E64"/>
    <w:rsid w:val="00C91B1B"/>
    <w:rsid w:val="00C9256C"/>
    <w:rsid w:val="00C926BF"/>
    <w:rsid w:val="00C93EB9"/>
    <w:rsid w:val="00C94270"/>
    <w:rsid w:val="00C94BE9"/>
    <w:rsid w:val="00C954D7"/>
    <w:rsid w:val="00C971CB"/>
    <w:rsid w:val="00CA101C"/>
    <w:rsid w:val="00CA5E1E"/>
    <w:rsid w:val="00CA61B9"/>
    <w:rsid w:val="00CA6973"/>
    <w:rsid w:val="00CB66D6"/>
    <w:rsid w:val="00CB6838"/>
    <w:rsid w:val="00CB6DB2"/>
    <w:rsid w:val="00CC0D3F"/>
    <w:rsid w:val="00CC12B2"/>
    <w:rsid w:val="00CC3C71"/>
    <w:rsid w:val="00CC50C2"/>
    <w:rsid w:val="00CC7A55"/>
    <w:rsid w:val="00CC7D3F"/>
    <w:rsid w:val="00CD1B9E"/>
    <w:rsid w:val="00CD2FD2"/>
    <w:rsid w:val="00CD3E50"/>
    <w:rsid w:val="00CD5582"/>
    <w:rsid w:val="00CE111A"/>
    <w:rsid w:val="00CE4367"/>
    <w:rsid w:val="00CE49CB"/>
    <w:rsid w:val="00CE5871"/>
    <w:rsid w:val="00CE6592"/>
    <w:rsid w:val="00CF1BAD"/>
    <w:rsid w:val="00CF459F"/>
    <w:rsid w:val="00D017C8"/>
    <w:rsid w:val="00D02A71"/>
    <w:rsid w:val="00D0503D"/>
    <w:rsid w:val="00D05D75"/>
    <w:rsid w:val="00D0728C"/>
    <w:rsid w:val="00D07899"/>
    <w:rsid w:val="00D13784"/>
    <w:rsid w:val="00D16388"/>
    <w:rsid w:val="00D16D22"/>
    <w:rsid w:val="00D17AFD"/>
    <w:rsid w:val="00D22A9E"/>
    <w:rsid w:val="00D23EC7"/>
    <w:rsid w:val="00D24FFA"/>
    <w:rsid w:val="00D25AAA"/>
    <w:rsid w:val="00D27253"/>
    <w:rsid w:val="00D27B17"/>
    <w:rsid w:val="00D30048"/>
    <w:rsid w:val="00D30B36"/>
    <w:rsid w:val="00D32169"/>
    <w:rsid w:val="00D325C0"/>
    <w:rsid w:val="00D333CC"/>
    <w:rsid w:val="00D34A40"/>
    <w:rsid w:val="00D36BD5"/>
    <w:rsid w:val="00D37E81"/>
    <w:rsid w:val="00D40B67"/>
    <w:rsid w:val="00D42869"/>
    <w:rsid w:val="00D42F81"/>
    <w:rsid w:val="00D438D0"/>
    <w:rsid w:val="00D55253"/>
    <w:rsid w:val="00D554AB"/>
    <w:rsid w:val="00D56841"/>
    <w:rsid w:val="00D56A40"/>
    <w:rsid w:val="00D56A5F"/>
    <w:rsid w:val="00D611B6"/>
    <w:rsid w:val="00D6277B"/>
    <w:rsid w:val="00D63127"/>
    <w:rsid w:val="00D63DB4"/>
    <w:rsid w:val="00D661DB"/>
    <w:rsid w:val="00D71F45"/>
    <w:rsid w:val="00D74831"/>
    <w:rsid w:val="00D76B2B"/>
    <w:rsid w:val="00D80904"/>
    <w:rsid w:val="00D828F6"/>
    <w:rsid w:val="00D84693"/>
    <w:rsid w:val="00D854E4"/>
    <w:rsid w:val="00D85EC0"/>
    <w:rsid w:val="00D87152"/>
    <w:rsid w:val="00D90FBC"/>
    <w:rsid w:val="00D91B97"/>
    <w:rsid w:val="00D97723"/>
    <w:rsid w:val="00DA7D9A"/>
    <w:rsid w:val="00DB0A3F"/>
    <w:rsid w:val="00DB27EE"/>
    <w:rsid w:val="00DB28FB"/>
    <w:rsid w:val="00DB6A3E"/>
    <w:rsid w:val="00DC0EC3"/>
    <w:rsid w:val="00DC0F65"/>
    <w:rsid w:val="00DC1048"/>
    <w:rsid w:val="00DC237F"/>
    <w:rsid w:val="00DC2CA0"/>
    <w:rsid w:val="00DC2D08"/>
    <w:rsid w:val="00DC3F93"/>
    <w:rsid w:val="00DC45CF"/>
    <w:rsid w:val="00DC4E72"/>
    <w:rsid w:val="00DC50F4"/>
    <w:rsid w:val="00DC656A"/>
    <w:rsid w:val="00DC7131"/>
    <w:rsid w:val="00DD11B5"/>
    <w:rsid w:val="00DD3C7B"/>
    <w:rsid w:val="00DD6356"/>
    <w:rsid w:val="00DE01DB"/>
    <w:rsid w:val="00DE581F"/>
    <w:rsid w:val="00DE66A3"/>
    <w:rsid w:val="00DE6E79"/>
    <w:rsid w:val="00DE7EBD"/>
    <w:rsid w:val="00DF039A"/>
    <w:rsid w:val="00DF06E0"/>
    <w:rsid w:val="00DF0D55"/>
    <w:rsid w:val="00DF18BA"/>
    <w:rsid w:val="00DF2301"/>
    <w:rsid w:val="00DF490F"/>
    <w:rsid w:val="00E0314A"/>
    <w:rsid w:val="00E07B73"/>
    <w:rsid w:val="00E10ABD"/>
    <w:rsid w:val="00E117BE"/>
    <w:rsid w:val="00E13A77"/>
    <w:rsid w:val="00E15966"/>
    <w:rsid w:val="00E15CBE"/>
    <w:rsid w:val="00E20FDD"/>
    <w:rsid w:val="00E22645"/>
    <w:rsid w:val="00E23AA0"/>
    <w:rsid w:val="00E25DE9"/>
    <w:rsid w:val="00E26B5D"/>
    <w:rsid w:val="00E30159"/>
    <w:rsid w:val="00E31982"/>
    <w:rsid w:val="00E33F76"/>
    <w:rsid w:val="00E3428A"/>
    <w:rsid w:val="00E37A09"/>
    <w:rsid w:val="00E4318A"/>
    <w:rsid w:val="00E438F0"/>
    <w:rsid w:val="00E44BA8"/>
    <w:rsid w:val="00E44F2E"/>
    <w:rsid w:val="00E457B5"/>
    <w:rsid w:val="00E50580"/>
    <w:rsid w:val="00E5193F"/>
    <w:rsid w:val="00E52078"/>
    <w:rsid w:val="00E52940"/>
    <w:rsid w:val="00E52D2C"/>
    <w:rsid w:val="00E542DA"/>
    <w:rsid w:val="00E5507C"/>
    <w:rsid w:val="00E56712"/>
    <w:rsid w:val="00E579A9"/>
    <w:rsid w:val="00E57F04"/>
    <w:rsid w:val="00E605A7"/>
    <w:rsid w:val="00E613CC"/>
    <w:rsid w:val="00E624F9"/>
    <w:rsid w:val="00E705F0"/>
    <w:rsid w:val="00E71885"/>
    <w:rsid w:val="00E72DC6"/>
    <w:rsid w:val="00E73D09"/>
    <w:rsid w:val="00E75E31"/>
    <w:rsid w:val="00E774AF"/>
    <w:rsid w:val="00E77787"/>
    <w:rsid w:val="00E77D87"/>
    <w:rsid w:val="00E812C0"/>
    <w:rsid w:val="00E8444A"/>
    <w:rsid w:val="00E86DB5"/>
    <w:rsid w:val="00E9023A"/>
    <w:rsid w:val="00E916E4"/>
    <w:rsid w:val="00E926A5"/>
    <w:rsid w:val="00E93037"/>
    <w:rsid w:val="00E9470E"/>
    <w:rsid w:val="00E962B4"/>
    <w:rsid w:val="00EA389E"/>
    <w:rsid w:val="00EA3A24"/>
    <w:rsid w:val="00EA4385"/>
    <w:rsid w:val="00EA62C4"/>
    <w:rsid w:val="00EA6740"/>
    <w:rsid w:val="00EB00FF"/>
    <w:rsid w:val="00EB0312"/>
    <w:rsid w:val="00EB05EC"/>
    <w:rsid w:val="00EB2878"/>
    <w:rsid w:val="00EB51FE"/>
    <w:rsid w:val="00EB5A15"/>
    <w:rsid w:val="00EB61A8"/>
    <w:rsid w:val="00EB76C8"/>
    <w:rsid w:val="00EB7708"/>
    <w:rsid w:val="00EC11CA"/>
    <w:rsid w:val="00EC289D"/>
    <w:rsid w:val="00EC41E0"/>
    <w:rsid w:val="00EC5520"/>
    <w:rsid w:val="00EC56F0"/>
    <w:rsid w:val="00ED1888"/>
    <w:rsid w:val="00ED19E6"/>
    <w:rsid w:val="00ED1CD1"/>
    <w:rsid w:val="00ED41AF"/>
    <w:rsid w:val="00ED4592"/>
    <w:rsid w:val="00ED74FD"/>
    <w:rsid w:val="00ED7A8A"/>
    <w:rsid w:val="00EE4C55"/>
    <w:rsid w:val="00EF1C85"/>
    <w:rsid w:val="00EF3011"/>
    <w:rsid w:val="00EF3C4E"/>
    <w:rsid w:val="00EF3F81"/>
    <w:rsid w:val="00EF49E7"/>
    <w:rsid w:val="00EF5BF2"/>
    <w:rsid w:val="00EF5E91"/>
    <w:rsid w:val="00EF75F0"/>
    <w:rsid w:val="00F0020D"/>
    <w:rsid w:val="00F037BD"/>
    <w:rsid w:val="00F03F1E"/>
    <w:rsid w:val="00F06094"/>
    <w:rsid w:val="00F06297"/>
    <w:rsid w:val="00F07D40"/>
    <w:rsid w:val="00F1363D"/>
    <w:rsid w:val="00F153E2"/>
    <w:rsid w:val="00F20FCF"/>
    <w:rsid w:val="00F237A4"/>
    <w:rsid w:val="00F24C2E"/>
    <w:rsid w:val="00F27A37"/>
    <w:rsid w:val="00F30847"/>
    <w:rsid w:val="00F30E5D"/>
    <w:rsid w:val="00F36148"/>
    <w:rsid w:val="00F3675D"/>
    <w:rsid w:val="00F41B17"/>
    <w:rsid w:val="00F41B27"/>
    <w:rsid w:val="00F41E71"/>
    <w:rsid w:val="00F443A4"/>
    <w:rsid w:val="00F44819"/>
    <w:rsid w:val="00F45324"/>
    <w:rsid w:val="00F45DE1"/>
    <w:rsid w:val="00F46CBE"/>
    <w:rsid w:val="00F472D4"/>
    <w:rsid w:val="00F51E7E"/>
    <w:rsid w:val="00F52C63"/>
    <w:rsid w:val="00F545E4"/>
    <w:rsid w:val="00F62151"/>
    <w:rsid w:val="00F7341A"/>
    <w:rsid w:val="00F80200"/>
    <w:rsid w:val="00F81575"/>
    <w:rsid w:val="00F81B18"/>
    <w:rsid w:val="00F872E6"/>
    <w:rsid w:val="00F903F5"/>
    <w:rsid w:val="00F9247A"/>
    <w:rsid w:val="00F93C3A"/>
    <w:rsid w:val="00F9469C"/>
    <w:rsid w:val="00F95ED5"/>
    <w:rsid w:val="00FA191F"/>
    <w:rsid w:val="00FA4AC7"/>
    <w:rsid w:val="00FA4D77"/>
    <w:rsid w:val="00FA5181"/>
    <w:rsid w:val="00FA6F6F"/>
    <w:rsid w:val="00FB579E"/>
    <w:rsid w:val="00FB607C"/>
    <w:rsid w:val="00FC00C1"/>
    <w:rsid w:val="00FC1394"/>
    <w:rsid w:val="00FC159E"/>
    <w:rsid w:val="00FC1BF1"/>
    <w:rsid w:val="00FC2AC2"/>
    <w:rsid w:val="00FC589E"/>
    <w:rsid w:val="00FC5C38"/>
    <w:rsid w:val="00FC64CD"/>
    <w:rsid w:val="00FC66E3"/>
    <w:rsid w:val="00FD0366"/>
    <w:rsid w:val="00FD118A"/>
    <w:rsid w:val="00FD21FE"/>
    <w:rsid w:val="00FD3356"/>
    <w:rsid w:val="00FD48B1"/>
    <w:rsid w:val="00FE1D7F"/>
    <w:rsid w:val="00FE2329"/>
    <w:rsid w:val="00FE3003"/>
    <w:rsid w:val="00FE4E25"/>
    <w:rsid w:val="00FF090C"/>
    <w:rsid w:val="00FF105A"/>
    <w:rsid w:val="00FF1069"/>
    <w:rsid w:val="00FF4889"/>
    <w:rsid w:val="00FF4F0E"/>
    <w:rsid w:val="00FF6844"/>
    <w:rsid w:val="00FF7A40"/>
    <w:rsid w:val="0CEB32DE"/>
    <w:rsid w:val="0FD35CD8"/>
    <w:rsid w:val="2FE650D7"/>
    <w:rsid w:val="2FEF5D85"/>
    <w:rsid w:val="4EFE81B8"/>
    <w:rsid w:val="5BEDBA01"/>
    <w:rsid w:val="5D631B26"/>
    <w:rsid w:val="67FAE3F5"/>
    <w:rsid w:val="77351868"/>
    <w:rsid w:val="7777A9D7"/>
    <w:rsid w:val="78031D0F"/>
    <w:rsid w:val="797B3874"/>
    <w:rsid w:val="7BD07ABD"/>
    <w:rsid w:val="7CFE9CEA"/>
    <w:rsid w:val="7DE41FD0"/>
    <w:rsid w:val="7F355E97"/>
    <w:rsid w:val="7FBFE702"/>
    <w:rsid w:val="B35791EE"/>
    <w:rsid w:val="BE6FC4E0"/>
    <w:rsid w:val="BFBF3400"/>
    <w:rsid w:val="C76F2B9E"/>
    <w:rsid w:val="C7F5B494"/>
    <w:rsid w:val="CB1FA3C5"/>
    <w:rsid w:val="D75F4E1F"/>
    <w:rsid w:val="D77E7CA8"/>
    <w:rsid w:val="D975FBE3"/>
    <w:rsid w:val="DBD679BC"/>
    <w:rsid w:val="DFEF8352"/>
    <w:rsid w:val="DFF73511"/>
    <w:rsid w:val="EEADB374"/>
    <w:rsid w:val="EF7F910E"/>
    <w:rsid w:val="EF9D257D"/>
    <w:rsid w:val="F3FDBD96"/>
    <w:rsid w:val="F4D7D048"/>
    <w:rsid w:val="F6FC6D13"/>
    <w:rsid w:val="F6FDFACD"/>
    <w:rsid w:val="F797DC4F"/>
    <w:rsid w:val="FBDB2A6B"/>
    <w:rsid w:val="FD3D2302"/>
    <w:rsid w:val="FFF52B60"/>
    <w:rsid w:val="FFFEF4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3"/>
    <w:qFormat/>
    <w:uiPriority w:val="0"/>
    <w:rPr>
      <w:rFonts w:ascii="仿宋_GB2312" w:eastAsia="仿宋_GB2312"/>
      <w:sz w:val="32"/>
    </w:r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footnote text"/>
    <w:basedOn w:val="1"/>
    <w:qFormat/>
    <w:uiPriority w:val="0"/>
    <w:pPr>
      <w:snapToGrid w:val="0"/>
      <w:jc w:val="left"/>
    </w:pPr>
    <w:rPr>
      <w:sz w:val="18"/>
    </w:rPr>
  </w:style>
  <w:style w:type="paragraph" w:styleId="6">
    <w:name w:val="Normal (Web)"/>
    <w:basedOn w:val="1"/>
    <w:qFormat/>
    <w:uiPriority w:val="0"/>
    <w:pPr>
      <w:widowControl w:val="0"/>
      <w:spacing w:before="100" w:beforeAutospacing="1" w:after="100" w:afterAutospacing="1"/>
    </w:pPr>
    <w:rPr>
      <w:rFonts w:ascii="Calibri" w:hAnsi="Calibri" w:eastAsia="宋体" w:cs="Times New Roman"/>
      <w:sz w:val="24"/>
      <w:szCs w:val="24"/>
      <w:lang w:val="en-US" w:eastAsia="zh-CN" w:bidi="ar-SA"/>
    </w:rPr>
  </w:style>
  <w:style w:type="character" w:styleId="9">
    <w:name w:val="page number"/>
    <w:basedOn w:val="8"/>
    <w:qFormat/>
    <w:uiPriority w:val="0"/>
  </w:style>
  <w:style w:type="character" w:styleId="10">
    <w:name w:val="Hyperlink"/>
    <w:basedOn w:val="8"/>
    <w:qFormat/>
    <w:uiPriority w:val="0"/>
    <w:rPr>
      <w:color w:val="0000FF"/>
      <w:u w:val="single"/>
    </w:rPr>
  </w:style>
  <w:style w:type="character" w:styleId="11">
    <w:name w:val="footnote reference"/>
    <w:basedOn w:val="8"/>
    <w:qFormat/>
    <w:uiPriority w:val="0"/>
    <w:rPr>
      <w:vertAlign w:val="superscript"/>
    </w:rPr>
  </w:style>
  <w:style w:type="character" w:customStyle="1" w:styleId="12">
    <w:name w:val="页脚 Char"/>
    <w:basedOn w:val="8"/>
    <w:link w:val="3"/>
    <w:qFormat/>
    <w:uiPriority w:val="0"/>
    <w:rPr>
      <w:rFonts w:ascii="Times New Roman" w:hAnsi="Times New Roman" w:eastAsia="宋体" w:cs="Times New Roman"/>
      <w:sz w:val="18"/>
      <w:szCs w:val="18"/>
    </w:rPr>
  </w:style>
  <w:style w:type="character" w:customStyle="1" w:styleId="13">
    <w:name w:val="日期 Char"/>
    <w:basedOn w:val="8"/>
    <w:link w:val="2"/>
    <w:qFormat/>
    <w:uiPriority w:val="0"/>
    <w:rPr>
      <w:rFonts w:ascii="仿宋_GB2312" w:hAnsi="Times New Roman" w:eastAsia="仿宋_GB2312" w:cs="Times New Roman"/>
      <w:sz w:val="32"/>
      <w:szCs w:val="24"/>
    </w:rPr>
  </w:style>
  <w:style w:type="character" w:customStyle="1" w:styleId="14">
    <w:name w:val="页眉 Char"/>
    <w:basedOn w:val="8"/>
    <w:link w:val="4"/>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2</Pages>
  <Words>43</Words>
  <Characters>246</Characters>
  <Lines>2</Lines>
  <Paragraphs>1</Paragraphs>
  <TotalTime>101</TotalTime>
  <ScaleCrop>false</ScaleCrop>
  <LinksUpToDate>false</LinksUpToDate>
  <CharactersWithSpaces>288</CharactersWithSpaces>
  <Application>WPS Office_11.8.2.11810_F1E327BC-269C-435d-A152-05C5408002CA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2019-09-19T14:10:00Z</dcterms:created>
  <dc:creator>CN=李小鹏/OU=办公室/O=CZCE</dc:creator>
  <cp:lastModifiedBy>王新宇</cp:lastModifiedBy>
  <cp:lastPrinted>2026-09-13T08:59:00Z</cp:lastPrinted>
  <dcterms:modified xsi:type="dcterms:W3CDTF">2026-09-10T17:52:52Z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2052-11.8.2.11810</vt:lpwstr>
  </property>
  <property fmtid="{D5CDD505-2E9C-101B-9397-08002B2CF9AE}" pid="3" name="ICV">
    <vt:lpwstr>9AA610994BAE6868E2B39F6A88FCE9B4</vt:lpwstr>
  </property>
</Properties>
</file>