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auto"/>
        <w:spacing w:after="0" w:line="240" w:lineRule="auto"/>
        <w:jc w:val="left"/>
        <w:rPr>
          <w:rFonts w:hint="eastAsia" w:hAnsi="黑体" w:eastAsia="黑体"/>
          <w:sz w:val="32"/>
          <w:lang w:val="en-US" w:eastAsia="zh-CN"/>
        </w:rPr>
      </w:pPr>
      <w:r>
        <w:rPr>
          <w:rFonts w:hint="eastAsia" w:hAnsi="黑体" w:eastAsia="黑体"/>
          <w:sz w:val="32"/>
        </w:rPr>
        <w:t>附件</w:t>
      </w:r>
      <w:r>
        <w:rPr>
          <w:rFonts w:hint="eastAsia" w:hAnsi="黑体" w:eastAsia="黑体"/>
          <w:sz w:val="32"/>
          <w:lang w:val="en-US" w:eastAsia="zh-CN"/>
        </w:rPr>
        <w:t>2</w:t>
      </w:r>
    </w:p>
    <w:p>
      <w:pPr>
        <w:widowControl/>
        <w:shd w:val="clear" w:color="auto" w:fill="auto"/>
        <w:spacing w:after="0" w:line="240" w:lineRule="auto"/>
        <w:jc w:val="center"/>
        <w:rPr>
          <w:rFonts w:hint="eastAsia" w:ascii="方正小标宋简体" w:hAnsi="宋体" w:eastAsia="方正小标宋简体" w:cs="Times New Roman"/>
          <w:b w:val="0"/>
          <w:bCs w:val="0"/>
          <w:color w:val="auto"/>
          <w:sz w:val="44"/>
          <w:szCs w:val="44"/>
          <w:shd w:val="clear" w:color="auto" w:fill="auto"/>
        </w:rPr>
      </w:pPr>
      <w:r>
        <w:rPr>
          <w:rFonts w:hint="eastAsia" w:ascii="方正小标宋简体" w:hAnsi="宋体" w:eastAsia="方正小标宋简体" w:cs="Times New Roman"/>
          <w:b w:val="0"/>
          <w:bCs w:val="0"/>
          <w:color w:val="auto"/>
          <w:sz w:val="44"/>
          <w:szCs w:val="44"/>
          <w:shd w:val="clear" w:color="auto" w:fill="auto"/>
        </w:rPr>
        <w:t>郑州商品交易所</w:t>
      </w:r>
      <w:r>
        <w:rPr>
          <w:rFonts w:hint="eastAsia" w:ascii="方正小标宋简体" w:hAnsi="宋体" w:eastAsia="方正小标宋简体" w:cs="Times New Roman"/>
          <w:b w:val="0"/>
          <w:bCs w:val="0"/>
          <w:color w:val="auto"/>
          <w:sz w:val="44"/>
          <w:szCs w:val="44"/>
          <w:shd w:val="clear" w:color="auto" w:fill="auto"/>
          <w:lang w:eastAsia="zh-CN"/>
        </w:rPr>
        <w:t>葵花籽油</w:t>
      </w:r>
      <w:r>
        <w:rPr>
          <w:rFonts w:hint="eastAsia" w:ascii="方正小标宋简体" w:hAnsi="宋体" w:eastAsia="方正小标宋简体" w:cs="Times New Roman"/>
          <w:b w:val="0"/>
          <w:bCs w:val="0"/>
          <w:color w:val="auto"/>
          <w:sz w:val="44"/>
          <w:szCs w:val="44"/>
          <w:shd w:val="clear" w:color="auto" w:fill="auto"/>
        </w:rPr>
        <w:t>期货业务细则</w:t>
      </w:r>
    </w:p>
    <w:p>
      <w:pPr>
        <w:widowControl/>
        <w:shd w:val="clear" w:color="auto" w:fill="auto"/>
        <w:spacing w:after="0" w:line="240" w:lineRule="auto"/>
        <w:jc w:val="center"/>
        <w:rPr>
          <w:rFonts w:hint="eastAsia" w:ascii="方正小标宋简体" w:hAnsi="宋体" w:eastAsia="方正小标宋简体" w:cs="Times New Roman"/>
          <w:b w:val="0"/>
          <w:bCs w:val="0"/>
          <w:color w:val="auto"/>
          <w:sz w:val="44"/>
          <w:szCs w:val="44"/>
          <w:shd w:val="clear" w:color="auto" w:fill="auto"/>
          <w:lang w:eastAsia="zh-CN"/>
        </w:rPr>
      </w:pPr>
      <w:r>
        <w:rPr>
          <w:rFonts w:hint="eastAsia" w:ascii="方正小标宋简体" w:hAnsi="宋体" w:eastAsia="方正小标宋简体" w:cs="Times New Roman"/>
          <w:b w:val="0"/>
          <w:bCs w:val="0"/>
          <w:color w:val="auto"/>
          <w:sz w:val="44"/>
          <w:szCs w:val="44"/>
          <w:shd w:val="clear" w:color="auto" w:fill="auto"/>
          <w:lang w:eastAsia="zh-CN"/>
        </w:rPr>
        <w:t>（征求意见稿）</w:t>
      </w:r>
    </w:p>
    <w:p>
      <w:pPr>
        <w:widowControl w:val="0"/>
        <w:shd w:val="clear" w:color="auto" w:fill="FFFFFF"/>
        <w:suppressAutoHyphens/>
        <w:bidi w:val="0"/>
        <w:spacing w:after="150" w:line="315" w:lineRule="atLeast"/>
        <w:rPr>
          <w:rFonts w:ascii="Times New Roman" w:hAnsi="Times New Roman" w:eastAsia="宋体" w:cs="宋体"/>
          <w:color w:val="auto"/>
          <w:kern w:val="0"/>
          <w:sz w:val="24"/>
          <w:szCs w:val="24"/>
        </w:rPr>
      </w:pPr>
      <w:r>
        <w:rPr>
          <w:rFonts w:hint="eastAsia" w:ascii="Times New Roman" w:hAnsi="Times New Roman" w:eastAsia="宋体" w:cs="宋体"/>
          <w:color w:val="auto"/>
          <w:kern w:val="0"/>
          <w:sz w:val="24"/>
          <w:szCs w:val="24"/>
        </w:rPr>
        <w:t>（202</w:t>
      </w:r>
      <w:r>
        <w:rPr>
          <w:rFonts w:hint="eastAsia" w:cs="宋体"/>
          <w:color w:val="auto"/>
          <w:kern w:val="0"/>
          <w:sz w:val="24"/>
          <w:szCs w:val="24"/>
          <w:lang w:val="en-US" w:eastAsia="zh-CN"/>
        </w:rPr>
        <w:t>6</w:t>
      </w:r>
      <w:r>
        <w:rPr>
          <w:rFonts w:hint="eastAsia" w:ascii="Times New Roman" w:hAnsi="Times New Roman" w:eastAsia="宋体" w:cs="宋体"/>
          <w:color w:val="auto"/>
          <w:kern w:val="0"/>
          <w:sz w:val="24"/>
          <w:szCs w:val="24"/>
        </w:rPr>
        <w:t>年</w:t>
      </w:r>
      <w:r>
        <w:rPr>
          <w:rFonts w:ascii="Times New Roman" w:hAnsi="Times New Roman" w:eastAsia="宋体" w:cs="宋体"/>
          <w:color w:val="auto"/>
          <w:kern w:val="0"/>
          <w:sz w:val="24"/>
          <w:szCs w:val="24"/>
        </w:rPr>
        <w:t>X</w:t>
      </w:r>
      <w:r>
        <w:rPr>
          <w:rFonts w:hint="eastAsia" w:ascii="Times New Roman" w:hAnsi="Times New Roman" w:eastAsia="宋体" w:cs="宋体"/>
          <w:color w:val="auto"/>
          <w:kern w:val="0"/>
          <w:sz w:val="24"/>
          <w:szCs w:val="24"/>
        </w:rPr>
        <w:t>月</w:t>
      </w:r>
      <w:r>
        <w:rPr>
          <w:rFonts w:ascii="Times New Roman" w:hAnsi="Times New Roman" w:eastAsia="宋体" w:cs="宋体"/>
          <w:color w:val="auto"/>
          <w:kern w:val="0"/>
          <w:sz w:val="24"/>
          <w:szCs w:val="24"/>
        </w:rPr>
        <w:t>XX</w:t>
      </w:r>
      <w:r>
        <w:rPr>
          <w:rFonts w:hint="eastAsia" w:ascii="Times New Roman" w:hAnsi="Times New Roman" w:eastAsia="宋体" w:cs="宋体"/>
          <w:color w:val="auto"/>
          <w:kern w:val="0"/>
          <w:sz w:val="24"/>
          <w:szCs w:val="24"/>
        </w:rPr>
        <w:t>日郑州商品交易所第</w:t>
      </w:r>
      <w:r>
        <w:rPr>
          <w:rFonts w:hint="eastAsia" w:cs="宋体"/>
          <w:color w:val="auto"/>
          <w:kern w:val="0"/>
          <w:sz w:val="24"/>
          <w:szCs w:val="24"/>
          <w:lang w:eastAsia="zh-CN"/>
        </w:rPr>
        <w:t>九</w:t>
      </w:r>
      <w:r>
        <w:rPr>
          <w:rFonts w:hint="eastAsia" w:ascii="Times New Roman" w:hAnsi="Times New Roman" w:eastAsia="宋体" w:cs="宋体"/>
          <w:color w:val="auto"/>
          <w:kern w:val="0"/>
          <w:sz w:val="24"/>
          <w:szCs w:val="24"/>
        </w:rPr>
        <w:t>届理事会第X</w:t>
      </w:r>
      <w:r>
        <w:rPr>
          <w:rFonts w:ascii="Times New Roman" w:hAnsi="Times New Roman" w:eastAsia="宋体" w:cs="宋体"/>
          <w:color w:val="auto"/>
          <w:kern w:val="0"/>
          <w:sz w:val="24"/>
          <w:szCs w:val="24"/>
        </w:rPr>
        <w:t>X</w:t>
      </w:r>
      <w:r>
        <w:rPr>
          <w:rFonts w:hint="eastAsia" w:ascii="Times New Roman" w:hAnsi="Times New Roman" w:eastAsia="宋体" w:cs="宋体"/>
          <w:color w:val="auto"/>
          <w:kern w:val="0"/>
          <w:sz w:val="24"/>
          <w:szCs w:val="24"/>
        </w:rPr>
        <w:t>次会议审议通过，202</w:t>
      </w:r>
      <w:r>
        <w:rPr>
          <w:rFonts w:hint="eastAsia" w:cs="宋体"/>
          <w:color w:val="auto"/>
          <w:kern w:val="0"/>
          <w:sz w:val="24"/>
          <w:szCs w:val="24"/>
          <w:lang w:val="en-US" w:eastAsia="zh-CN"/>
        </w:rPr>
        <w:t>6</w:t>
      </w:r>
      <w:r>
        <w:rPr>
          <w:rFonts w:hint="eastAsia" w:ascii="Times New Roman" w:hAnsi="Times New Roman" w:eastAsia="宋体" w:cs="宋体"/>
          <w:color w:val="auto"/>
          <w:kern w:val="0"/>
          <w:sz w:val="24"/>
          <w:szCs w:val="24"/>
        </w:rPr>
        <w:t>年</w:t>
      </w:r>
      <w:r>
        <w:rPr>
          <w:rFonts w:ascii="Times New Roman" w:hAnsi="Times New Roman" w:eastAsia="宋体" w:cs="宋体"/>
          <w:color w:val="auto"/>
          <w:kern w:val="0"/>
          <w:sz w:val="24"/>
          <w:szCs w:val="24"/>
        </w:rPr>
        <w:t>X</w:t>
      </w:r>
      <w:r>
        <w:rPr>
          <w:rFonts w:hint="eastAsia" w:ascii="Times New Roman" w:hAnsi="Times New Roman" w:eastAsia="宋体" w:cs="宋体"/>
          <w:color w:val="auto"/>
          <w:kern w:val="0"/>
          <w:sz w:val="24"/>
          <w:szCs w:val="24"/>
        </w:rPr>
        <w:t>月</w:t>
      </w:r>
      <w:r>
        <w:rPr>
          <w:rFonts w:ascii="Times New Roman" w:hAnsi="Times New Roman" w:eastAsia="宋体" w:cs="宋体"/>
          <w:color w:val="auto"/>
          <w:kern w:val="0"/>
          <w:sz w:val="24"/>
          <w:szCs w:val="24"/>
        </w:rPr>
        <w:t>XX</w:t>
      </w:r>
      <w:r>
        <w:rPr>
          <w:rFonts w:hint="eastAsia" w:ascii="Times New Roman" w:hAnsi="Times New Roman" w:eastAsia="宋体" w:cs="宋体"/>
          <w:color w:val="auto"/>
          <w:kern w:val="0"/>
          <w:sz w:val="24"/>
          <w:szCs w:val="24"/>
        </w:rPr>
        <w:t>日</w:t>
      </w:r>
      <w:r>
        <w:rPr>
          <w:rFonts w:hint="eastAsia" w:ascii="Times New Roman" w:hAnsi="Times New Roman" w:cs="宋体"/>
          <w:color w:val="auto"/>
          <w:kern w:val="0"/>
          <w:sz w:val="24"/>
          <w:szCs w:val="24"/>
        </w:rPr>
        <w:fldChar w:fldCharType="begin"/>
      </w:r>
      <w:r>
        <w:rPr>
          <w:rFonts w:hint="eastAsia" w:ascii="Times New Roman" w:hAnsi="Times New Roman" w:cs="宋体"/>
          <w:color w:val="auto"/>
          <w:kern w:val="0"/>
          <w:sz w:val="24"/>
          <w:szCs w:val="24"/>
        </w:rPr>
        <w:instrText xml:space="preserve"> HYPERLINK "http://www.czce.com.cn/cn/gyjys/jysdt/ggytz/webinfo/2022/08/1655821536701939.htm" </w:instrText>
      </w:r>
      <w:r>
        <w:rPr>
          <w:rFonts w:hint="eastAsia" w:ascii="Times New Roman" w:hAnsi="Times New Roman" w:cs="宋体"/>
          <w:color w:val="auto"/>
          <w:kern w:val="0"/>
          <w:sz w:val="24"/>
          <w:szCs w:val="24"/>
        </w:rPr>
        <w:fldChar w:fldCharType="separate"/>
      </w:r>
      <w:r>
        <w:rPr>
          <w:rFonts w:hint="eastAsia" w:ascii="Times New Roman" w:hAnsi="Times New Roman" w:eastAsia="宋体" w:cs="宋体"/>
          <w:color w:val="auto"/>
          <w:kern w:val="0"/>
          <w:sz w:val="24"/>
          <w:szCs w:val="24"/>
        </w:rPr>
        <w:t>〔202</w:t>
      </w:r>
      <w:r>
        <w:rPr>
          <w:rFonts w:hint="eastAsia" w:cs="宋体"/>
          <w:color w:val="auto"/>
          <w:kern w:val="0"/>
          <w:sz w:val="24"/>
          <w:szCs w:val="24"/>
          <w:lang w:val="en-US" w:eastAsia="zh-CN"/>
        </w:rPr>
        <w:t>6</w:t>
      </w:r>
      <w:r>
        <w:rPr>
          <w:rFonts w:hint="eastAsia" w:ascii="Times New Roman" w:hAnsi="Times New Roman" w:eastAsia="宋体" w:cs="宋体"/>
          <w:color w:val="auto"/>
          <w:kern w:val="0"/>
          <w:sz w:val="24"/>
          <w:szCs w:val="24"/>
        </w:rPr>
        <w:t>〕</w:t>
      </w:r>
      <w:r>
        <w:rPr>
          <w:rFonts w:hint="eastAsia" w:ascii="Times New Roman" w:hAnsi="Times New Roman" w:eastAsia="宋体" w:cs="宋体"/>
          <w:color w:val="auto"/>
          <w:kern w:val="0"/>
          <w:sz w:val="24"/>
          <w:szCs w:val="24"/>
        </w:rPr>
        <w:fldChar w:fldCharType="end"/>
      </w:r>
      <w:r>
        <w:rPr>
          <w:rFonts w:hint="eastAsia" w:ascii="Times New Roman" w:hAnsi="Times New Roman" w:cs="宋体"/>
          <w:color w:val="auto"/>
          <w:kern w:val="0"/>
          <w:sz w:val="24"/>
          <w:szCs w:val="24"/>
        </w:rPr>
        <w:fldChar w:fldCharType="begin"/>
      </w:r>
      <w:r>
        <w:rPr>
          <w:rFonts w:hint="eastAsia" w:ascii="Times New Roman" w:hAnsi="Times New Roman" w:cs="宋体"/>
          <w:color w:val="auto"/>
          <w:kern w:val="0"/>
          <w:sz w:val="24"/>
          <w:szCs w:val="24"/>
        </w:rPr>
        <w:instrText xml:space="preserve"> HYPERLINK "http://www.czce.com.cn/cn/gyjys/jysdt/ggytz/webinfo/2022/08/1655821536701939.htm" </w:instrText>
      </w:r>
      <w:r>
        <w:rPr>
          <w:rFonts w:hint="eastAsia" w:ascii="Times New Roman" w:hAnsi="Times New Roman" w:cs="宋体"/>
          <w:color w:val="auto"/>
          <w:kern w:val="0"/>
          <w:sz w:val="24"/>
          <w:szCs w:val="24"/>
        </w:rPr>
        <w:fldChar w:fldCharType="separate"/>
      </w:r>
      <w:r>
        <w:rPr>
          <w:rFonts w:ascii="Times New Roman" w:hAnsi="Times New Roman" w:eastAsia="宋体" w:cs="宋体"/>
          <w:color w:val="auto"/>
          <w:kern w:val="0"/>
          <w:sz w:val="24"/>
          <w:szCs w:val="24"/>
        </w:rPr>
        <w:t>XX</w:t>
      </w:r>
      <w:r>
        <w:rPr>
          <w:rFonts w:ascii="Times New Roman" w:hAnsi="Times New Roman" w:eastAsia="宋体" w:cs="宋体"/>
          <w:color w:val="auto"/>
          <w:kern w:val="0"/>
          <w:sz w:val="24"/>
          <w:szCs w:val="24"/>
        </w:rPr>
        <w:fldChar w:fldCharType="end"/>
      </w:r>
      <w:r>
        <w:rPr>
          <w:rFonts w:hint="eastAsia" w:ascii="Times New Roman" w:hAnsi="Times New Roman" w:cs="宋体"/>
          <w:color w:val="auto"/>
          <w:kern w:val="0"/>
          <w:sz w:val="24"/>
          <w:szCs w:val="24"/>
        </w:rPr>
        <w:fldChar w:fldCharType="begin"/>
      </w:r>
      <w:r>
        <w:rPr>
          <w:rFonts w:hint="eastAsia" w:ascii="Times New Roman" w:hAnsi="Times New Roman" w:cs="宋体"/>
          <w:color w:val="auto"/>
          <w:kern w:val="0"/>
          <w:sz w:val="24"/>
          <w:szCs w:val="24"/>
        </w:rPr>
        <w:instrText xml:space="preserve"> HYPERLINK "http://www.czce.com.cn/cn/gyjys/jysdt/ggytz/webinfo/2022/08/1655821536701939.htm" </w:instrText>
      </w:r>
      <w:r>
        <w:rPr>
          <w:rFonts w:hint="eastAsia" w:ascii="Times New Roman" w:hAnsi="Times New Roman" w:cs="宋体"/>
          <w:color w:val="auto"/>
          <w:kern w:val="0"/>
          <w:sz w:val="24"/>
          <w:szCs w:val="24"/>
        </w:rPr>
        <w:fldChar w:fldCharType="separate"/>
      </w:r>
      <w:r>
        <w:rPr>
          <w:rFonts w:hint="eastAsia" w:ascii="Times New Roman" w:hAnsi="Times New Roman" w:eastAsia="宋体" w:cs="宋体"/>
          <w:color w:val="auto"/>
          <w:kern w:val="0"/>
          <w:sz w:val="24"/>
          <w:szCs w:val="24"/>
        </w:rPr>
        <w:t>号</w:t>
      </w:r>
      <w:r>
        <w:rPr>
          <w:rFonts w:hint="eastAsia" w:ascii="Times New Roman" w:hAnsi="Times New Roman" w:eastAsia="宋体" w:cs="宋体"/>
          <w:color w:val="auto"/>
          <w:kern w:val="0"/>
          <w:sz w:val="24"/>
          <w:szCs w:val="24"/>
        </w:rPr>
        <w:fldChar w:fldCharType="end"/>
      </w:r>
      <w:r>
        <w:rPr>
          <w:rFonts w:hint="eastAsia" w:ascii="Times New Roman" w:hAnsi="Times New Roman" w:eastAsia="宋体" w:cs="宋体"/>
          <w:color w:val="auto"/>
          <w:kern w:val="0"/>
          <w:sz w:val="24"/>
          <w:szCs w:val="24"/>
        </w:rPr>
        <w:t>公告发布，自20</w:t>
      </w:r>
      <w:r>
        <w:rPr>
          <w:rFonts w:ascii="Times New Roman" w:hAnsi="Times New Roman" w:eastAsia="宋体" w:cs="宋体"/>
          <w:color w:val="auto"/>
          <w:kern w:val="0"/>
          <w:sz w:val="24"/>
          <w:szCs w:val="24"/>
        </w:rPr>
        <w:t>2</w:t>
      </w:r>
      <w:r>
        <w:rPr>
          <w:rFonts w:hint="eastAsia" w:cs="宋体"/>
          <w:color w:val="auto"/>
          <w:kern w:val="0"/>
          <w:sz w:val="24"/>
          <w:szCs w:val="24"/>
          <w:lang w:val="en-US" w:eastAsia="zh-CN"/>
        </w:rPr>
        <w:t>6</w:t>
      </w:r>
      <w:r>
        <w:rPr>
          <w:rFonts w:hint="eastAsia" w:ascii="Times New Roman" w:hAnsi="Times New Roman" w:eastAsia="宋体" w:cs="宋体"/>
          <w:color w:val="auto"/>
          <w:kern w:val="0"/>
          <w:sz w:val="24"/>
          <w:szCs w:val="24"/>
        </w:rPr>
        <w:t>年</w:t>
      </w:r>
      <w:r>
        <w:rPr>
          <w:rFonts w:ascii="Times New Roman" w:hAnsi="Times New Roman" w:eastAsia="宋体" w:cs="宋体"/>
          <w:color w:val="auto"/>
          <w:kern w:val="0"/>
          <w:sz w:val="24"/>
          <w:szCs w:val="24"/>
        </w:rPr>
        <w:t>X</w:t>
      </w:r>
      <w:r>
        <w:rPr>
          <w:rFonts w:hint="eastAsia" w:ascii="Times New Roman" w:hAnsi="Times New Roman" w:eastAsia="宋体" w:cs="宋体"/>
          <w:color w:val="auto"/>
          <w:kern w:val="0"/>
          <w:sz w:val="24"/>
          <w:szCs w:val="24"/>
        </w:rPr>
        <w:t>月</w:t>
      </w:r>
      <w:r>
        <w:rPr>
          <w:rFonts w:ascii="Times New Roman" w:hAnsi="Times New Roman" w:eastAsia="宋体" w:cs="宋体"/>
          <w:color w:val="auto"/>
          <w:kern w:val="0"/>
          <w:sz w:val="24"/>
          <w:szCs w:val="24"/>
        </w:rPr>
        <w:t>XX</w:t>
      </w:r>
      <w:r>
        <w:rPr>
          <w:rFonts w:hint="eastAsia" w:ascii="Times New Roman" w:hAnsi="Times New Roman" w:eastAsia="宋体" w:cs="宋体"/>
          <w:color w:val="auto"/>
          <w:kern w:val="0"/>
          <w:sz w:val="24"/>
          <w:szCs w:val="24"/>
        </w:rPr>
        <w:t>日开始施行）</w:t>
      </w:r>
    </w:p>
    <w:p>
      <w:pPr>
        <w:pStyle w:val="12"/>
        <w:numPr>
          <w:ilvl w:val="0"/>
          <w:numId w:val="1"/>
        </w:numPr>
        <w:tabs>
          <w:tab w:val="left" w:pos="1620"/>
        </w:tabs>
        <w:autoSpaceDE w:val="0"/>
        <w:autoSpaceDN w:val="0"/>
        <w:ind w:firstLineChars="0"/>
        <w:jc w:val="center"/>
        <w:rPr>
          <w:rFonts w:ascii="黑体" w:hAnsi="黑体" w:eastAsia="黑体" w:cs="Times New Roman"/>
          <w:color w:val="000000"/>
          <w:sz w:val="30"/>
          <w:szCs w:val="30"/>
        </w:rPr>
      </w:pPr>
      <w:r>
        <w:rPr>
          <w:rFonts w:hint="eastAsia" w:ascii="黑体" w:hAnsi="黑体" w:eastAsia="黑体" w:cs="宋体"/>
          <w:color w:val="000000"/>
          <w:kern w:val="0"/>
          <w:sz w:val="30"/>
          <w:szCs w:val="30"/>
        </w:rPr>
        <w:t>总 则</w:t>
      </w:r>
    </w:p>
    <w:p>
      <w:pPr>
        <w:tabs>
          <w:tab w:val="left" w:pos="1620"/>
        </w:tabs>
        <w:autoSpaceDE w:val="0"/>
        <w:autoSpaceDN w:val="0"/>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第一条 </w:t>
      </w:r>
      <w:r>
        <w:rPr>
          <w:rFonts w:hint="eastAsia" w:ascii="宋体" w:hAnsi="宋体" w:eastAsia="宋体" w:cs="宋体"/>
          <w:color w:val="000000"/>
          <w:kern w:val="0"/>
          <w:sz w:val="28"/>
          <w:szCs w:val="28"/>
        </w:rPr>
        <w:t>为了规范郑州商品交易所（以下简称交易所）葵花籽油（以下简称葵油）期货相关业务，根据《郑州商品交易所交易规则》《郑州商品交易所</w:t>
      </w:r>
      <w:r>
        <w:rPr>
          <w:rFonts w:hint="eastAsia" w:ascii="宋体" w:hAnsi="宋体" w:cs="宋体"/>
          <w:color w:val="000000"/>
          <w:kern w:val="0"/>
          <w:sz w:val="28"/>
          <w:szCs w:val="28"/>
          <w:lang w:eastAsia="zh-CN"/>
        </w:rPr>
        <w:t>结算</w:t>
      </w:r>
      <w:r>
        <w:rPr>
          <w:rFonts w:hint="eastAsia" w:ascii="宋体" w:hAnsi="宋体" w:eastAsia="宋体" w:cs="宋体"/>
          <w:color w:val="000000"/>
          <w:kern w:val="0"/>
          <w:sz w:val="28"/>
          <w:szCs w:val="28"/>
        </w:rPr>
        <w:t>规则》及葵油期货合约，制定本细则。</w:t>
      </w:r>
    </w:p>
    <w:p>
      <w:pPr>
        <w:tabs>
          <w:tab w:val="left" w:pos="1620"/>
        </w:tabs>
        <w:autoSpaceDE w:val="0"/>
        <w:autoSpaceDN w:val="0"/>
        <w:spacing w:line="360" w:lineRule="auto"/>
        <w:ind w:firstLine="560" w:firstLineChars="200"/>
        <w:jc w:val="left"/>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第二条 </w:t>
      </w:r>
      <w:r>
        <w:rPr>
          <w:rFonts w:hint="eastAsia" w:ascii="宋体" w:hAnsi="宋体" w:eastAsia="宋体" w:cs="宋体"/>
          <w:color w:val="000000"/>
          <w:kern w:val="0"/>
          <w:sz w:val="28"/>
          <w:szCs w:val="28"/>
        </w:rPr>
        <w:t>交易所、会员、客户、交割仓库（以下简称仓库）、交割厂库（以下简称厂库）、指定质检机构及期货市场其他参与者应当遵守本细则。</w:t>
      </w:r>
    </w:p>
    <w:p>
      <w:pPr>
        <w:pStyle w:val="12"/>
        <w:numPr>
          <w:ilvl w:val="0"/>
          <w:numId w:val="1"/>
        </w:numPr>
        <w:tabs>
          <w:tab w:val="left" w:pos="1620"/>
        </w:tabs>
        <w:autoSpaceDE w:val="0"/>
        <w:autoSpaceDN w:val="0"/>
        <w:ind w:firstLineChars="0"/>
        <w:jc w:val="center"/>
        <w:rPr>
          <w:rFonts w:ascii="黑体" w:hAnsi="黑体" w:eastAsia="黑体" w:cs="宋体"/>
          <w:color w:val="000000"/>
          <w:kern w:val="0"/>
          <w:sz w:val="30"/>
          <w:szCs w:val="30"/>
        </w:rPr>
      </w:pPr>
      <w:r>
        <w:rPr>
          <w:rFonts w:hint="eastAsia" w:ascii="黑体" w:hAnsi="黑体" w:eastAsia="黑体" w:cs="宋体"/>
          <w:color w:val="000000"/>
          <w:kern w:val="0"/>
          <w:sz w:val="30"/>
          <w:szCs w:val="30"/>
        </w:rPr>
        <w:t>交易业务</w:t>
      </w:r>
    </w:p>
    <w:p>
      <w:pPr>
        <w:tabs>
          <w:tab w:val="left" w:pos="1620"/>
        </w:tabs>
        <w:autoSpaceDE w:val="0"/>
        <w:autoSpaceDN w:val="0"/>
        <w:spacing w:line="360" w:lineRule="auto"/>
        <w:ind w:firstLine="560" w:firstLineChars="200"/>
        <w:rPr>
          <w:rFonts w:ascii="楷体" w:hAnsi="楷体" w:eastAsia="楷体" w:cs="宋体"/>
          <w:kern w:val="0"/>
          <w:sz w:val="24"/>
          <w:szCs w:val="24"/>
        </w:rPr>
      </w:pPr>
      <w:r>
        <w:rPr>
          <w:rFonts w:hint="eastAsia" w:ascii="黑体" w:hAnsi="黑体" w:eastAsia="黑体" w:cs="宋体"/>
          <w:color w:val="000000"/>
          <w:kern w:val="0"/>
          <w:sz w:val="28"/>
          <w:szCs w:val="28"/>
        </w:rPr>
        <w:t xml:space="preserve">第三条 </w:t>
      </w:r>
      <w:r>
        <w:rPr>
          <w:rFonts w:hint="eastAsia" w:ascii="宋体" w:hAnsi="宋体" w:eastAsia="宋体" w:cs="宋体"/>
          <w:color w:val="000000"/>
          <w:kern w:val="0"/>
          <w:sz w:val="28"/>
          <w:szCs w:val="28"/>
        </w:rPr>
        <w:t>葵油期货合约交易单位为20吨/手。</w:t>
      </w:r>
    </w:p>
    <w:p>
      <w:pPr>
        <w:tabs>
          <w:tab w:val="left" w:pos="1620"/>
        </w:tabs>
        <w:autoSpaceDE w:val="0"/>
        <w:autoSpaceDN w:val="0"/>
        <w:spacing w:line="360" w:lineRule="auto"/>
        <w:ind w:firstLine="560" w:firstLineChars="200"/>
        <w:rPr>
          <w:rFonts w:ascii="楷体" w:hAnsi="楷体" w:eastAsia="楷体" w:cs="宋体"/>
          <w:kern w:val="0"/>
          <w:sz w:val="24"/>
          <w:szCs w:val="24"/>
        </w:rPr>
      </w:pPr>
      <w:r>
        <w:rPr>
          <w:rFonts w:hint="eastAsia" w:ascii="黑体" w:hAnsi="黑体" w:eastAsia="黑体" w:cs="宋体"/>
          <w:color w:val="000000"/>
          <w:kern w:val="0"/>
          <w:sz w:val="28"/>
          <w:szCs w:val="28"/>
        </w:rPr>
        <w:t xml:space="preserve">第四条 </w:t>
      </w:r>
      <w:r>
        <w:rPr>
          <w:rFonts w:hint="eastAsia" w:ascii="宋体" w:hAnsi="宋体" w:eastAsia="宋体" w:cs="宋体"/>
          <w:color w:val="000000"/>
          <w:kern w:val="0"/>
          <w:sz w:val="28"/>
          <w:szCs w:val="28"/>
        </w:rPr>
        <w:t>葵油期货合约报价单位为元（人民币）/吨。</w:t>
      </w:r>
    </w:p>
    <w:p>
      <w:pPr>
        <w:tabs>
          <w:tab w:val="left" w:pos="1620"/>
        </w:tabs>
        <w:autoSpaceDE w:val="0"/>
        <w:autoSpaceDN w:val="0"/>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第五条 </w:t>
      </w:r>
      <w:r>
        <w:rPr>
          <w:rFonts w:hint="eastAsia" w:ascii="宋体" w:hAnsi="宋体" w:eastAsia="宋体" w:cs="宋体"/>
          <w:color w:val="000000"/>
          <w:kern w:val="0"/>
          <w:sz w:val="28"/>
          <w:szCs w:val="28"/>
        </w:rPr>
        <w:t>葵油期货合约最小变动价位为1元/吨。</w:t>
      </w:r>
    </w:p>
    <w:p>
      <w:pPr>
        <w:tabs>
          <w:tab w:val="left" w:pos="1620"/>
        </w:tabs>
        <w:autoSpaceDE w:val="0"/>
        <w:autoSpaceDN w:val="0"/>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第六条 </w:t>
      </w:r>
      <w:r>
        <w:rPr>
          <w:rFonts w:hint="eastAsia" w:ascii="宋体" w:hAnsi="宋体" w:eastAsia="宋体" w:cs="宋体"/>
          <w:color w:val="000000"/>
          <w:kern w:val="0"/>
          <w:sz w:val="28"/>
          <w:szCs w:val="28"/>
        </w:rPr>
        <w:t>葵油期货合约交割月份为1</w:t>
      </w:r>
      <w:r>
        <w:rPr>
          <w:rFonts w:hint="eastAsia" w:ascii="Times New Roman" w:hAnsi="Times New Roman" w:eastAsia="宋体" w:cs="Times New Roman"/>
          <w:color w:val="000000"/>
          <w:kern w:val="0"/>
          <w:sz w:val="28"/>
          <w:szCs w:val="28"/>
        </w:rPr>
        <w:t>、</w:t>
      </w:r>
      <w:r>
        <w:rPr>
          <w:rFonts w:hint="eastAsia" w:ascii="宋体" w:hAnsi="宋体" w:eastAsia="宋体" w:cs="宋体"/>
          <w:color w:val="000000"/>
          <w:kern w:val="0"/>
          <w:sz w:val="28"/>
          <w:szCs w:val="28"/>
        </w:rPr>
        <w:t>3</w:t>
      </w:r>
      <w:r>
        <w:rPr>
          <w:rFonts w:hint="eastAsia" w:ascii="Times New Roman" w:hAnsi="Times New Roman" w:eastAsia="宋体" w:cs="Times New Roman"/>
          <w:color w:val="000000"/>
          <w:kern w:val="0"/>
          <w:sz w:val="28"/>
          <w:szCs w:val="28"/>
        </w:rPr>
        <w:t>、</w:t>
      </w:r>
      <w:r>
        <w:rPr>
          <w:rFonts w:hint="eastAsia" w:ascii="宋体" w:hAnsi="宋体" w:eastAsia="宋体" w:cs="宋体"/>
          <w:color w:val="000000"/>
          <w:kern w:val="0"/>
          <w:sz w:val="28"/>
          <w:szCs w:val="28"/>
        </w:rPr>
        <w:t>5、7、9、11月。</w:t>
      </w:r>
    </w:p>
    <w:p>
      <w:pPr>
        <w:tabs>
          <w:tab w:val="left" w:pos="1620"/>
        </w:tabs>
        <w:autoSpaceDE w:val="0"/>
        <w:autoSpaceDN w:val="0"/>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第七条 </w:t>
      </w:r>
      <w:r>
        <w:rPr>
          <w:rFonts w:hint="eastAsia" w:ascii="宋体" w:hAnsi="宋体" w:eastAsia="宋体" w:cs="宋体"/>
          <w:color w:val="000000"/>
          <w:kern w:val="0"/>
          <w:sz w:val="28"/>
          <w:szCs w:val="28"/>
        </w:rPr>
        <w:t>葵油</w:t>
      </w:r>
      <w:r>
        <w:rPr>
          <w:rFonts w:ascii="宋体" w:hAnsi="宋体" w:eastAsia="宋体" w:cs="宋体"/>
          <w:color w:val="000000"/>
          <w:kern w:val="0"/>
          <w:sz w:val="28"/>
          <w:szCs w:val="28"/>
        </w:rPr>
        <w:t>期货</w:t>
      </w:r>
      <w:r>
        <w:rPr>
          <w:rFonts w:hint="eastAsia" w:ascii="宋体" w:hAnsi="宋体" w:eastAsia="宋体" w:cs="宋体"/>
          <w:color w:val="000000"/>
          <w:kern w:val="0"/>
          <w:sz w:val="28"/>
          <w:szCs w:val="28"/>
        </w:rPr>
        <w:t>合约交易指令</w:t>
      </w:r>
      <w:r>
        <w:rPr>
          <w:rFonts w:hint="eastAsia" w:ascii="Times New Roman" w:hAnsi="Times New Roman" w:eastAsia="宋体" w:cs="Times New Roman"/>
          <w:sz w:val="28"/>
          <w:szCs w:val="28"/>
        </w:rPr>
        <w:t>每次最小下单量为</w:t>
      </w:r>
      <w:r>
        <w:rPr>
          <w:rFonts w:hint="eastAsia" w:ascii="宋体" w:hAnsi="宋体" w:eastAsia="宋体" w:cs="宋体"/>
          <w:color w:val="000000"/>
          <w:kern w:val="0"/>
          <w:sz w:val="28"/>
          <w:szCs w:val="28"/>
        </w:rPr>
        <w:t>1手</w:t>
      </w:r>
      <w:r>
        <w:rPr>
          <w:rFonts w:hint="eastAsia" w:ascii="Times New Roman" w:hAnsi="Times New Roman" w:eastAsia="宋体" w:cs="Times New Roman"/>
          <w:sz w:val="28"/>
          <w:szCs w:val="28"/>
        </w:rPr>
        <w:t>，</w:t>
      </w:r>
      <w:r>
        <w:rPr>
          <w:rFonts w:hint="eastAsia" w:ascii="宋体" w:hAnsi="宋体" w:eastAsia="宋体" w:cs="宋体"/>
          <w:color w:val="000000"/>
          <w:kern w:val="0"/>
          <w:sz w:val="28"/>
          <w:szCs w:val="28"/>
        </w:rPr>
        <w:t>限价指令每次最大下单量为1000手，市价指令每次最大下单量为200手。</w:t>
      </w:r>
    </w:p>
    <w:p>
      <w:pPr>
        <w:tabs>
          <w:tab w:val="left" w:pos="1620"/>
        </w:tabs>
        <w:autoSpaceDE w:val="0"/>
        <w:autoSpaceDN w:val="0"/>
        <w:spacing w:line="360" w:lineRule="auto"/>
        <w:ind w:firstLine="560" w:firstLineChars="200"/>
        <w:rPr>
          <w:rFonts w:ascii="宋体" w:hAnsi="宋体" w:eastAsia="宋体" w:cs="宋体"/>
          <w:color w:val="000000"/>
          <w:kern w:val="0"/>
          <w:sz w:val="28"/>
          <w:szCs w:val="28"/>
        </w:rPr>
      </w:pPr>
      <w:r>
        <w:rPr>
          <w:rFonts w:hint="eastAsia" w:ascii="宋体" w:hAnsi="宋体" w:eastAsia="宋体" w:cs="Times New Roman"/>
          <w:sz w:val="28"/>
          <w:szCs w:val="28"/>
        </w:rPr>
        <w:t>交易所可以根据市场情况，对葵油期货合约交易指令每次最小下单量、每次最大下单量进行调整，具体标准由交易所另行公布。</w:t>
      </w:r>
    </w:p>
    <w:p>
      <w:pPr>
        <w:tabs>
          <w:tab w:val="left" w:pos="1620"/>
        </w:tabs>
        <w:autoSpaceDE w:val="0"/>
        <w:autoSpaceDN w:val="0"/>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第八条 </w:t>
      </w:r>
      <w:r>
        <w:rPr>
          <w:rFonts w:hint="eastAsia" w:ascii="宋体" w:hAnsi="宋体" w:eastAsia="宋体" w:cs="宋体"/>
          <w:color w:val="000000"/>
          <w:kern w:val="0"/>
          <w:sz w:val="28"/>
          <w:szCs w:val="28"/>
        </w:rPr>
        <w:t>葵油期货合约交易时间分为夜盘交易时间和日盘交易时间。夜盘交易时间为下午21:00-23:00。日盘交易时间为上午9:00-11:30，下午13:30-15:00；其中，上午10:15-10:30为休息时间。</w:t>
      </w:r>
    </w:p>
    <w:p>
      <w:pPr>
        <w:tabs>
          <w:tab w:val="left" w:pos="1620"/>
        </w:tabs>
        <w:autoSpaceDE w:val="0"/>
        <w:autoSpaceDN w:val="0"/>
        <w:spacing w:line="360" w:lineRule="auto"/>
        <w:ind w:firstLine="560" w:firstLineChars="200"/>
        <w:rPr>
          <w:rFonts w:ascii="宋体" w:hAnsi="宋体" w:eastAsia="宋体" w:cs="宋体"/>
          <w:color w:val="000000"/>
          <w:kern w:val="0"/>
          <w:sz w:val="28"/>
          <w:szCs w:val="28"/>
        </w:rPr>
      </w:pPr>
      <w:r>
        <w:rPr>
          <w:rFonts w:hint="eastAsia" w:ascii="宋体" w:hAnsi="宋体" w:eastAsia="宋体" w:cs="Times New Roman"/>
          <w:sz w:val="28"/>
          <w:szCs w:val="28"/>
        </w:rPr>
        <w:t>交易所暂停、取消葵油期货夜盘交易或者对夜盘交易时间进行调整的，以交易所公告为准。</w:t>
      </w:r>
    </w:p>
    <w:p>
      <w:pPr>
        <w:tabs>
          <w:tab w:val="left" w:pos="1620"/>
        </w:tabs>
        <w:autoSpaceDE w:val="0"/>
        <w:autoSpaceDN w:val="0"/>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第九条 </w:t>
      </w:r>
      <w:r>
        <w:rPr>
          <w:rFonts w:hint="eastAsia" w:ascii="宋体" w:hAnsi="宋体" w:eastAsia="宋体" w:cs="宋体"/>
          <w:color w:val="000000"/>
          <w:kern w:val="0"/>
          <w:sz w:val="28"/>
          <w:szCs w:val="28"/>
        </w:rPr>
        <w:t>葵油期货合约最后交易日为合约交割月份的第10个交易日。</w:t>
      </w:r>
    </w:p>
    <w:p>
      <w:pPr>
        <w:tabs>
          <w:tab w:val="left" w:pos="1620"/>
        </w:tabs>
        <w:autoSpaceDE w:val="0"/>
        <w:autoSpaceDN w:val="0"/>
        <w:spacing w:line="360" w:lineRule="auto"/>
        <w:ind w:firstLine="560" w:firstLineChars="200"/>
        <w:rPr>
          <w:rFonts w:ascii="黑体" w:hAnsi="黑体" w:eastAsia="黑体" w:cs="宋体"/>
          <w:color w:val="000000"/>
          <w:kern w:val="0"/>
          <w:sz w:val="30"/>
          <w:szCs w:val="30"/>
        </w:rPr>
      </w:pPr>
      <w:r>
        <w:rPr>
          <w:rFonts w:hint="eastAsia" w:ascii="黑体" w:hAnsi="黑体" w:eastAsia="黑体" w:cs="宋体"/>
          <w:color w:val="000000"/>
          <w:kern w:val="0"/>
          <w:sz w:val="28"/>
          <w:szCs w:val="28"/>
        </w:rPr>
        <w:t xml:space="preserve">第十条 </w:t>
      </w:r>
      <w:r>
        <w:rPr>
          <w:rFonts w:hint="eastAsia" w:ascii="宋体" w:hAnsi="宋体" w:eastAsia="宋体" w:cs="宋体"/>
          <w:color w:val="000000"/>
          <w:kern w:val="0"/>
          <w:sz w:val="28"/>
          <w:szCs w:val="28"/>
        </w:rPr>
        <w:t>葵油期货合约交易代码为SO</w:t>
      </w:r>
      <w:r>
        <w:rPr>
          <w:rFonts w:ascii="宋体" w:hAnsi="宋体" w:eastAsia="宋体" w:cs="宋体"/>
          <w:color w:val="000000"/>
          <w:kern w:val="0"/>
          <w:sz w:val="28"/>
          <w:szCs w:val="28"/>
        </w:rPr>
        <w:t>。</w:t>
      </w:r>
    </w:p>
    <w:p>
      <w:pPr>
        <w:tabs>
          <w:tab w:val="left" w:pos="1620"/>
        </w:tabs>
        <w:autoSpaceDE w:val="0"/>
        <w:autoSpaceDN w:val="0"/>
        <w:spacing w:line="360" w:lineRule="auto"/>
        <w:jc w:val="center"/>
        <w:rPr>
          <w:rFonts w:ascii="黑体" w:hAnsi="黑体" w:eastAsia="黑体" w:cs="宋体"/>
          <w:color w:val="000000"/>
          <w:kern w:val="0"/>
          <w:sz w:val="30"/>
          <w:szCs w:val="30"/>
        </w:rPr>
      </w:pPr>
      <w:r>
        <w:rPr>
          <w:rFonts w:hint="eastAsia" w:ascii="黑体" w:hAnsi="黑体" w:eastAsia="黑体" w:cs="宋体"/>
          <w:color w:val="000000"/>
          <w:kern w:val="0"/>
          <w:sz w:val="30"/>
          <w:szCs w:val="30"/>
        </w:rPr>
        <w:t>第三章 交割业务</w:t>
      </w:r>
    </w:p>
    <w:p>
      <w:pPr>
        <w:tabs>
          <w:tab w:val="left" w:pos="1620"/>
        </w:tabs>
        <w:autoSpaceDE w:val="0"/>
        <w:autoSpaceDN w:val="0"/>
        <w:spacing w:line="360" w:lineRule="auto"/>
        <w:jc w:val="center"/>
        <w:rPr>
          <w:rFonts w:ascii="宋体" w:hAnsi="宋体" w:eastAsia="宋体" w:cs="宋体"/>
          <w:b/>
          <w:kern w:val="0"/>
          <w:sz w:val="28"/>
          <w:szCs w:val="28"/>
        </w:rPr>
      </w:pPr>
      <w:r>
        <w:rPr>
          <w:rFonts w:hint="eastAsia" w:ascii="宋体" w:hAnsi="宋体" w:eastAsia="宋体" w:cs="宋体"/>
          <w:b/>
          <w:kern w:val="0"/>
          <w:sz w:val="28"/>
          <w:szCs w:val="28"/>
        </w:rPr>
        <w:t>第一节</w:t>
      </w:r>
      <w:r>
        <w:rPr>
          <w:rFonts w:ascii="宋体" w:hAnsi="宋体" w:eastAsia="宋体" w:cs="宋体"/>
          <w:b/>
          <w:kern w:val="0"/>
          <w:sz w:val="28"/>
          <w:szCs w:val="28"/>
        </w:rPr>
        <w:t xml:space="preserve"> 一般规定</w:t>
      </w:r>
    </w:p>
    <w:p>
      <w:pPr>
        <w:tabs>
          <w:tab w:val="left" w:pos="1620"/>
        </w:tabs>
        <w:autoSpaceDE w:val="0"/>
        <w:autoSpaceDN w:val="0"/>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第十一条 </w:t>
      </w:r>
      <w:r>
        <w:rPr>
          <w:rFonts w:hint="eastAsia" w:ascii="宋体" w:hAnsi="宋体" w:eastAsia="宋体" w:cs="宋体"/>
          <w:color w:val="000000"/>
          <w:kern w:val="0"/>
          <w:sz w:val="28"/>
          <w:szCs w:val="28"/>
        </w:rPr>
        <w:t>葵油期货适用期货转现货、仓库标准仓单交割和厂库标准仓单交割</w:t>
      </w:r>
      <w:r>
        <w:rPr>
          <w:rFonts w:hint="eastAsia" w:ascii="宋体" w:hAnsi="宋体" w:eastAsia="宋体" w:cs="宋体"/>
          <w:kern w:val="0"/>
          <w:sz w:val="28"/>
          <w:szCs w:val="28"/>
        </w:rPr>
        <w:t>。</w:t>
      </w:r>
    </w:p>
    <w:p>
      <w:pPr>
        <w:tabs>
          <w:tab w:val="left" w:pos="1620"/>
        </w:tabs>
        <w:autoSpaceDE w:val="0"/>
        <w:autoSpaceDN w:val="0"/>
        <w:spacing w:line="360" w:lineRule="auto"/>
        <w:ind w:firstLine="560" w:firstLineChars="200"/>
        <w:rPr>
          <w:rFonts w:ascii="宋体" w:hAnsi="宋体" w:eastAsia="宋体" w:cs="宋体"/>
          <w:color w:val="000000"/>
          <w:kern w:val="0"/>
          <w:sz w:val="28"/>
          <w:szCs w:val="28"/>
        </w:rPr>
      </w:pPr>
      <w:r>
        <w:rPr>
          <w:rFonts w:hint="eastAsia" w:ascii="宋体" w:hAnsi="宋体" w:eastAsia="宋体" w:cs="宋体"/>
          <w:color w:val="000000"/>
          <w:kern w:val="0"/>
          <w:sz w:val="28"/>
          <w:szCs w:val="28"/>
        </w:rPr>
        <w:t>葵油期货滚动交割的配对方式为响应配对和组织配对。</w:t>
      </w:r>
    </w:p>
    <w:p>
      <w:pPr>
        <w:tabs>
          <w:tab w:val="left" w:pos="1620"/>
        </w:tabs>
        <w:autoSpaceDE w:val="0"/>
        <w:autoSpaceDN w:val="0"/>
        <w:spacing w:line="360" w:lineRule="auto"/>
        <w:ind w:firstLine="560" w:firstLineChars="200"/>
        <w:rPr>
          <w:rFonts w:ascii="楷体" w:hAnsi="楷体" w:eastAsia="楷体" w:cs="宋体"/>
          <w:kern w:val="0"/>
          <w:sz w:val="24"/>
          <w:szCs w:val="24"/>
        </w:rPr>
      </w:pPr>
      <w:r>
        <w:rPr>
          <w:rFonts w:hint="eastAsia" w:ascii="宋体" w:hAnsi="宋体" w:eastAsia="宋体" w:cs="宋体"/>
          <w:color w:val="000000"/>
          <w:kern w:val="0"/>
          <w:sz w:val="28"/>
          <w:szCs w:val="28"/>
        </w:rPr>
        <w:t>具体交割流程按照《郑州商品交易所期货交割管理办法》及本细则相关规定执行。</w:t>
      </w:r>
    </w:p>
    <w:p>
      <w:pPr>
        <w:tabs>
          <w:tab w:val="left" w:pos="1620"/>
        </w:tabs>
        <w:autoSpaceDE w:val="0"/>
        <w:autoSpaceDN w:val="0"/>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第十二条 </w:t>
      </w:r>
      <w:r>
        <w:rPr>
          <w:rFonts w:hint="eastAsia" w:ascii="宋体" w:hAnsi="宋体" w:eastAsia="宋体" w:cs="宋体"/>
          <w:color w:val="000000"/>
          <w:kern w:val="0"/>
          <w:sz w:val="28"/>
          <w:szCs w:val="28"/>
        </w:rPr>
        <w:t>葵油期货的交割单位为20吨</w:t>
      </w:r>
      <w:r>
        <w:rPr>
          <w:rFonts w:hint="eastAsia" w:ascii="宋体" w:hAnsi="宋体" w:eastAsia="宋体" w:cs="宋体"/>
          <w:kern w:val="0"/>
          <w:sz w:val="28"/>
          <w:szCs w:val="28"/>
        </w:rPr>
        <w:t>。</w:t>
      </w:r>
    </w:p>
    <w:p>
      <w:pPr>
        <w:tabs>
          <w:tab w:val="left" w:pos="1620"/>
        </w:tabs>
        <w:autoSpaceDE w:val="0"/>
        <w:autoSpaceDN w:val="0"/>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第十三条 </w:t>
      </w:r>
      <w:r>
        <w:rPr>
          <w:rFonts w:hint="eastAsia" w:ascii="宋体" w:hAnsi="宋体" w:eastAsia="宋体" w:cs="宋体"/>
          <w:color w:val="000000"/>
          <w:kern w:val="0"/>
          <w:sz w:val="28"/>
          <w:szCs w:val="28"/>
        </w:rPr>
        <w:t>葵油期货合约的最后交割日为合约交割月份的第13个交易日。</w:t>
      </w:r>
    </w:p>
    <w:p>
      <w:pPr>
        <w:tabs>
          <w:tab w:val="left" w:pos="1620"/>
        </w:tabs>
        <w:autoSpaceDE w:val="0"/>
        <w:autoSpaceDN w:val="0"/>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第十四条 </w:t>
      </w:r>
      <w:r>
        <w:rPr>
          <w:rFonts w:hint="eastAsia" w:ascii="宋体" w:hAnsi="宋体" w:eastAsia="宋体" w:cs="宋体"/>
          <w:color w:val="000000"/>
          <w:kern w:val="0"/>
          <w:sz w:val="28"/>
          <w:szCs w:val="28"/>
        </w:rPr>
        <w:t>葵油期货标准仓单可以分为仓库标准仓单和厂库标准仓单。</w:t>
      </w:r>
    </w:p>
    <w:p>
      <w:pPr>
        <w:tabs>
          <w:tab w:val="left" w:pos="1620"/>
        </w:tabs>
        <w:autoSpaceDE w:val="0"/>
        <w:autoSpaceDN w:val="0"/>
        <w:spacing w:line="360" w:lineRule="auto"/>
        <w:ind w:firstLine="560" w:firstLineChars="200"/>
        <w:rPr>
          <w:rFonts w:ascii="宋体" w:hAnsi="宋体" w:eastAsia="宋体" w:cs="宋体"/>
          <w:color w:val="000000"/>
          <w:kern w:val="0"/>
          <w:sz w:val="28"/>
          <w:szCs w:val="28"/>
        </w:rPr>
      </w:pPr>
      <w:r>
        <w:rPr>
          <w:rFonts w:hint="eastAsia" w:ascii="宋体" w:hAnsi="宋体" w:eastAsia="宋体" w:cs="宋体"/>
          <w:color w:val="000000"/>
          <w:kern w:val="0"/>
          <w:sz w:val="28"/>
          <w:szCs w:val="28"/>
        </w:rPr>
        <w:t>葵油期货标准仓单为非通用标准仓单。</w:t>
      </w:r>
    </w:p>
    <w:p>
      <w:pPr>
        <w:tabs>
          <w:tab w:val="left" w:pos="1620"/>
        </w:tabs>
        <w:autoSpaceDE w:val="0"/>
        <w:autoSpaceDN w:val="0"/>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第十五条 </w:t>
      </w:r>
      <w:r>
        <w:rPr>
          <w:rFonts w:hint="eastAsia" w:ascii="宋体" w:hAnsi="宋体" w:eastAsia="宋体" w:cs="宋体"/>
          <w:kern w:val="0"/>
          <w:sz w:val="28"/>
          <w:szCs w:val="28"/>
        </w:rPr>
        <w:t>每年</w:t>
      </w:r>
      <w:r>
        <w:rPr>
          <w:rFonts w:hint="eastAsia" w:ascii="宋体" w:hAnsi="宋体" w:eastAsia="宋体" w:cs="宋体"/>
          <w:color w:val="000000"/>
          <w:kern w:val="0"/>
          <w:sz w:val="28"/>
          <w:szCs w:val="28"/>
        </w:rPr>
        <w:t>3月、7月、11月第15个交易</w:t>
      </w:r>
      <w:r>
        <w:rPr>
          <w:rFonts w:hint="eastAsia" w:ascii="宋体" w:hAnsi="宋体" w:eastAsia="宋体" w:cs="宋体"/>
          <w:kern w:val="0"/>
          <w:sz w:val="28"/>
          <w:szCs w:val="28"/>
        </w:rPr>
        <w:t>日之前（含该日）注册的葵油期货标准仓单，应当在当年</w:t>
      </w:r>
      <w:r>
        <w:rPr>
          <w:rFonts w:hint="eastAsia" w:ascii="宋体" w:hAnsi="宋体" w:eastAsia="宋体" w:cs="宋体"/>
          <w:color w:val="000000"/>
          <w:kern w:val="0"/>
          <w:sz w:val="28"/>
          <w:szCs w:val="28"/>
        </w:rPr>
        <w:t>3月、7月、11月第15</w:t>
      </w:r>
      <w:r>
        <w:rPr>
          <w:rFonts w:hint="eastAsia" w:ascii="宋体" w:hAnsi="宋体" w:eastAsia="宋体" w:cs="宋体"/>
          <w:kern w:val="0"/>
          <w:sz w:val="28"/>
          <w:szCs w:val="28"/>
        </w:rPr>
        <w:t>个交易日之前（含该日）全部注销。</w:t>
      </w:r>
    </w:p>
    <w:p>
      <w:pPr>
        <w:tabs>
          <w:tab w:val="left" w:pos="1620"/>
        </w:tabs>
        <w:autoSpaceDE w:val="0"/>
        <w:autoSpaceDN w:val="0"/>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第十六条 </w:t>
      </w:r>
      <w:r>
        <w:rPr>
          <w:rFonts w:hint="eastAsia" w:ascii="宋体" w:hAnsi="宋体" w:eastAsia="宋体" w:cs="宋体"/>
          <w:color w:val="000000"/>
          <w:kern w:val="0"/>
          <w:sz w:val="28"/>
          <w:szCs w:val="28"/>
        </w:rPr>
        <w:t>葵油期货交割开具增值税专用发票。</w:t>
      </w:r>
    </w:p>
    <w:p>
      <w:pPr>
        <w:tabs>
          <w:tab w:val="left" w:pos="1620"/>
        </w:tabs>
        <w:autoSpaceDE w:val="0"/>
        <w:autoSpaceDN w:val="0"/>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第十七条 </w:t>
      </w:r>
      <w:r>
        <w:rPr>
          <w:rFonts w:hint="eastAsia" w:ascii="宋体" w:hAnsi="宋体" w:eastAsia="宋体" w:cs="宋体"/>
          <w:kern w:val="0"/>
          <w:sz w:val="28"/>
          <w:szCs w:val="28"/>
        </w:rPr>
        <w:t>葵油</w:t>
      </w:r>
      <w:r>
        <w:rPr>
          <w:rFonts w:ascii="宋体" w:hAnsi="宋体" w:eastAsia="宋体" w:cs="宋体"/>
          <w:kern w:val="0"/>
          <w:sz w:val="28"/>
          <w:szCs w:val="28"/>
        </w:rPr>
        <w:t>期货仓库</w:t>
      </w:r>
      <w:r>
        <w:rPr>
          <w:rFonts w:hint="eastAsia" w:ascii="宋体" w:hAnsi="宋体" w:eastAsia="宋体" w:cs="宋体"/>
          <w:kern w:val="0"/>
          <w:sz w:val="28"/>
          <w:szCs w:val="28"/>
        </w:rPr>
        <w:t>、</w:t>
      </w:r>
      <w:r>
        <w:rPr>
          <w:rFonts w:ascii="宋体" w:hAnsi="宋体" w:eastAsia="宋体" w:cs="宋体"/>
          <w:kern w:val="0"/>
          <w:sz w:val="28"/>
          <w:szCs w:val="28"/>
        </w:rPr>
        <w:t>厂库及</w:t>
      </w:r>
      <w:r>
        <w:rPr>
          <w:rFonts w:hint="eastAsia" w:ascii="宋体" w:hAnsi="宋体" w:eastAsia="宋体" w:cs="宋体"/>
          <w:kern w:val="0"/>
          <w:sz w:val="28"/>
          <w:szCs w:val="28"/>
        </w:rPr>
        <w:t>相关</w:t>
      </w:r>
      <w:r>
        <w:rPr>
          <w:rFonts w:ascii="宋体" w:hAnsi="宋体" w:eastAsia="宋体" w:cs="宋体"/>
          <w:kern w:val="0"/>
          <w:sz w:val="28"/>
          <w:szCs w:val="28"/>
        </w:rPr>
        <w:t>升贴水由交易所确定并公布</w:t>
      </w:r>
      <w:r>
        <w:rPr>
          <w:rFonts w:hint="eastAsia" w:ascii="宋体" w:hAnsi="宋体" w:eastAsia="宋体" w:cs="宋体"/>
          <w:kern w:val="0"/>
          <w:sz w:val="28"/>
          <w:szCs w:val="28"/>
        </w:rPr>
        <w:t>，交易所可以视情况对葵油期货仓库、厂库及相关升贴水进行调整。</w:t>
      </w:r>
    </w:p>
    <w:p>
      <w:pPr>
        <w:tabs>
          <w:tab w:val="left" w:pos="1620"/>
        </w:tabs>
        <w:autoSpaceDE w:val="0"/>
        <w:autoSpaceDN w:val="0"/>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第十八条 </w:t>
      </w:r>
      <w:r>
        <w:rPr>
          <w:rFonts w:hint="eastAsia" w:ascii="宋体" w:hAnsi="宋体" w:eastAsia="宋体" w:cs="宋体"/>
          <w:color w:val="000000"/>
          <w:kern w:val="0"/>
          <w:sz w:val="28"/>
          <w:szCs w:val="28"/>
        </w:rPr>
        <w:t>葵油期货的交割基准价为</w:t>
      </w:r>
      <w:r>
        <w:rPr>
          <w:rFonts w:hint="eastAsia" w:ascii="宋体" w:hAnsi="宋体" w:eastAsia="宋体" w:cs="宋体"/>
          <w:kern w:val="0"/>
          <w:sz w:val="28"/>
          <w:szCs w:val="28"/>
        </w:rPr>
        <w:t>基准交割品在基准交割地出库时汽车、火车或者轮船板交货的含税价格。</w:t>
      </w:r>
    </w:p>
    <w:p>
      <w:pPr>
        <w:tabs>
          <w:tab w:val="left" w:pos="1620"/>
        </w:tabs>
        <w:autoSpaceDE w:val="0"/>
        <w:autoSpaceDN w:val="0"/>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第十九</w:t>
      </w:r>
      <w:r>
        <w:rPr>
          <w:rFonts w:ascii="黑体" w:hAnsi="黑体" w:eastAsia="黑体" w:cs="宋体"/>
          <w:color w:val="000000"/>
          <w:kern w:val="0"/>
          <w:sz w:val="28"/>
          <w:szCs w:val="28"/>
        </w:rPr>
        <w:t>条</w:t>
      </w:r>
      <w:r>
        <w:rPr>
          <w:rFonts w:hint="eastAsia" w:ascii="黑体" w:hAnsi="黑体" w:eastAsia="黑体" w:cs="宋体"/>
          <w:color w:val="000000"/>
          <w:kern w:val="0"/>
          <w:sz w:val="28"/>
          <w:szCs w:val="28"/>
        </w:rPr>
        <w:t xml:space="preserve"> </w:t>
      </w:r>
      <w:r>
        <w:rPr>
          <w:rFonts w:hint="eastAsia" w:ascii="宋体" w:hAnsi="宋体" w:eastAsia="宋体" w:cs="宋体"/>
          <w:kern w:val="0"/>
          <w:sz w:val="28"/>
          <w:szCs w:val="28"/>
        </w:rPr>
        <w:t>葵油运达仓库指定货位前的一切费用和货物装到汽车、火车或者轮船板的出库费用由标准仓单注册人承担，货物出库装到汽车、火车或者轮船板后的一切费用由提货人承担。</w:t>
      </w:r>
    </w:p>
    <w:p>
      <w:pPr>
        <w:tabs>
          <w:tab w:val="left" w:pos="1620"/>
        </w:tabs>
        <w:autoSpaceDE w:val="0"/>
        <w:autoSpaceDN w:val="0"/>
        <w:spacing w:line="360" w:lineRule="auto"/>
        <w:ind w:firstLine="560" w:firstLineChars="200"/>
        <w:rPr>
          <w:rFonts w:ascii="宋体" w:hAnsi="宋体" w:eastAsia="宋体" w:cs="Times New Roman"/>
          <w:sz w:val="28"/>
          <w:szCs w:val="28"/>
        </w:rPr>
      </w:pPr>
      <w:r>
        <w:rPr>
          <w:rFonts w:hint="eastAsia" w:ascii="宋体" w:hAnsi="宋体" w:eastAsia="宋体" w:cs="Times New Roman"/>
          <w:sz w:val="28"/>
          <w:szCs w:val="28"/>
        </w:rPr>
        <w:t>葵油期货交割手续费、仓储费、出入库费、检验费等交割相关费用标准由交易所另行公布。</w:t>
      </w:r>
    </w:p>
    <w:p>
      <w:pPr>
        <w:tabs>
          <w:tab w:val="left" w:pos="1620"/>
        </w:tabs>
        <w:autoSpaceDE w:val="0"/>
        <w:autoSpaceDN w:val="0"/>
        <w:spacing w:line="360" w:lineRule="auto"/>
        <w:ind w:firstLine="560" w:firstLineChars="200"/>
        <w:rPr>
          <w:rFonts w:hint="eastAsia" w:ascii="宋体" w:hAnsi="宋体" w:eastAsia="宋体" w:cs="宋体"/>
          <w:kern w:val="0"/>
          <w:sz w:val="28"/>
          <w:szCs w:val="28"/>
        </w:rPr>
      </w:pPr>
      <w:r>
        <w:rPr>
          <w:rFonts w:hint="eastAsia" w:ascii="黑体" w:hAnsi="黑体" w:eastAsia="黑体" w:cs="宋体"/>
          <w:color w:val="000000"/>
          <w:kern w:val="0"/>
          <w:sz w:val="28"/>
          <w:szCs w:val="28"/>
        </w:rPr>
        <w:t xml:space="preserve">第二十条 </w:t>
      </w:r>
      <w:r>
        <w:rPr>
          <w:rFonts w:hint="eastAsia" w:ascii="宋体" w:hAnsi="宋体" w:eastAsia="宋体" w:cs="宋体"/>
          <w:kern w:val="0"/>
          <w:sz w:val="28"/>
          <w:szCs w:val="28"/>
        </w:rPr>
        <w:t>葵油期货标准仓单生成、流通、注销等相关业务，本细则未规定的，适用《郑州商品交易所标准仓单管理办法》相关规定。</w:t>
      </w:r>
    </w:p>
    <w:p>
      <w:pPr>
        <w:tabs>
          <w:tab w:val="left" w:pos="1620"/>
        </w:tabs>
        <w:autoSpaceDE w:val="0"/>
        <w:autoSpaceDN w:val="0"/>
        <w:spacing w:line="360" w:lineRule="auto"/>
        <w:jc w:val="center"/>
        <w:rPr>
          <w:rFonts w:ascii="宋体" w:hAnsi="宋体" w:eastAsia="宋体" w:cs="宋体"/>
          <w:b/>
          <w:kern w:val="0"/>
          <w:sz w:val="28"/>
          <w:szCs w:val="28"/>
        </w:rPr>
      </w:pPr>
      <w:r>
        <w:rPr>
          <w:rFonts w:hint="eastAsia" w:ascii="宋体" w:hAnsi="宋体" w:eastAsia="宋体" w:cs="宋体"/>
          <w:b/>
          <w:kern w:val="0"/>
          <w:sz w:val="28"/>
          <w:szCs w:val="28"/>
        </w:rPr>
        <w:t>第二节</w:t>
      </w:r>
      <w:r>
        <w:rPr>
          <w:rFonts w:ascii="宋体" w:hAnsi="宋体" w:eastAsia="宋体" w:cs="宋体"/>
          <w:b/>
          <w:kern w:val="0"/>
          <w:sz w:val="28"/>
          <w:szCs w:val="28"/>
        </w:rPr>
        <w:t xml:space="preserve"> 交割标准</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第二十一条 </w:t>
      </w:r>
      <w:r>
        <w:rPr>
          <w:rFonts w:hint="eastAsia" w:ascii="宋体" w:hAnsi="宋体" w:eastAsia="宋体" w:cs="宋体"/>
          <w:spacing w:val="-6"/>
          <w:kern w:val="52"/>
          <w:sz w:val="28"/>
          <w:szCs w:val="28"/>
        </w:rPr>
        <w:t>葵油期货交割</w:t>
      </w:r>
      <w:r>
        <w:rPr>
          <w:rFonts w:hint="eastAsia" w:ascii="宋体" w:hAnsi="宋体" w:eastAsia="宋体" w:cs="宋体"/>
          <w:kern w:val="0"/>
          <w:sz w:val="28"/>
          <w:szCs w:val="28"/>
        </w:rPr>
        <w:t>适用国家标准、国家相关规定及本细则规定。</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第二十二条 </w:t>
      </w:r>
      <w:r>
        <w:rPr>
          <w:rFonts w:hint="eastAsia" w:ascii="宋体" w:hAnsi="宋体" w:eastAsia="宋体" w:cs="宋体"/>
          <w:spacing w:val="-6"/>
          <w:kern w:val="52"/>
          <w:sz w:val="28"/>
          <w:szCs w:val="28"/>
        </w:rPr>
        <w:t xml:space="preserve">基准交割品：符合《中华人民共和国国家标准 </w:t>
      </w:r>
      <w:r>
        <w:rPr>
          <w:rFonts w:hint="eastAsia" w:ascii="宋体" w:hAnsi="宋体" w:eastAsia="宋体" w:cs="宋体"/>
          <w:kern w:val="0"/>
          <w:sz w:val="28"/>
          <w:szCs w:val="28"/>
        </w:rPr>
        <w:t>葵花籽油》（</w:t>
      </w:r>
      <w:r>
        <w:rPr>
          <w:rFonts w:ascii="宋体" w:hAnsi="宋体" w:eastAsia="宋体" w:cs="宋体"/>
          <w:kern w:val="0"/>
          <w:sz w:val="28"/>
          <w:szCs w:val="28"/>
        </w:rPr>
        <w:t>GB/T</w:t>
      </w:r>
      <w:r>
        <w:rPr>
          <w:rFonts w:hint="eastAsia" w:ascii="宋体" w:hAnsi="宋体" w:eastAsia="宋体" w:cs="宋体"/>
          <w:kern w:val="0"/>
          <w:sz w:val="28"/>
          <w:szCs w:val="28"/>
        </w:rPr>
        <w:t xml:space="preserve"> 10464</w:t>
      </w:r>
      <w:r>
        <w:rPr>
          <w:rFonts w:ascii="宋体" w:hAnsi="宋体" w:eastAsia="宋体" w:cs="宋体"/>
          <w:kern w:val="0"/>
          <w:sz w:val="28"/>
          <w:szCs w:val="28"/>
        </w:rPr>
        <w:t>-</w:t>
      </w:r>
      <w:r>
        <w:rPr>
          <w:rFonts w:hint="eastAsia" w:ascii="宋体" w:hAnsi="宋体" w:eastAsia="宋体" w:cs="宋体"/>
          <w:kern w:val="0"/>
          <w:sz w:val="28"/>
          <w:szCs w:val="28"/>
        </w:rPr>
        <w:t>2026）亚油酸型</w:t>
      </w:r>
      <w:r>
        <w:rPr>
          <w:rFonts w:hint="eastAsia" w:ascii="宋体" w:hAnsi="宋体" w:eastAsia="宋体" w:cs="宋体"/>
          <w:spacing w:val="-6"/>
          <w:kern w:val="52"/>
          <w:sz w:val="28"/>
          <w:szCs w:val="28"/>
        </w:rPr>
        <w:t>葵花籽油相对密度和脂肪酸组成、</w:t>
      </w:r>
      <w:r>
        <w:rPr>
          <w:rFonts w:hint="eastAsia" w:ascii="宋体" w:hAnsi="宋体" w:eastAsia="宋体" w:cs="宋体"/>
          <w:kern w:val="0"/>
          <w:sz w:val="28"/>
          <w:szCs w:val="28"/>
        </w:rPr>
        <w:t>葵花籽原油</w:t>
      </w:r>
      <w:r>
        <w:rPr>
          <w:rFonts w:hint="eastAsia" w:ascii="宋体" w:hAnsi="宋体" w:eastAsia="宋体" w:cs="宋体"/>
          <w:spacing w:val="-6"/>
          <w:kern w:val="52"/>
          <w:sz w:val="28"/>
          <w:szCs w:val="28"/>
        </w:rPr>
        <w:t>质量指标规定，且酸价（KOH）≤2.0</w:t>
      </w:r>
      <w:r>
        <w:rPr>
          <w:rFonts w:hint="eastAsia" w:ascii="宋体" w:hAnsi="宋体" w:eastAsia="宋体" w:cs="宋体"/>
          <w:kern w:val="0"/>
          <w:sz w:val="28"/>
          <w:szCs w:val="28"/>
        </w:rPr>
        <w:t>mg/g</w:t>
      </w:r>
      <w:r>
        <w:rPr>
          <w:rFonts w:hint="eastAsia" w:ascii="宋体" w:hAnsi="宋体" w:eastAsia="宋体" w:cs="宋体"/>
          <w:spacing w:val="-6"/>
          <w:kern w:val="52"/>
          <w:sz w:val="28"/>
          <w:szCs w:val="28"/>
        </w:rPr>
        <w:t>的压榨葵花籽原油。</w:t>
      </w:r>
    </w:p>
    <w:p>
      <w:pPr>
        <w:spacing w:line="360" w:lineRule="auto"/>
        <w:ind w:firstLine="560" w:firstLineChars="200"/>
        <w:rPr>
          <w:rFonts w:hint="eastAsia" w:ascii="宋体" w:hAnsi="宋体" w:eastAsia="宋体" w:cs="宋体"/>
          <w:spacing w:val="-6"/>
          <w:kern w:val="52"/>
          <w:sz w:val="28"/>
          <w:szCs w:val="28"/>
        </w:rPr>
      </w:pPr>
      <w:r>
        <w:rPr>
          <w:rFonts w:hint="eastAsia" w:ascii="黑体" w:hAnsi="黑体" w:eastAsia="黑体" w:cs="宋体"/>
          <w:color w:val="000000"/>
          <w:kern w:val="0"/>
          <w:sz w:val="28"/>
          <w:szCs w:val="28"/>
        </w:rPr>
        <w:t xml:space="preserve">第二十三条 </w:t>
      </w:r>
      <w:r>
        <w:rPr>
          <w:rFonts w:hint="eastAsia" w:ascii="宋体" w:hAnsi="宋体" w:eastAsia="宋体" w:cs="宋体"/>
          <w:spacing w:val="-6"/>
          <w:kern w:val="52"/>
          <w:sz w:val="28"/>
          <w:szCs w:val="28"/>
        </w:rPr>
        <w:t>替代交割品及升贴水：</w:t>
      </w:r>
    </w:p>
    <w:p>
      <w:pPr>
        <w:spacing w:line="360" w:lineRule="auto"/>
        <w:ind w:firstLine="536" w:firstLineChars="200"/>
        <w:rPr>
          <w:rFonts w:ascii="宋体" w:hAnsi="宋体" w:eastAsia="宋体" w:cs="宋体"/>
          <w:spacing w:val="-6"/>
          <w:kern w:val="52"/>
          <w:sz w:val="28"/>
          <w:szCs w:val="28"/>
        </w:rPr>
      </w:pPr>
      <w:r>
        <w:rPr>
          <w:rFonts w:hint="eastAsia" w:ascii="宋体" w:hAnsi="宋体" w:eastAsia="宋体" w:cs="宋体"/>
          <w:spacing w:val="-6"/>
          <w:kern w:val="52"/>
          <w:sz w:val="28"/>
          <w:szCs w:val="28"/>
        </w:rPr>
        <w:t>符合以下情形，同时满足基准交割品其他要求的葵油，可以替代交割。</w:t>
      </w:r>
    </w:p>
    <w:p>
      <w:pPr>
        <w:spacing w:line="360" w:lineRule="auto"/>
        <w:ind w:firstLine="560" w:firstLineChars="200"/>
        <w:rPr>
          <w:rFonts w:hint="eastAsia" w:ascii="宋体" w:hAnsi="宋体" w:eastAsia="宋体" w:cs="宋体"/>
          <w:kern w:val="0"/>
          <w:sz w:val="28"/>
          <w:szCs w:val="28"/>
        </w:rPr>
      </w:pPr>
      <w:r>
        <w:rPr>
          <w:rFonts w:hint="eastAsia" w:ascii="宋体" w:hAnsi="宋体" w:eastAsia="宋体" w:cs="宋体"/>
          <w:spacing w:val="0"/>
          <w:kern w:val="0"/>
          <w:sz w:val="28"/>
          <w:szCs w:val="28"/>
        </w:rPr>
        <w:t>（一）</w:t>
      </w:r>
      <w:r>
        <w:rPr>
          <w:rFonts w:hint="eastAsia" w:ascii="宋体" w:hAnsi="宋体" w:eastAsia="宋体" w:cs="宋体"/>
          <w:kern w:val="0"/>
          <w:sz w:val="28"/>
          <w:szCs w:val="28"/>
        </w:rPr>
        <w:t>浸出葵花籽原油，升贴水由交易所另行公告；</w:t>
      </w:r>
    </w:p>
    <w:p>
      <w:pPr>
        <w:spacing w:line="360" w:lineRule="auto"/>
        <w:ind w:firstLine="560" w:firstLineChars="200"/>
        <w:rPr>
          <w:rFonts w:hint="eastAsia" w:ascii="宋体" w:hAnsi="宋体" w:eastAsia="宋体" w:cs="宋体"/>
          <w:kern w:val="0"/>
          <w:sz w:val="28"/>
          <w:szCs w:val="28"/>
        </w:rPr>
      </w:pPr>
      <w:r>
        <w:rPr>
          <w:rFonts w:hint="eastAsia" w:ascii="宋体" w:hAnsi="宋体" w:eastAsia="宋体" w:cs="宋体"/>
          <w:kern w:val="0"/>
          <w:sz w:val="28"/>
          <w:szCs w:val="28"/>
        </w:rPr>
        <w:t>（二）入（出）库时，2.0mg/g</w:t>
      </w:r>
      <w:r>
        <w:rPr>
          <w:rFonts w:hint="eastAsia" w:ascii="宋体" w:hAnsi="宋体" w:eastAsia="宋体" w:cs="宋体"/>
          <w:spacing w:val="-6"/>
          <w:kern w:val="52"/>
          <w:sz w:val="28"/>
          <w:szCs w:val="28"/>
        </w:rPr>
        <w:t>＜</w:t>
      </w:r>
      <w:r>
        <w:rPr>
          <w:rFonts w:hint="eastAsia" w:ascii="宋体" w:hAnsi="宋体" w:eastAsia="宋体" w:cs="宋体"/>
          <w:kern w:val="0"/>
          <w:sz w:val="28"/>
          <w:szCs w:val="28"/>
        </w:rPr>
        <w:t>酸价</w:t>
      </w:r>
      <w:r>
        <w:rPr>
          <w:rFonts w:hint="eastAsia" w:ascii="宋体" w:hAnsi="宋体" w:eastAsia="宋体" w:cs="宋体"/>
          <w:spacing w:val="-6"/>
          <w:kern w:val="52"/>
          <w:sz w:val="28"/>
          <w:szCs w:val="28"/>
        </w:rPr>
        <w:t>（KOH）</w:t>
      </w:r>
      <w:r>
        <w:rPr>
          <w:rFonts w:hint="eastAsia" w:ascii="宋体" w:hAnsi="宋体" w:eastAsia="宋体" w:cs="宋体"/>
          <w:kern w:val="0"/>
          <w:sz w:val="28"/>
          <w:szCs w:val="28"/>
        </w:rPr>
        <w:t>≤3.0mg/g的，以2.0mg/g为基准，每超0.1mg/g，扣（补）量0.06%；3.0mg/g</w:t>
      </w:r>
      <w:r>
        <w:rPr>
          <w:rFonts w:hint="eastAsia" w:ascii="宋体" w:hAnsi="宋体" w:eastAsia="宋体" w:cs="宋体"/>
          <w:spacing w:val="-6"/>
          <w:kern w:val="52"/>
          <w:sz w:val="28"/>
          <w:szCs w:val="28"/>
        </w:rPr>
        <w:t>＜</w:t>
      </w:r>
      <w:r>
        <w:rPr>
          <w:rFonts w:hint="eastAsia" w:ascii="宋体" w:hAnsi="宋体" w:eastAsia="宋体" w:cs="宋体"/>
          <w:kern w:val="0"/>
          <w:sz w:val="28"/>
          <w:szCs w:val="28"/>
        </w:rPr>
        <w:t>酸价</w:t>
      </w:r>
      <w:r>
        <w:rPr>
          <w:rFonts w:hint="eastAsia" w:ascii="宋体" w:hAnsi="宋体" w:eastAsia="宋体" w:cs="宋体"/>
          <w:spacing w:val="-6"/>
          <w:kern w:val="52"/>
          <w:sz w:val="28"/>
          <w:szCs w:val="28"/>
        </w:rPr>
        <w:t>（KOH）</w:t>
      </w:r>
      <w:r>
        <w:rPr>
          <w:rFonts w:hint="eastAsia" w:ascii="宋体" w:hAnsi="宋体" w:eastAsia="宋体" w:cs="宋体"/>
          <w:kern w:val="0"/>
          <w:sz w:val="28"/>
          <w:szCs w:val="28"/>
        </w:rPr>
        <w:t>≤4.0mg/g的，以2.0mg/g为基准，每超0.1mg/g，扣（补）量0.12%；出库补量部分由仓（厂）库承担；</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（三）厂库出库时，符合交易所公告质量标准的一级压榨葵花籽油，升贴水由交易所另行公告。</w:t>
      </w:r>
    </w:p>
    <w:p>
      <w:pPr>
        <w:tabs>
          <w:tab w:val="left" w:pos="1620"/>
        </w:tabs>
        <w:autoSpaceDE w:val="0"/>
        <w:autoSpaceDN w:val="0"/>
        <w:spacing w:line="360" w:lineRule="auto"/>
        <w:jc w:val="center"/>
        <w:rPr>
          <w:rFonts w:ascii="宋体" w:hAnsi="宋体" w:eastAsia="宋体" w:cs="宋体"/>
          <w:b/>
          <w:kern w:val="0"/>
          <w:sz w:val="28"/>
          <w:szCs w:val="28"/>
        </w:rPr>
      </w:pPr>
      <w:r>
        <w:rPr>
          <w:rFonts w:hint="eastAsia" w:ascii="宋体" w:hAnsi="宋体" w:eastAsia="宋体" w:cs="宋体"/>
          <w:b/>
          <w:kern w:val="0"/>
          <w:sz w:val="28"/>
          <w:szCs w:val="28"/>
        </w:rPr>
        <w:t>第三节</w:t>
      </w:r>
      <w:r>
        <w:rPr>
          <w:rFonts w:ascii="宋体" w:hAnsi="宋体" w:eastAsia="宋体" w:cs="宋体"/>
          <w:b/>
          <w:kern w:val="0"/>
          <w:sz w:val="28"/>
          <w:szCs w:val="28"/>
        </w:rPr>
        <w:t xml:space="preserve"> 仓库标准仓单交割</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第二十四条 </w:t>
      </w:r>
      <w:r>
        <w:rPr>
          <w:rFonts w:hint="eastAsia" w:ascii="宋体" w:hAnsi="宋体" w:eastAsia="宋体" w:cs="宋体"/>
          <w:kern w:val="0"/>
          <w:sz w:val="28"/>
          <w:szCs w:val="28"/>
        </w:rPr>
        <w:t>葵油期货交割预报时，应当按30元/吨向仓库交纳交割预报定金。压榨葵油与浸出葵油应当分别进行交割预报。</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第二十五条 </w:t>
      </w:r>
      <w:r>
        <w:rPr>
          <w:rFonts w:hint="eastAsia" w:ascii="宋体" w:hAnsi="宋体" w:eastAsia="宋体" w:cs="宋体"/>
          <w:kern w:val="0"/>
          <w:sz w:val="28"/>
          <w:szCs w:val="28"/>
        </w:rPr>
        <w:t>葵油仓库开具的《入库通知单》有效期为40个日历日。</w:t>
      </w:r>
    </w:p>
    <w:p>
      <w:pPr>
        <w:spacing w:line="360" w:lineRule="auto"/>
        <w:ind w:firstLine="560" w:firstLineChars="200"/>
        <w:rPr>
          <w:rFonts w:hint="eastAsia" w:ascii="宋体" w:hAnsi="宋体" w:eastAsia="宋体" w:cs="宋体"/>
          <w:kern w:val="0"/>
          <w:sz w:val="28"/>
          <w:szCs w:val="28"/>
        </w:rPr>
      </w:pPr>
      <w:r>
        <w:rPr>
          <w:rFonts w:hint="eastAsia" w:ascii="黑体" w:hAnsi="黑体" w:eastAsia="黑体" w:cs="宋体"/>
          <w:color w:val="000000"/>
          <w:kern w:val="0"/>
          <w:sz w:val="28"/>
          <w:szCs w:val="28"/>
        </w:rPr>
        <w:t>第</w:t>
      </w:r>
      <w:r>
        <w:rPr>
          <w:rFonts w:ascii="黑体" w:hAnsi="黑体" w:eastAsia="黑体" w:cs="宋体"/>
          <w:color w:val="000000"/>
          <w:kern w:val="0"/>
          <w:sz w:val="28"/>
          <w:szCs w:val="28"/>
        </w:rPr>
        <w:t>二十</w:t>
      </w:r>
      <w:r>
        <w:rPr>
          <w:rFonts w:hint="eastAsia" w:ascii="黑体" w:hAnsi="黑体" w:eastAsia="黑体" w:cs="宋体"/>
          <w:color w:val="000000"/>
          <w:kern w:val="0"/>
          <w:sz w:val="28"/>
          <w:szCs w:val="28"/>
        </w:rPr>
        <w:t>六</w:t>
      </w:r>
      <w:r>
        <w:rPr>
          <w:rFonts w:ascii="黑体" w:hAnsi="黑体" w:eastAsia="黑体" w:cs="宋体"/>
          <w:color w:val="000000"/>
          <w:kern w:val="0"/>
          <w:sz w:val="28"/>
          <w:szCs w:val="28"/>
        </w:rPr>
        <w:t>条</w:t>
      </w:r>
      <w:r>
        <w:rPr>
          <w:rFonts w:hint="eastAsia" w:ascii="黑体" w:hAnsi="黑体" w:eastAsia="黑体" w:cs="宋体"/>
          <w:color w:val="000000"/>
          <w:kern w:val="0"/>
          <w:sz w:val="28"/>
          <w:szCs w:val="28"/>
        </w:rPr>
        <w:t xml:space="preserve"> </w:t>
      </w:r>
      <w:r>
        <w:rPr>
          <w:rFonts w:hint="eastAsia" w:ascii="宋体" w:hAnsi="宋体" w:eastAsia="宋体" w:cs="宋体"/>
          <w:kern w:val="0"/>
          <w:sz w:val="28"/>
          <w:szCs w:val="28"/>
        </w:rPr>
        <w:t>葵油运输应当符合</w:t>
      </w:r>
      <w:r>
        <w:rPr>
          <w:rFonts w:hint="eastAsia" w:ascii="宋体" w:hAnsi="宋体" w:eastAsia="宋体" w:cs="宋体"/>
          <w:spacing w:val="-6"/>
          <w:kern w:val="52"/>
          <w:sz w:val="28"/>
          <w:szCs w:val="28"/>
        </w:rPr>
        <w:t>《中华人民共和国国家标准 食用植物油散装运输卫生要求</w:t>
      </w:r>
      <w:r>
        <w:rPr>
          <w:rFonts w:hint="eastAsia" w:ascii="宋体" w:hAnsi="宋体" w:eastAsia="宋体" w:cs="宋体"/>
          <w:kern w:val="0"/>
          <w:sz w:val="28"/>
          <w:szCs w:val="28"/>
        </w:rPr>
        <w:t>》（</w:t>
      </w:r>
      <w:r>
        <w:rPr>
          <w:rFonts w:ascii="宋体" w:hAnsi="宋体" w:eastAsia="宋体" w:cs="宋体"/>
          <w:kern w:val="0"/>
          <w:sz w:val="28"/>
          <w:szCs w:val="28"/>
        </w:rPr>
        <w:t>GB</w:t>
      </w:r>
      <w:r>
        <w:rPr>
          <w:rFonts w:hint="eastAsia" w:ascii="宋体" w:hAnsi="宋体" w:eastAsia="宋体" w:cs="宋体"/>
          <w:kern w:val="0"/>
          <w:sz w:val="28"/>
          <w:szCs w:val="28"/>
        </w:rPr>
        <w:t xml:space="preserve"> 44917</w:t>
      </w:r>
      <w:r>
        <w:rPr>
          <w:rFonts w:ascii="宋体" w:hAnsi="宋体" w:eastAsia="宋体" w:cs="宋体"/>
          <w:kern w:val="0"/>
          <w:sz w:val="28"/>
          <w:szCs w:val="28"/>
        </w:rPr>
        <w:t>-</w:t>
      </w:r>
      <w:r>
        <w:rPr>
          <w:rFonts w:hint="eastAsia" w:ascii="宋体" w:hAnsi="宋体" w:eastAsia="宋体" w:cs="宋体"/>
          <w:kern w:val="0"/>
          <w:sz w:val="28"/>
          <w:szCs w:val="28"/>
        </w:rPr>
        <w:t>2024）及食品安全国家标准规定。</w:t>
      </w:r>
    </w:p>
    <w:p>
      <w:pPr>
        <w:spacing w:line="360" w:lineRule="auto"/>
        <w:ind w:firstLine="560" w:firstLineChars="200"/>
        <w:rPr>
          <w:rFonts w:hint="eastAsia" w:ascii="宋体" w:hAnsi="宋体" w:eastAsia="宋体" w:cs="宋体"/>
          <w:kern w:val="0"/>
          <w:sz w:val="28"/>
          <w:szCs w:val="28"/>
          <w:highlight w:val="yellow"/>
        </w:rPr>
      </w:pPr>
      <w:r>
        <w:rPr>
          <w:rFonts w:hint="eastAsia" w:ascii="黑体" w:hAnsi="黑体" w:eastAsia="黑体" w:cs="宋体"/>
          <w:color w:val="000000"/>
          <w:kern w:val="0"/>
          <w:sz w:val="28"/>
          <w:szCs w:val="28"/>
        </w:rPr>
        <w:t xml:space="preserve">第二十七条 </w:t>
      </w:r>
      <w:r>
        <w:rPr>
          <w:rFonts w:hint="eastAsia" w:ascii="Times New Roman" w:hAnsi="宋体" w:eastAsia="宋体" w:cs="Times New Roman"/>
          <w:sz w:val="28"/>
          <w:szCs w:val="28"/>
        </w:rPr>
        <w:t>葵油申请入库，标准</w:t>
      </w:r>
      <w:r>
        <w:rPr>
          <w:rFonts w:hint="eastAsia" w:ascii="宋体" w:hAnsi="宋体" w:eastAsia="宋体" w:cs="宋体"/>
          <w:kern w:val="0"/>
          <w:sz w:val="28"/>
          <w:szCs w:val="28"/>
        </w:rPr>
        <w:t>仓单注册人应当向仓库提供入库商品对应的食品安全追溯和食品质量安全证明文件。</w:t>
      </w:r>
    </w:p>
    <w:p>
      <w:pPr>
        <w:spacing w:line="360" w:lineRule="auto"/>
        <w:ind w:firstLine="560" w:firstLineChars="200"/>
        <w:rPr>
          <w:rFonts w:ascii="宋体" w:hAnsi="宋体" w:eastAsia="宋体" w:cs="宋体"/>
          <w:kern w:val="0"/>
          <w:sz w:val="28"/>
          <w:szCs w:val="28"/>
          <w:highlight w:val="yellow"/>
        </w:rPr>
      </w:pPr>
      <w:r>
        <w:rPr>
          <w:rFonts w:hint="eastAsia" w:ascii="宋体" w:hAnsi="宋体" w:eastAsia="宋体" w:cs="宋体"/>
          <w:kern w:val="0"/>
          <w:sz w:val="28"/>
          <w:szCs w:val="28"/>
        </w:rPr>
        <w:t>压榨葵油入库的，标准仓单注册人应当向仓库提供由生产厂家或第三方质检机构开具的用于证明该批葵油采用压榨工艺生产的证明文件。仓库应当对标准仓单注册人提供的证明文件登记造册，并由标准仓单注册人签字确认。</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第二十八条 </w:t>
      </w:r>
      <w:r>
        <w:rPr>
          <w:rFonts w:hint="eastAsia" w:ascii="宋体" w:hAnsi="宋体" w:eastAsia="宋体" w:cs="宋体"/>
          <w:kern w:val="0"/>
          <w:sz w:val="28"/>
          <w:szCs w:val="28"/>
        </w:rPr>
        <w:t>葵油入库时，仓库对入库商品进行重量验收。采用汽车运输的，葵油重量验收以地磅计量为准；采用火车运输的，以火车罐打尺或者储油罐打尺计量为准；采用船舶运输的，以过磅或者储油罐打尺计量为准。</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经交易所批准，葵油重量验收可以使用质量技术监督部门认可的其他先进衡器计量。</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第二十九条 </w:t>
      </w:r>
      <w:r>
        <w:rPr>
          <w:rFonts w:hint="eastAsia" w:ascii="宋体" w:hAnsi="宋体" w:eastAsia="宋体" w:cs="宋体"/>
          <w:kern w:val="0"/>
          <w:sz w:val="28"/>
          <w:szCs w:val="28"/>
        </w:rPr>
        <w:t>葵油入库质量检验由仓库负责，仓库可以全部或者部分委托经国家质量技术监督部门认证的质检机构进行检验，检验费用由仓库承担。</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葵油入库时，葵油质量检验样品由仓库在卸货前扦取，已经在库的葵油在储油罐中扦取。样品分为两份，每份不低于1千克。仓库任选一份用于检验，另一份由标准仓单注册人和仓库签字封样，由仓库妥善保存，作为复检样品。</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仓库应当自每批样品扦取完成之时起48小时内出具检验结果，并及时通知标准仓单注册人。</w:t>
      </w:r>
    </w:p>
    <w:p>
      <w:pPr>
        <w:spacing w:line="360" w:lineRule="auto"/>
        <w:ind w:firstLine="560" w:firstLineChars="200"/>
        <w:rPr>
          <w:rFonts w:ascii="Times New Roman" w:hAnsi="Times New Roman" w:eastAsia="宋体" w:cs="Times New Roman"/>
          <w:sz w:val="28"/>
          <w:szCs w:val="28"/>
        </w:rPr>
      </w:pPr>
      <w:r>
        <w:rPr>
          <w:rFonts w:hint="eastAsia" w:ascii="Times New Roman" w:hAnsi="Times New Roman" w:eastAsia="宋体" w:cs="Times New Roman"/>
          <w:sz w:val="28"/>
          <w:szCs w:val="28"/>
        </w:rPr>
        <w:t>标准仓单注册人对入库质量检验结果有异议的，可以向交易所提出复检申请</w:t>
      </w:r>
      <w:r>
        <w:rPr>
          <w:rFonts w:hint="eastAsia" w:ascii="宋体" w:hAnsi="宋体" w:eastAsia="宋体" w:cs="宋体"/>
          <w:kern w:val="0"/>
          <w:sz w:val="28"/>
          <w:szCs w:val="28"/>
        </w:rPr>
        <w:t>。具体流程按照《郑州商品交易所标准仓单管理办法》“仓库商品入库复检</w:t>
      </w:r>
      <w:r>
        <w:rPr>
          <w:rFonts w:ascii="宋体" w:hAnsi="宋体" w:eastAsia="宋体" w:cs="宋体"/>
          <w:kern w:val="0"/>
          <w:sz w:val="28"/>
          <w:szCs w:val="28"/>
        </w:rPr>
        <w:t>”</w:t>
      </w:r>
      <w:r>
        <w:rPr>
          <w:rFonts w:hint="eastAsia" w:ascii="宋体" w:hAnsi="宋体" w:eastAsia="宋体" w:cs="宋体"/>
          <w:kern w:val="0"/>
          <w:sz w:val="28"/>
          <w:szCs w:val="28"/>
        </w:rPr>
        <w:t>有关规定办理。</w:t>
      </w:r>
    </w:p>
    <w:p>
      <w:pPr>
        <w:spacing w:line="360" w:lineRule="auto"/>
        <w:ind w:firstLine="560" w:firstLineChars="200"/>
        <w:rPr>
          <w:rFonts w:ascii="黑体" w:hAnsi="黑体" w:eastAsia="黑体" w:cs="宋体"/>
          <w:color w:val="000000"/>
          <w:kern w:val="0"/>
          <w:sz w:val="28"/>
          <w:szCs w:val="28"/>
        </w:rPr>
      </w:pPr>
      <w:r>
        <w:rPr>
          <w:rFonts w:hint="eastAsia" w:ascii="黑体" w:hAnsi="黑体" w:eastAsia="黑体" w:cs="宋体"/>
          <w:color w:val="000000"/>
          <w:kern w:val="0"/>
          <w:sz w:val="28"/>
          <w:szCs w:val="28"/>
        </w:rPr>
        <w:t xml:space="preserve">第三十条 </w:t>
      </w:r>
      <w:r>
        <w:rPr>
          <w:rFonts w:hint="eastAsia" w:ascii="宋体" w:hAnsi="宋体" w:eastAsia="宋体" w:cs="宋体"/>
          <w:kern w:val="0"/>
          <w:sz w:val="28"/>
          <w:szCs w:val="28"/>
        </w:rPr>
        <w:t>葵油重量验收及入库扦样时，标准仓单注册人应当到场监督。仓库和标准仓单注册人应当对验收结果签章确认，并共同对入库商品的真实性负责；入库商品未经仓库、标准仓单注册人签章确认的，不得用于期货交割。</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葵油入库后，仓库应当对标准仓单注册人的名称、联系人及联系方式、商品数量、生产厂家、存放罐位、加工工艺等事项登记造册，并由标准仓单注册人签字确认。</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第三十一条 </w:t>
      </w:r>
      <w:r>
        <w:rPr>
          <w:rFonts w:hint="eastAsia" w:ascii="宋体" w:hAnsi="宋体" w:eastAsia="宋体" w:cs="宋体"/>
          <w:kern w:val="0"/>
          <w:sz w:val="28"/>
          <w:szCs w:val="28"/>
        </w:rPr>
        <w:t>对检验合格的葵油，仓库应当按商品到库先后安排储油罐。</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压榨葵油应当与浸出葵油分罐储存。标准仓单注册人在交割预报单中标注信息与事实不符，导致压榨葵油与浸出葵油混罐储存的，由此引起的法律责任由标准仓单注册人承担。责任主体根据入库时仓库保留的样品确定。</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第三十二条 </w:t>
      </w:r>
      <w:r>
        <w:rPr>
          <w:rFonts w:hint="eastAsia" w:ascii="宋体" w:hAnsi="宋体" w:eastAsia="宋体" w:cs="宋体"/>
          <w:kern w:val="0"/>
          <w:sz w:val="28"/>
          <w:szCs w:val="28"/>
        </w:rPr>
        <w:t>期货、现货混罐存储的葵油，仓库应当确保整罐商品符合葵油期货交割标准的规定，不符合规定的，不允许混罐存储或者申请注册标准仓单。</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第三十三条 </w:t>
      </w:r>
      <w:r>
        <w:rPr>
          <w:rFonts w:hint="eastAsia" w:ascii="宋体" w:hAnsi="宋体" w:eastAsia="宋体" w:cs="宋体"/>
          <w:kern w:val="0"/>
          <w:sz w:val="28"/>
          <w:szCs w:val="28"/>
        </w:rPr>
        <w:t>葵油仓库标准仓单注销后，提货人应当在交易所开具《提货通知单》之日起</w:t>
      </w:r>
      <w:r>
        <w:rPr>
          <w:rFonts w:ascii="宋体" w:hAnsi="宋体" w:eastAsia="宋体" w:cs="宋体"/>
          <w:kern w:val="0"/>
          <w:sz w:val="28"/>
          <w:szCs w:val="28"/>
        </w:rPr>
        <w:t>10个工作日内</w:t>
      </w:r>
      <w:r>
        <w:rPr>
          <w:rFonts w:hint="eastAsia" w:ascii="宋体" w:hAnsi="宋体" w:eastAsia="宋体" w:cs="宋体"/>
          <w:kern w:val="0"/>
          <w:sz w:val="28"/>
          <w:szCs w:val="28"/>
        </w:rPr>
        <w:t>，凭提货人身份证、提货人所在单位证明及《提货通知单》验证密码到仓库办理提货手续，确认商品质量、运输方式，并预交各项费用。</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提货人提供运输工具的，自提货人凭《提货通知单》与仓库联系出库事宜、运输工具到达仓库之日起，仓库开始发货，并停止收取已装运货物的仓储费。</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提货人委托仓库代办运输的，自提货人凭《提货通知单》与仓库联系确认出库事宜、指定运达地点并预交相关费用（包括铁路代办费、港杂费等）之日起，采用汽车、船舶运输的，仓库在10个日历日内发货；采用火车运输的，仓库在20个日历日内发货。仓库不能在规定时间内发出货物的，不得收取规定时间后产生的仓储费。</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由于提货人变更发货方式或者发货时间、提货手续不全、费用未按时交纳、特殊要求等原因，致使商品装运推迟的，仓库发货时间不受前款规定限制。</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第</w:t>
      </w:r>
      <w:r>
        <w:rPr>
          <w:rFonts w:ascii="黑体" w:hAnsi="黑体" w:eastAsia="黑体" w:cs="宋体"/>
          <w:color w:val="000000"/>
          <w:kern w:val="0"/>
          <w:sz w:val="28"/>
          <w:szCs w:val="28"/>
        </w:rPr>
        <w:t>三十</w:t>
      </w:r>
      <w:r>
        <w:rPr>
          <w:rFonts w:hint="eastAsia" w:ascii="黑体" w:hAnsi="黑体" w:eastAsia="黑体" w:cs="宋体"/>
          <w:color w:val="000000"/>
          <w:kern w:val="0"/>
          <w:sz w:val="28"/>
          <w:szCs w:val="28"/>
        </w:rPr>
        <w:t>四</w:t>
      </w:r>
      <w:r>
        <w:rPr>
          <w:rFonts w:ascii="黑体" w:hAnsi="黑体" w:eastAsia="黑体" w:cs="宋体"/>
          <w:color w:val="000000"/>
          <w:kern w:val="0"/>
          <w:sz w:val="28"/>
          <w:szCs w:val="28"/>
        </w:rPr>
        <w:t>条</w:t>
      </w:r>
      <w:r>
        <w:rPr>
          <w:rFonts w:hint="eastAsia" w:ascii="黑体" w:hAnsi="黑体" w:eastAsia="黑体" w:cs="宋体"/>
          <w:color w:val="000000"/>
          <w:kern w:val="0"/>
          <w:sz w:val="28"/>
          <w:szCs w:val="28"/>
        </w:rPr>
        <w:t xml:space="preserve"> </w:t>
      </w:r>
      <w:r>
        <w:rPr>
          <w:rFonts w:hint="eastAsia" w:ascii="宋体" w:hAnsi="宋体" w:eastAsia="宋体" w:cs="宋体"/>
          <w:kern w:val="0"/>
          <w:sz w:val="28"/>
          <w:szCs w:val="28"/>
        </w:rPr>
        <w:t>葵油出库重量验收由仓库和提货人共同实施，具体办法参照入库重量验收规定。</w:t>
      </w:r>
    </w:p>
    <w:p>
      <w:pPr>
        <w:spacing w:line="360" w:lineRule="auto"/>
        <w:ind w:firstLine="560" w:firstLineChars="200"/>
        <w:rPr>
          <w:rFonts w:ascii="宋体" w:hAnsi="宋体" w:eastAsia="宋体" w:cs="宋体"/>
          <w:strike/>
          <w:kern w:val="0"/>
          <w:sz w:val="28"/>
          <w:szCs w:val="28"/>
        </w:rPr>
      </w:pPr>
      <w:r>
        <w:rPr>
          <w:rFonts w:hint="eastAsia" w:ascii="Times New Roman" w:hAnsi="Times New Roman" w:eastAsia="宋体" w:cs="Times New Roman"/>
          <w:sz w:val="28"/>
          <w:szCs w:val="28"/>
        </w:rPr>
        <w:t>葵油出库时，仓库负责对</w:t>
      </w:r>
      <w:r>
        <w:rPr>
          <w:rFonts w:hint="eastAsia" w:ascii="宋体" w:hAnsi="宋体" w:eastAsia="宋体" w:cs="宋体"/>
          <w:spacing w:val="-6"/>
          <w:kern w:val="52"/>
          <w:sz w:val="28"/>
          <w:szCs w:val="28"/>
        </w:rPr>
        <w:t>酸价（KOH）质量指标</w:t>
      </w:r>
      <w:r>
        <w:rPr>
          <w:rFonts w:hint="eastAsia" w:ascii="Times New Roman" w:hAnsi="Times New Roman" w:eastAsia="宋体" w:cs="Times New Roman"/>
          <w:sz w:val="28"/>
          <w:szCs w:val="28"/>
        </w:rPr>
        <w:t>进行出库检验，</w:t>
      </w:r>
      <w:r>
        <w:rPr>
          <w:rFonts w:hint="eastAsia" w:ascii="宋体" w:hAnsi="宋体" w:eastAsia="宋体" w:cs="宋体"/>
          <w:kern w:val="0"/>
          <w:sz w:val="28"/>
          <w:szCs w:val="28"/>
        </w:rPr>
        <w:t>按照本细则第二十三条规定的补量方法核定出库数量，足量出库。出库数量发生短少的</w:t>
      </w:r>
      <w:r>
        <w:rPr>
          <w:rFonts w:hint="eastAsia" w:ascii="Times New Roman" w:hAnsi="Times New Roman" w:eastAsia="宋体" w:cs="Times New Roman"/>
          <w:sz w:val="28"/>
          <w:szCs w:val="28"/>
        </w:rPr>
        <w:t>，仓库应当及时补足。不能及时补足的，仓库应当按照《提货通知单》开具日之前（含该日）葵油期货最近交割月最高交割结算价核算短少商品价款，赔偿提货人。</w:t>
      </w:r>
    </w:p>
    <w:p>
      <w:pPr>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第三十五条 </w:t>
      </w:r>
      <w:r>
        <w:rPr>
          <w:rFonts w:hint="eastAsia" w:ascii="Times New Roman" w:hAnsi="Times New Roman" w:eastAsia="宋体" w:cs="Times New Roman"/>
          <w:sz w:val="28"/>
          <w:szCs w:val="28"/>
        </w:rPr>
        <w:t>葵油出库时，商品质量应</w:t>
      </w:r>
      <w:r>
        <w:rPr>
          <w:rFonts w:hint="eastAsia" w:ascii="Times New Roman" w:hAnsi="Times New Roman" w:eastAsia="宋体" w:cs="Times New Roman"/>
          <w:sz w:val="28"/>
          <w:szCs w:val="28"/>
          <w:lang w:eastAsia="zh-CN"/>
        </w:rPr>
        <w:t>当</w:t>
      </w:r>
      <w:r>
        <w:rPr>
          <w:rFonts w:hint="eastAsia" w:ascii="Times New Roman" w:hAnsi="Times New Roman" w:eastAsia="宋体" w:cs="Times New Roman"/>
          <w:sz w:val="28"/>
          <w:szCs w:val="28"/>
        </w:rPr>
        <w:t>与标准仓单中标注的信息一致。提</w:t>
      </w:r>
      <w:r>
        <w:rPr>
          <w:rFonts w:hint="eastAsia" w:ascii="宋体" w:hAnsi="宋体" w:eastAsia="宋体" w:cs="宋体"/>
          <w:kern w:val="0"/>
          <w:sz w:val="28"/>
          <w:szCs w:val="28"/>
        </w:rPr>
        <w:t>货人对商品质量有异议的，可以向交易所申请一次复检，并预交复检费用。</w:t>
      </w:r>
      <w:r>
        <w:rPr>
          <w:rFonts w:hint="eastAsia" w:ascii="宋体" w:hAnsi="宋体" w:eastAsia="宋体" w:cs="宋体"/>
          <w:color w:val="000000"/>
          <w:kern w:val="0"/>
          <w:sz w:val="28"/>
          <w:szCs w:val="28"/>
        </w:rPr>
        <w:t>质量异议应当在</w:t>
      </w:r>
      <w:r>
        <w:rPr>
          <w:rFonts w:hint="eastAsia" w:ascii="宋体" w:hAnsi="宋体" w:eastAsia="宋体" w:cs="宋体"/>
          <w:kern w:val="0"/>
          <w:sz w:val="28"/>
          <w:szCs w:val="28"/>
        </w:rPr>
        <w:t>《提货通知单》开具之日起10个工作日内</w:t>
      </w:r>
      <w:r>
        <w:rPr>
          <w:rFonts w:hint="eastAsia" w:ascii="宋体" w:hAnsi="宋体" w:eastAsia="宋体" w:cs="宋体"/>
          <w:color w:val="000000"/>
          <w:kern w:val="0"/>
          <w:sz w:val="28"/>
          <w:szCs w:val="28"/>
        </w:rPr>
        <w:t>提出。</w:t>
      </w:r>
    </w:p>
    <w:p>
      <w:pPr>
        <w:spacing w:line="360" w:lineRule="auto"/>
        <w:ind w:firstLine="560" w:firstLineChars="200"/>
        <w:rPr>
          <w:rFonts w:ascii="宋体" w:hAnsi="宋体" w:eastAsia="宋体" w:cs="宋体"/>
          <w:color w:val="000000"/>
          <w:kern w:val="0"/>
          <w:sz w:val="28"/>
          <w:szCs w:val="28"/>
        </w:rPr>
      </w:pPr>
      <w:r>
        <w:rPr>
          <w:rFonts w:hint="eastAsia" w:ascii="宋体" w:hAnsi="宋体" w:eastAsia="宋体" w:cs="宋体"/>
          <w:color w:val="000000"/>
          <w:kern w:val="0"/>
          <w:sz w:val="28"/>
          <w:szCs w:val="28"/>
        </w:rPr>
        <w:t>提货人对酸价（KOH）质量指标提出复检的，以复检结果为准，仓库按照</w:t>
      </w:r>
      <w:r>
        <w:rPr>
          <w:rFonts w:hint="eastAsia" w:ascii="宋体" w:hAnsi="宋体" w:eastAsia="宋体" w:cs="宋体"/>
          <w:kern w:val="0"/>
          <w:sz w:val="28"/>
          <w:szCs w:val="28"/>
        </w:rPr>
        <w:t>本细则第二十三条规定的补量方法</w:t>
      </w:r>
      <w:r>
        <w:rPr>
          <w:rFonts w:hint="eastAsia" w:ascii="宋体" w:hAnsi="宋体" w:eastAsia="宋体" w:cs="宋体"/>
          <w:color w:val="000000"/>
          <w:kern w:val="0"/>
          <w:sz w:val="28"/>
          <w:szCs w:val="28"/>
        </w:rPr>
        <w:t>复核出库数量。酸价（KOH）复检结果低于或者等于仓库出库检验的结果，由此产生的复检及相关费用由提货人承担；酸价（KOH）复检结果高于仓库出库检验的结果，但在交割标准允许范围内的，提货人应当接受，由此产生的复检及相关费用由仓库承担。</w:t>
      </w:r>
    </w:p>
    <w:p>
      <w:pPr>
        <w:spacing w:line="360" w:lineRule="auto"/>
        <w:ind w:firstLine="560" w:firstLineChars="200"/>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交割商品的质量与</w:t>
      </w:r>
      <w:r>
        <w:rPr>
          <w:rFonts w:hint="eastAsia" w:ascii="宋体" w:hAnsi="宋体" w:eastAsia="宋体" w:cs="宋体"/>
          <w:color w:val="000000"/>
          <w:kern w:val="0"/>
          <w:sz w:val="28"/>
          <w:szCs w:val="28"/>
          <w:lang w:eastAsia="zh-CN"/>
        </w:rPr>
        <w:t>标准</w:t>
      </w:r>
      <w:r>
        <w:rPr>
          <w:rFonts w:hint="eastAsia" w:ascii="宋体" w:hAnsi="宋体" w:eastAsia="宋体" w:cs="宋体"/>
          <w:color w:val="000000"/>
          <w:kern w:val="0"/>
          <w:sz w:val="28"/>
          <w:szCs w:val="28"/>
        </w:rPr>
        <w:t>仓单标注信息不一致的，按照不符合出库规定办理。</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color w:val="000000"/>
          <w:kern w:val="0"/>
          <w:sz w:val="28"/>
          <w:szCs w:val="28"/>
        </w:rPr>
        <w:t>其他本细则未规定的情形，</w:t>
      </w:r>
      <w:r>
        <w:rPr>
          <w:rFonts w:hint="eastAsia" w:ascii="宋体" w:hAnsi="宋体" w:eastAsia="宋体" w:cs="宋体"/>
          <w:kern w:val="0"/>
          <w:sz w:val="28"/>
          <w:szCs w:val="28"/>
        </w:rPr>
        <w:t>按照《郑州商品交易所标准仓单管理办法》“仓库商品出库复检”有关规定办理。</w:t>
      </w:r>
    </w:p>
    <w:p>
      <w:pPr>
        <w:tabs>
          <w:tab w:val="left" w:pos="1620"/>
        </w:tabs>
        <w:autoSpaceDE w:val="0"/>
        <w:autoSpaceDN w:val="0"/>
        <w:spacing w:line="360" w:lineRule="auto"/>
        <w:jc w:val="center"/>
        <w:rPr>
          <w:rFonts w:ascii="Times New Roman" w:hAnsi="Times New Roman" w:eastAsia="宋体" w:cs="Times New Roman"/>
          <w:b/>
          <w:sz w:val="28"/>
          <w:szCs w:val="28"/>
        </w:rPr>
      </w:pPr>
      <w:r>
        <w:rPr>
          <w:rFonts w:hint="eastAsia" w:ascii="Times New Roman" w:hAnsi="Times New Roman" w:eastAsia="宋体" w:cs="Times New Roman"/>
          <w:b/>
          <w:sz w:val="28"/>
          <w:szCs w:val="28"/>
        </w:rPr>
        <w:t>第四节 厂库标准仓单交割</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第三十六条 </w:t>
      </w:r>
      <w:r>
        <w:rPr>
          <w:rFonts w:hint="eastAsia" w:ascii="宋体" w:hAnsi="宋体" w:eastAsia="宋体" w:cs="宋体"/>
          <w:kern w:val="0"/>
          <w:sz w:val="28"/>
          <w:szCs w:val="28"/>
        </w:rPr>
        <w:t>葵油厂库允许注册标准仓单的最大数量由交易所确定，交易所可以根据情况予以调整。</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葵油厂库申请注册标准仓单前，应当按照交易所规定提供标准仓单注册担保。</w:t>
      </w:r>
    </w:p>
    <w:p>
      <w:pPr>
        <w:spacing w:line="360" w:lineRule="auto"/>
        <w:ind w:firstLine="560" w:firstLineChars="200"/>
        <w:rPr>
          <w:rFonts w:ascii="宋体" w:hAnsi="宋体" w:eastAsia="宋体" w:cs="宋体"/>
          <w:sz w:val="28"/>
          <w:szCs w:val="28"/>
        </w:rPr>
      </w:pPr>
      <w:r>
        <w:rPr>
          <w:rFonts w:hint="eastAsia" w:ascii="黑体" w:hAnsi="黑体" w:eastAsia="黑体" w:cs="宋体"/>
          <w:color w:val="000000"/>
          <w:kern w:val="0"/>
          <w:sz w:val="28"/>
          <w:szCs w:val="28"/>
        </w:rPr>
        <w:t xml:space="preserve">第三十七条 </w:t>
      </w:r>
      <w:r>
        <w:rPr>
          <w:rFonts w:hint="eastAsia" w:ascii="宋体" w:hAnsi="宋体" w:eastAsia="宋体" w:cs="宋体"/>
          <w:kern w:val="0"/>
          <w:sz w:val="28"/>
          <w:szCs w:val="28"/>
        </w:rPr>
        <w:t>经交易所认定具有一级压榨葵油交割资质的厂库</w:t>
      </w:r>
      <w:r>
        <w:rPr>
          <w:rFonts w:hint="eastAsia" w:ascii="宋体" w:hAnsi="宋体" w:eastAsia="宋体" w:cs="宋体"/>
          <w:kern w:val="0"/>
          <w:sz w:val="28"/>
          <w:szCs w:val="28"/>
          <w:lang w:eastAsia="zh-CN"/>
        </w:rPr>
        <w:t>，</w:t>
      </w:r>
      <w:r>
        <w:rPr>
          <w:rFonts w:hint="eastAsia" w:ascii="宋体" w:hAnsi="宋体" w:eastAsia="宋体" w:cs="宋体"/>
          <w:kern w:val="0"/>
          <w:sz w:val="28"/>
          <w:szCs w:val="28"/>
        </w:rPr>
        <w:t>可以</w:t>
      </w:r>
      <w:r>
        <w:rPr>
          <w:rFonts w:hint="eastAsia" w:ascii="宋体" w:hAnsi="宋体" w:eastAsia="宋体" w:cs="宋体"/>
          <w:kern w:val="0"/>
          <w:sz w:val="28"/>
          <w:szCs w:val="28"/>
          <w:lang w:eastAsia="zh-CN"/>
        </w:rPr>
        <w:t>注册</w:t>
      </w:r>
      <w:r>
        <w:rPr>
          <w:rFonts w:hint="eastAsia" w:ascii="宋体" w:hAnsi="宋体" w:eastAsia="宋体" w:cs="宋体"/>
          <w:kern w:val="0"/>
          <w:sz w:val="28"/>
          <w:szCs w:val="28"/>
        </w:rPr>
        <w:t>一级压榨葵油</w:t>
      </w:r>
      <w:r>
        <w:rPr>
          <w:rFonts w:hint="eastAsia" w:ascii="宋体" w:hAnsi="宋体" w:eastAsia="宋体" w:cs="宋体"/>
          <w:kern w:val="0"/>
          <w:sz w:val="28"/>
          <w:szCs w:val="28"/>
          <w:lang w:eastAsia="zh-CN"/>
        </w:rPr>
        <w:t>标准仓单</w:t>
      </w:r>
      <w:r>
        <w:rPr>
          <w:rFonts w:hint="eastAsia" w:ascii="宋体" w:hAnsi="宋体" w:eastAsia="宋体" w:cs="宋体"/>
          <w:kern w:val="0"/>
          <w:sz w:val="28"/>
          <w:szCs w:val="28"/>
        </w:rPr>
        <w:t>。</w:t>
      </w:r>
      <w:r>
        <w:rPr>
          <w:rFonts w:ascii="宋体" w:hAnsi="宋体" w:eastAsia="宋体" w:cs="宋体"/>
          <w:sz w:val="28"/>
          <w:szCs w:val="28"/>
        </w:rPr>
        <w:t>具</w:t>
      </w:r>
      <w:r>
        <w:rPr>
          <w:rFonts w:hint="eastAsia" w:ascii="宋体" w:hAnsi="宋体" w:eastAsia="宋体" w:cs="宋体"/>
          <w:sz w:val="28"/>
          <w:szCs w:val="28"/>
        </w:rPr>
        <w:t>有一级压榨葵油交割资质的</w:t>
      </w:r>
      <w:r>
        <w:rPr>
          <w:rFonts w:ascii="宋体" w:hAnsi="宋体" w:eastAsia="宋体" w:cs="宋体"/>
          <w:sz w:val="28"/>
          <w:szCs w:val="28"/>
        </w:rPr>
        <w:t>厂库</w:t>
      </w:r>
      <w:r>
        <w:rPr>
          <w:rFonts w:hint="eastAsia" w:ascii="宋体" w:hAnsi="宋体" w:eastAsia="宋体" w:cs="宋体"/>
          <w:sz w:val="28"/>
          <w:szCs w:val="28"/>
          <w:lang w:eastAsia="zh-CN"/>
        </w:rPr>
        <w:t>由</w:t>
      </w:r>
      <w:r>
        <w:rPr>
          <w:rFonts w:ascii="宋体" w:hAnsi="宋体" w:eastAsia="宋体" w:cs="宋体"/>
          <w:sz w:val="28"/>
          <w:szCs w:val="28"/>
        </w:rPr>
        <w:t>交易所另行公告。</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第三十八</w:t>
      </w:r>
      <w:r>
        <w:rPr>
          <w:rFonts w:ascii="黑体" w:hAnsi="黑体" w:eastAsia="黑体" w:cs="宋体"/>
          <w:color w:val="000000"/>
          <w:kern w:val="0"/>
          <w:sz w:val="28"/>
          <w:szCs w:val="28"/>
        </w:rPr>
        <w:t>条</w:t>
      </w:r>
      <w:r>
        <w:rPr>
          <w:rFonts w:hint="eastAsia" w:ascii="黑体" w:hAnsi="黑体" w:eastAsia="黑体" w:cs="宋体"/>
          <w:color w:val="000000"/>
          <w:kern w:val="0"/>
          <w:sz w:val="28"/>
          <w:szCs w:val="28"/>
        </w:rPr>
        <w:t xml:space="preserve"> </w:t>
      </w:r>
      <w:r>
        <w:rPr>
          <w:rFonts w:hint="eastAsia" w:ascii="宋体" w:hAnsi="宋体" w:eastAsia="宋体" w:cs="宋体"/>
          <w:kern w:val="0"/>
          <w:sz w:val="28"/>
          <w:szCs w:val="28"/>
        </w:rPr>
        <w:t>葵油厂库标准仓单注销后，提货人应当在交易所开具《提货通知单》之日起10个工作日内，凭提货人身份证、提货人所在单位证明及《提货通知单》验证密码到厂库办理提货手续，确认商品质量、运输方式，并预交各项费用。</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提货人办理提货手续时，应当就发货速度及最后完成出库时间与厂库协商一致，协商不成的，厂库应当按照交易所批准的日发货速度发货。</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本细则所称厂库日发货速度，是指厂库在24小时内安排期货商品发货的最低数量。厂库日发货速度由交易所确定和调整。</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第三十九</w:t>
      </w:r>
      <w:r>
        <w:rPr>
          <w:rFonts w:ascii="黑体" w:hAnsi="黑体" w:eastAsia="黑体" w:cs="宋体"/>
          <w:color w:val="000000"/>
          <w:kern w:val="0"/>
          <w:sz w:val="28"/>
          <w:szCs w:val="28"/>
        </w:rPr>
        <w:t xml:space="preserve">条 </w:t>
      </w:r>
      <w:r>
        <w:rPr>
          <w:rFonts w:hint="eastAsia" w:ascii="宋体" w:hAnsi="宋体" w:eastAsia="宋体" w:cs="宋体"/>
          <w:kern w:val="0"/>
          <w:sz w:val="28"/>
          <w:szCs w:val="28"/>
        </w:rPr>
        <w:t>厂库应当在提货手续办妥之日起3个日历日内开始发货，提货人与厂库协商一致的除外。提货人可以自行到库提货或者委托厂库代为发运。</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由于提货人变更发货方式或者发货时间、提货手续不全、未按时交纳费用及其他特殊要求等原因，致使发货推迟的，厂库发货时间不受前款规定限制。</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第四十条 </w:t>
      </w:r>
      <w:r>
        <w:rPr>
          <w:rFonts w:hint="eastAsia" w:ascii="宋体" w:hAnsi="宋体" w:eastAsia="宋体" w:cs="宋体"/>
          <w:kern w:val="0"/>
          <w:sz w:val="28"/>
          <w:szCs w:val="28"/>
        </w:rPr>
        <w:t>厂库葵油出库重量验收由提货人与厂库共同实施，以厂库检重为准，足量出库。</w:t>
      </w:r>
    </w:p>
    <w:p>
      <w:pPr>
        <w:spacing w:line="360" w:lineRule="auto"/>
        <w:ind w:firstLine="560" w:firstLineChars="200"/>
        <w:rPr>
          <w:rFonts w:ascii="宋体" w:hAnsi="宋体" w:eastAsia="宋体" w:cs="宋体"/>
          <w:kern w:val="0"/>
          <w:sz w:val="28"/>
          <w:szCs w:val="28"/>
        </w:rPr>
      </w:pPr>
      <w:r>
        <w:rPr>
          <w:rFonts w:hint="eastAsia" w:ascii="Times New Roman" w:hAnsi="Times New Roman" w:eastAsia="宋体" w:cs="Times New Roman"/>
          <w:sz w:val="28"/>
          <w:szCs w:val="28"/>
        </w:rPr>
        <w:t>葵油出库时，厂库负责对</w:t>
      </w:r>
      <w:r>
        <w:rPr>
          <w:rFonts w:hint="eastAsia" w:ascii="宋体" w:hAnsi="宋体" w:eastAsia="宋体" w:cs="宋体"/>
          <w:spacing w:val="-6"/>
          <w:kern w:val="52"/>
          <w:sz w:val="28"/>
          <w:szCs w:val="28"/>
        </w:rPr>
        <w:t>酸价（KOH）质量指标</w:t>
      </w:r>
      <w:r>
        <w:rPr>
          <w:rFonts w:hint="eastAsia" w:ascii="Times New Roman" w:hAnsi="Times New Roman" w:eastAsia="宋体" w:cs="Times New Roman"/>
          <w:sz w:val="28"/>
          <w:szCs w:val="28"/>
        </w:rPr>
        <w:t>进行出库检验，</w:t>
      </w:r>
      <w:r>
        <w:rPr>
          <w:rFonts w:hint="eastAsia" w:ascii="宋体" w:hAnsi="宋体" w:eastAsia="宋体" w:cs="宋体"/>
          <w:kern w:val="0"/>
          <w:sz w:val="28"/>
          <w:szCs w:val="28"/>
        </w:rPr>
        <w:t>按照本细则第二十三条规定的补量方法核定出库重量。葵油出库重量发生短少的，厂库应当及时补足。不能及时补足的，应当按照《提货通知单》开具日之前（含该日）葵油期货最近交割月最高交割结算价核算短少商品价款，赔偿提货人。</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提货人在货物交收时应当到交收地点监发，未到场监发的，视为对货物重量没有异议。</w:t>
      </w:r>
    </w:p>
    <w:p>
      <w:pPr>
        <w:spacing w:line="360" w:lineRule="auto"/>
        <w:ind w:firstLine="560" w:firstLineChars="200"/>
        <w:rPr>
          <w:rFonts w:ascii="宋体" w:hAnsi="宋体" w:eastAsia="宋体" w:cs="宋体"/>
          <w:kern w:val="0"/>
          <w:sz w:val="28"/>
          <w:szCs w:val="32"/>
        </w:rPr>
      </w:pPr>
      <w:r>
        <w:rPr>
          <w:rFonts w:hint="eastAsia" w:ascii="黑体" w:hAnsi="黑体" w:eastAsia="黑体" w:cs="宋体"/>
          <w:color w:val="000000"/>
          <w:kern w:val="0"/>
          <w:sz w:val="28"/>
          <w:szCs w:val="28"/>
        </w:rPr>
        <w:t xml:space="preserve">第四十一条 </w:t>
      </w:r>
      <w:r>
        <w:rPr>
          <w:rFonts w:hint="eastAsia" w:ascii="宋体" w:hAnsi="宋体" w:eastAsia="宋体" w:cs="宋体"/>
          <w:kern w:val="0"/>
          <w:sz w:val="28"/>
          <w:szCs w:val="32"/>
        </w:rPr>
        <w:t>厂库应当保证交割商品的质量符合交易所规定的交割标准，且与标准仓单中标注的信息一致，并向提货人提供《产品质量证明书》</w:t>
      </w:r>
      <w:r>
        <w:rPr>
          <w:rFonts w:hint="eastAsia" w:ascii="宋体" w:hAnsi="宋体" w:eastAsia="宋体" w:cs="宋体"/>
          <w:kern w:val="0"/>
          <w:sz w:val="28"/>
          <w:szCs w:val="28"/>
        </w:rPr>
        <w:t>等食品安全追溯和食品质量安全证明文件，</w:t>
      </w:r>
      <w:r>
        <w:rPr>
          <w:rFonts w:hint="eastAsia" w:ascii="宋体" w:hAnsi="宋体" w:eastAsia="宋体" w:cs="宋体"/>
          <w:kern w:val="0"/>
          <w:sz w:val="28"/>
          <w:szCs w:val="32"/>
        </w:rPr>
        <w:t>双方协商一致的除外。</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葵油出库时，厂库应当在提货人监督下在货物装运到运输工具前进行抽样，经双方确认后共同封样。样品一式三份，一份由提货人保存，两份由厂库保存。厂库应当将样品保留至发货后</w:t>
      </w:r>
      <w:r>
        <w:rPr>
          <w:rFonts w:ascii="宋体" w:hAnsi="宋体" w:eastAsia="宋体" w:cs="宋体"/>
          <w:kern w:val="0"/>
          <w:sz w:val="28"/>
          <w:szCs w:val="28"/>
        </w:rPr>
        <w:t>30个日历</w:t>
      </w:r>
      <w:r>
        <w:rPr>
          <w:rFonts w:hint="eastAsia" w:ascii="宋体" w:hAnsi="宋体" w:eastAsia="宋体" w:cs="宋体"/>
          <w:kern w:val="0"/>
          <w:sz w:val="28"/>
          <w:szCs w:val="28"/>
        </w:rPr>
        <w:t>日，作为发生质量争议时的处理依据。</w:t>
      </w:r>
    </w:p>
    <w:p>
      <w:pPr>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第四十二条 </w:t>
      </w:r>
      <w:r>
        <w:rPr>
          <w:rFonts w:hint="eastAsia" w:ascii="宋体" w:hAnsi="宋体" w:eastAsia="宋体" w:cs="宋体"/>
          <w:kern w:val="0"/>
          <w:sz w:val="28"/>
          <w:szCs w:val="28"/>
        </w:rPr>
        <w:t>提货人或者厂库</w:t>
      </w:r>
      <w:r>
        <w:rPr>
          <w:rFonts w:hint="eastAsia" w:ascii="宋体" w:hAnsi="宋体" w:eastAsia="宋体" w:cs="宋体"/>
          <w:color w:val="000000"/>
          <w:kern w:val="0"/>
          <w:sz w:val="28"/>
          <w:szCs w:val="28"/>
        </w:rPr>
        <w:t>对葵油重量、质量有异议的，由</w:t>
      </w:r>
      <w:r>
        <w:rPr>
          <w:rFonts w:hint="eastAsia" w:ascii="宋体" w:hAnsi="宋体" w:eastAsia="宋体" w:cs="宋体"/>
          <w:kern w:val="0"/>
          <w:sz w:val="28"/>
          <w:szCs w:val="28"/>
        </w:rPr>
        <w:t>提货人</w:t>
      </w:r>
      <w:r>
        <w:rPr>
          <w:rFonts w:hint="eastAsia" w:ascii="宋体" w:hAnsi="宋体" w:eastAsia="宋体" w:cs="宋体"/>
          <w:color w:val="000000"/>
          <w:kern w:val="0"/>
          <w:sz w:val="28"/>
          <w:szCs w:val="28"/>
        </w:rPr>
        <w:t>和厂库协商解决；协商不成的，可以向交易所申请一次复检，并由申请方预交复检及相关费用。重量异议应当在葵油出库前提出；质量异议应当在葵油出库之日起5个工作日内提出。</w:t>
      </w:r>
    </w:p>
    <w:p>
      <w:pPr>
        <w:spacing w:line="360" w:lineRule="auto"/>
        <w:ind w:firstLine="560" w:firstLineChars="200"/>
        <w:rPr>
          <w:rFonts w:ascii="宋体" w:hAnsi="宋体" w:eastAsia="宋体" w:cs="宋体"/>
          <w:color w:val="000000"/>
          <w:kern w:val="0"/>
          <w:sz w:val="28"/>
          <w:szCs w:val="28"/>
        </w:rPr>
      </w:pPr>
      <w:r>
        <w:rPr>
          <w:rFonts w:hint="eastAsia" w:ascii="宋体" w:hAnsi="宋体" w:eastAsia="宋体" w:cs="宋体"/>
          <w:color w:val="000000"/>
          <w:kern w:val="0"/>
          <w:sz w:val="28"/>
          <w:szCs w:val="28"/>
        </w:rPr>
        <w:t>提货人对酸价（KOH）质量指标提出复检的，以复检结果为准，并按照</w:t>
      </w:r>
      <w:r>
        <w:rPr>
          <w:rFonts w:hint="eastAsia" w:ascii="宋体" w:hAnsi="宋体" w:eastAsia="宋体" w:cs="宋体"/>
          <w:kern w:val="0"/>
          <w:sz w:val="28"/>
          <w:szCs w:val="28"/>
        </w:rPr>
        <w:t>本细则第二十三条的规定复核</w:t>
      </w:r>
      <w:r>
        <w:rPr>
          <w:rFonts w:hint="eastAsia" w:ascii="宋体" w:hAnsi="宋体" w:eastAsia="宋体" w:cs="宋体"/>
          <w:color w:val="000000"/>
          <w:kern w:val="0"/>
          <w:sz w:val="28"/>
          <w:szCs w:val="28"/>
        </w:rPr>
        <w:t>出库重量。酸价（KOH）复检结果低于或者等于厂库出库检验的结果，由此产生的复检及相关费用由提货人承担；酸价（KOH）复检结果高于厂库出库检验的结果，但在交割标准允许范围内的，提货人应当接受，由此产生的复检及相关费用由厂库承担。</w:t>
      </w:r>
    </w:p>
    <w:p>
      <w:pPr>
        <w:spacing w:line="360" w:lineRule="auto"/>
        <w:ind w:firstLine="560" w:firstLineChars="200"/>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交割商品的质量与</w:t>
      </w:r>
      <w:r>
        <w:rPr>
          <w:rFonts w:hint="eastAsia" w:ascii="宋体" w:hAnsi="宋体" w:eastAsia="宋体" w:cs="宋体"/>
          <w:color w:val="000000"/>
          <w:kern w:val="0"/>
          <w:sz w:val="28"/>
          <w:szCs w:val="28"/>
          <w:lang w:eastAsia="zh-CN"/>
        </w:rPr>
        <w:t>标准</w:t>
      </w:r>
      <w:r>
        <w:rPr>
          <w:rFonts w:hint="eastAsia" w:ascii="宋体" w:hAnsi="宋体" w:eastAsia="宋体" w:cs="宋体"/>
          <w:color w:val="000000"/>
          <w:kern w:val="0"/>
          <w:sz w:val="28"/>
          <w:szCs w:val="28"/>
        </w:rPr>
        <w:t>仓单标注信息不一致的，按照不符合交割规定办理。</w:t>
      </w:r>
    </w:p>
    <w:p>
      <w:pPr>
        <w:spacing w:line="360" w:lineRule="auto"/>
        <w:ind w:firstLine="560" w:firstLineChars="200"/>
        <w:rPr>
          <w:rFonts w:ascii="黑体" w:hAnsi="黑体" w:eastAsia="黑体" w:cs="宋体"/>
          <w:color w:val="000000"/>
          <w:kern w:val="0"/>
          <w:sz w:val="28"/>
          <w:szCs w:val="28"/>
        </w:rPr>
      </w:pPr>
      <w:r>
        <w:rPr>
          <w:rFonts w:hint="eastAsia" w:ascii="宋体" w:hAnsi="宋体" w:eastAsia="宋体" w:cs="宋体"/>
          <w:color w:val="000000"/>
          <w:kern w:val="0"/>
          <w:sz w:val="28"/>
          <w:szCs w:val="28"/>
        </w:rPr>
        <w:t>厂库葵油</w:t>
      </w:r>
      <w:r>
        <w:rPr>
          <w:rFonts w:hint="eastAsia" w:ascii="宋体" w:hAnsi="宋体" w:eastAsia="宋体" w:cs="宋体"/>
          <w:kern w:val="0"/>
          <w:sz w:val="28"/>
          <w:szCs w:val="28"/>
        </w:rPr>
        <w:t>出库复检</w:t>
      </w:r>
      <w:r>
        <w:rPr>
          <w:rFonts w:hint="eastAsia" w:ascii="宋体" w:hAnsi="宋体" w:eastAsia="宋体" w:cs="宋体"/>
          <w:color w:val="000000"/>
          <w:kern w:val="0"/>
          <w:sz w:val="28"/>
          <w:szCs w:val="28"/>
        </w:rPr>
        <w:t>本细则未规定的情形，</w:t>
      </w:r>
      <w:r>
        <w:rPr>
          <w:rFonts w:hint="eastAsia" w:ascii="宋体" w:hAnsi="宋体" w:eastAsia="宋体" w:cs="宋体"/>
          <w:kern w:val="0"/>
          <w:sz w:val="28"/>
          <w:szCs w:val="28"/>
        </w:rPr>
        <w:t>按照《郑州商品交易所标准仓单管理办法》“厂库商品出库复检”有关规定办理。</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第四十三条 </w:t>
      </w:r>
      <w:r>
        <w:rPr>
          <w:rFonts w:hint="eastAsia" w:ascii="宋体" w:hAnsi="宋体" w:eastAsia="宋体" w:cs="宋体"/>
          <w:kern w:val="0"/>
          <w:sz w:val="28"/>
          <w:szCs w:val="28"/>
        </w:rPr>
        <w:t>厂库或者提货人因故不能按照约定计划发货或者提货的，双方应当及时协商并妥善调整发货速度或者发货计划，并且过错方应当支付滞纳金。滞纳金额 =∑</w:t>
      </w:r>
      <w:r>
        <w:rPr>
          <w:rFonts w:ascii="宋体" w:hAnsi="宋体" w:eastAsia="宋体" w:cs="宋体"/>
          <w:kern w:val="0"/>
          <w:sz w:val="28"/>
          <w:szCs w:val="28"/>
        </w:rPr>
        <w:t>[</w:t>
      </w:r>
      <w:r>
        <w:rPr>
          <w:rFonts w:hint="eastAsia" w:ascii="宋体" w:hAnsi="宋体" w:eastAsia="宋体" w:cs="宋体"/>
          <w:kern w:val="0"/>
          <w:sz w:val="28"/>
          <w:szCs w:val="28"/>
        </w:rPr>
        <w:t>20（元</w:t>
      </w:r>
      <w:r>
        <w:rPr>
          <w:rFonts w:ascii="宋体" w:hAnsi="宋体" w:eastAsia="宋体" w:cs="宋体"/>
          <w:kern w:val="0"/>
          <w:sz w:val="28"/>
          <w:szCs w:val="28"/>
        </w:rPr>
        <w:t>/吨•天）×延误天数×应发（收）而未发（收）商品数量]。</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因厂库原因在约定的最后发货日起30个日历日内仍不能完成所有商品发货的，提货人可以要求厂库终止发货并支付赔偿金。赔偿金额=葵油期货最近交割月最高交割结算价×应发未发的商品数量×120%。</w:t>
      </w:r>
    </w:p>
    <w:p>
      <w:pPr>
        <w:spacing w:line="360" w:lineRule="auto"/>
        <w:ind w:firstLine="560" w:firstLineChars="200"/>
        <w:rPr>
          <w:rFonts w:ascii="宋体" w:hAnsi="宋体" w:eastAsia="宋体" w:cs="宋体"/>
          <w:kern w:val="0"/>
          <w:sz w:val="28"/>
          <w:szCs w:val="28"/>
        </w:rPr>
      </w:pPr>
      <w:r>
        <w:rPr>
          <w:rFonts w:hint="eastAsia" w:ascii="宋体" w:hAnsi="宋体" w:eastAsia="宋体" w:cs="宋体"/>
          <w:kern w:val="0"/>
          <w:sz w:val="28"/>
          <w:szCs w:val="28"/>
        </w:rPr>
        <w:t>因天气原因及其他不可抗力因素导致无法按计划发货或提货的，厂库或者提货人不需支付滞纳金或者赔偿金。</w:t>
      </w:r>
    </w:p>
    <w:p>
      <w:pPr>
        <w:spacing w:line="360" w:lineRule="auto"/>
        <w:ind w:firstLine="560" w:firstLineChars="200"/>
        <w:rPr>
          <w:rFonts w:ascii="宋体" w:hAnsi="宋体" w:eastAsia="宋体" w:cs="宋体"/>
          <w:color w:val="000000"/>
          <w:kern w:val="0"/>
          <w:sz w:val="28"/>
          <w:szCs w:val="28"/>
        </w:rPr>
      </w:pPr>
      <w:r>
        <w:rPr>
          <w:rFonts w:hint="eastAsia" w:ascii="宋体" w:hAnsi="宋体" w:eastAsia="宋体" w:cs="宋体"/>
          <w:color w:val="000000"/>
          <w:kern w:val="0"/>
          <w:sz w:val="28"/>
          <w:szCs w:val="28"/>
        </w:rPr>
        <w:t>厂库和提货人应当妥善保管商品发货计划、协商确认材料以及发货和提货单据等，作为纠纷解决的依据。</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第四十四条 </w:t>
      </w:r>
      <w:r>
        <w:rPr>
          <w:rFonts w:hint="eastAsia" w:ascii="宋体" w:hAnsi="宋体" w:eastAsia="宋体" w:cs="宋体"/>
          <w:kern w:val="0"/>
          <w:sz w:val="28"/>
          <w:szCs w:val="28"/>
        </w:rPr>
        <w:t>多名提货人同时提货的，厂库可以根据提货人预约时间及办理提货手续的先后顺序等因素合理安排发货。</w:t>
      </w:r>
    </w:p>
    <w:p>
      <w:pPr>
        <w:spacing w:line="360" w:lineRule="auto"/>
        <w:ind w:firstLine="560" w:firstLineChars="200"/>
        <w:rPr>
          <w:rFonts w:ascii="宋体" w:hAnsi="宋体" w:eastAsia="宋体" w:cs="宋体"/>
          <w:kern w:val="0"/>
          <w:sz w:val="28"/>
          <w:szCs w:val="28"/>
        </w:rPr>
      </w:pPr>
      <w:r>
        <w:rPr>
          <w:rFonts w:hint="eastAsia" w:ascii="黑体" w:hAnsi="黑体" w:eastAsia="黑体" w:cs="宋体"/>
          <w:color w:val="000000"/>
          <w:kern w:val="0"/>
          <w:sz w:val="28"/>
          <w:szCs w:val="28"/>
        </w:rPr>
        <w:t xml:space="preserve">第四十五条 </w:t>
      </w:r>
      <w:r>
        <w:rPr>
          <w:rFonts w:hint="eastAsia" w:ascii="宋体" w:hAnsi="宋体" w:eastAsia="宋体" w:cs="宋体"/>
          <w:kern w:val="0"/>
          <w:sz w:val="28"/>
          <w:szCs w:val="28"/>
        </w:rPr>
        <w:t>厂库发生违约行为，且厂库未赔偿或者赔偿金额不足的，交易所可以动用厂库提供的担保对提货人进行赔偿。</w:t>
      </w:r>
    </w:p>
    <w:p>
      <w:pPr>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第四十六条 </w:t>
      </w:r>
      <w:r>
        <w:rPr>
          <w:rFonts w:hint="eastAsia" w:ascii="宋体" w:hAnsi="宋体" w:eastAsia="宋体" w:cs="宋体"/>
          <w:kern w:val="0"/>
          <w:sz w:val="28"/>
          <w:szCs w:val="28"/>
        </w:rPr>
        <w:t>厂库发货完毕后，交易所书面确认无质量、数量责任的，经厂库申请，交易所退还厂库提交的担保财产或者担保凭证。</w:t>
      </w:r>
    </w:p>
    <w:p>
      <w:pPr>
        <w:spacing w:line="360" w:lineRule="auto"/>
        <w:jc w:val="center"/>
        <w:rPr>
          <w:rFonts w:ascii="黑体" w:hAnsi="黑体" w:eastAsia="黑体" w:cs="宋体"/>
          <w:color w:val="000000"/>
          <w:kern w:val="0"/>
          <w:sz w:val="30"/>
          <w:szCs w:val="30"/>
        </w:rPr>
      </w:pPr>
      <w:r>
        <w:rPr>
          <w:rFonts w:hint="eastAsia" w:ascii="黑体" w:hAnsi="黑体" w:eastAsia="黑体" w:cs="宋体"/>
          <w:color w:val="000000"/>
          <w:kern w:val="0"/>
          <w:sz w:val="30"/>
          <w:szCs w:val="30"/>
        </w:rPr>
        <w:t>第四章</w:t>
      </w:r>
      <w:r>
        <w:rPr>
          <w:rFonts w:ascii="黑体" w:hAnsi="黑体" w:eastAsia="黑体" w:cs="宋体"/>
          <w:color w:val="000000"/>
          <w:kern w:val="0"/>
          <w:sz w:val="30"/>
          <w:szCs w:val="30"/>
        </w:rPr>
        <w:t xml:space="preserve"> 风险管理</w:t>
      </w:r>
    </w:p>
    <w:p>
      <w:pPr>
        <w:spacing w:line="360" w:lineRule="auto"/>
        <w:ind w:firstLine="560" w:firstLineChars="200"/>
        <w:jc w:val="left"/>
        <w:rPr>
          <w:rFonts w:ascii="黑体" w:hAnsi="黑体" w:eastAsia="黑体" w:cs="宋体"/>
          <w:color w:val="000000"/>
          <w:kern w:val="0"/>
          <w:sz w:val="30"/>
          <w:szCs w:val="30"/>
        </w:rPr>
      </w:pPr>
      <w:r>
        <w:rPr>
          <w:rFonts w:hint="eastAsia" w:ascii="黑体" w:hAnsi="黑体" w:eastAsia="黑体" w:cs="宋体"/>
          <w:color w:val="000000"/>
          <w:kern w:val="0"/>
          <w:sz w:val="28"/>
          <w:szCs w:val="28"/>
        </w:rPr>
        <w:t xml:space="preserve">第四十七条 </w:t>
      </w:r>
      <w:r>
        <w:rPr>
          <w:rFonts w:hint="eastAsia" w:ascii="宋体" w:hAnsi="宋体" w:eastAsia="宋体" w:cs="宋体"/>
          <w:color w:val="000000"/>
          <w:kern w:val="0"/>
          <w:sz w:val="28"/>
          <w:szCs w:val="28"/>
        </w:rPr>
        <w:t>葵油期货合约最低交易保证金标准为合约价值的5%。</w:t>
      </w:r>
    </w:p>
    <w:p>
      <w:pPr>
        <w:tabs>
          <w:tab w:val="left" w:pos="1620"/>
        </w:tabs>
        <w:autoSpaceDE w:val="0"/>
        <w:autoSpaceDN w:val="0"/>
        <w:spacing w:line="360" w:lineRule="auto"/>
        <w:ind w:firstLine="560" w:firstLineChars="200"/>
        <w:jc w:val="left"/>
        <w:rPr>
          <w:rFonts w:ascii="宋体" w:hAnsi="宋体" w:eastAsia="宋体" w:cs="宋体"/>
          <w:color w:val="000000"/>
          <w:kern w:val="0"/>
          <w:sz w:val="28"/>
          <w:szCs w:val="28"/>
        </w:rPr>
      </w:pPr>
      <w:r>
        <w:rPr>
          <w:rFonts w:hint="eastAsia" w:ascii="宋体" w:hAnsi="宋体" w:eastAsia="宋体" w:cs="宋体"/>
          <w:color w:val="000000"/>
          <w:kern w:val="0"/>
          <w:sz w:val="28"/>
          <w:szCs w:val="28"/>
        </w:rPr>
        <w:t>葵油期货合约交易保证金标准见下表：</w:t>
      </w:r>
    </w:p>
    <w:tbl>
      <w:tblPr>
        <w:tblStyle w:val="5"/>
        <w:tblW w:w="8505"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529"/>
        <w:gridCol w:w="29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6" w:hRule="atLeast"/>
        </w:trPr>
        <w:tc>
          <w:tcPr>
            <w:tcW w:w="5529" w:type="dxa"/>
            <w:noWrap w:val="0"/>
            <w:vAlign w:val="center"/>
          </w:tcPr>
          <w:p>
            <w:pPr>
              <w:tabs>
                <w:tab w:val="left" w:pos="1620"/>
              </w:tabs>
              <w:autoSpaceDE w:val="0"/>
              <w:autoSpaceDN w:val="0"/>
              <w:spacing w:line="360" w:lineRule="auto"/>
              <w:ind w:firstLine="0"/>
              <w:jc w:val="center"/>
              <w:rPr>
                <w:rFonts w:ascii="宋体" w:hAnsi="宋体" w:eastAsia="宋体" w:cs="宋体"/>
                <w:kern w:val="0"/>
                <w:sz w:val="24"/>
                <w:szCs w:val="24"/>
              </w:rPr>
            </w:pPr>
            <w:r>
              <w:rPr>
                <w:rFonts w:hint="eastAsia" w:ascii="宋体" w:hAnsi="宋体" w:eastAsia="宋体" w:cs="宋体"/>
                <w:kern w:val="0"/>
                <w:sz w:val="24"/>
                <w:szCs w:val="24"/>
              </w:rPr>
              <w:t>交易时间段</w:t>
            </w:r>
          </w:p>
        </w:tc>
        <w:tc>
          <w:tcPr>
            <w:tcW w:w="2976" w:type="dxa"/>
            <w:noWrap w:val="0"/>
            <w:vAlign w:val="center"/>
          </w:tcPr>
          <w:p>
            <w:pPr>
              <w:tabs>
                <w:tab w:val="left" w:pos="1620"/>
              </w:tabs>
              <w:autoSpaceDE w:val="0"/>
              <w:autoSpaceDN w:val="0"/>
              <w:spacing w:line="360" w:lineRule="auto"/>
              <w:jc w:val="center"/>
              <w:rPr>
                <w:rFonts w:ascii="宋体" w:hAnsi="宋体" w:eastAsia="宋体" w:cs="宋体"/>
                <w:kern w:val="0"/>
                <w:sz w:val="24"/>
                <w:szCs w:val="24"/>
              </w:rPr>
            </w:pPr>
            <w:r>
              <w:rPr>
                <w:rFonts w:ascii="宋体" w:hAnsi="宋体" w:eastAsia="宋体" w:cs="宋体"/>
                <w:kern w:val="0"/>
                <w:sz w:val="24"/>
                <w:szCs w:val="24"/>
              </w:rPr>
              <w:t>交易保证金标准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6" w:hRule="atLeast"/>
        </w:trPr>
        <w:tc>
          <w:tcPr>
            <w:tcW w:w="5529" w:type="dxa"/>
            <w:noWrap w:val="0"/>
            <w:vAlign w:val="center"/>
          </w:tcPr>
          <w:p>
            <w:pPr>
              <w:tabs>
                <w:tab w:val="left" w:pos="1620"/>
              </w:tabs>
              <w:autoSpaceDE w:val="0"/>
              <w:autoSpaceDN w:val="0"/>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自合约挂牌至交割月前二个月最后一个交易日</w:t>
            </w:r>
          </w:p>
        </w:tc>
        <w:tc>
          <w:tcPr>
            <w:tcW w:w="2976" w:type="dxa"/>
            <w:noWrap w:val="0"/>
            <w:vAlign w:val="center"/>
          </w:tcPr>
          <w:p>
            <w:pPr>
              <w:tabs>
                <w:tab w:val="left" w:pos="1620"/>
              </w:tabs>
              <w:autoSpaceDE w:val="0"/>
              <w:autoSpaceDN w:val="0"/>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合约价值的5%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6" w:hRule="atLeast"/>
        </w:trPr>
        <w:tc>
          <w:tcPr>
            <w:tcW w:w="5529" w:type="dxa"/>
            <w:noWrap w:val="0"/>
            <w:vAlign w:val="center"/>
          </w:tcPr>
          <w:p>
            <w:pPr>
              <w:tabs>
                <w:tab w:val="left" w:pos="1620"/>
              </w:tabs>
              <w:autoSpaceDE w:val="0"/>
              <w:autoSpaceDN w:val="0"/>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自交割月前一个月第一个交易日至交割月前一个月第14个交易日</w:t>
            </w:r>
          </w:p>
        </w:tc>
        <w:tc>
          <w:tcPr>
            <w:tcW w:w="2976" w:type="dxa"/>
            <w:noWrap w:val="0"/>
            <w:vAlign w:val="center"/>
          </w:tcPr>
          <w:p>
            <w:pPr>
              <w:tabs>
                <w:tab w:val="left" w:pos="1620"/>
              </w:tabs>
              <w:autoSpaceDE w:val="0"/>
              <w:autoSpaceDN w:val="0"/>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合约价值的10%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36" w:hRule="atLeast"/>
        </w:trPr>
        <w:tc>
          <w:tcPr>
            <w:tcW w:w="5529" w:type="dxa"/>
            <w:noWrap w:val="0"/>
            <w:vAlign w:val="center"/>
          </w:tcPr>
          <w:p>
            <w:pPr>
              <w:tabs>
                <w:tab w:val="left" w:pos="1620"/>
              </w:tabs>
              <w:autoSpaceDE w:val="0"/>
              <w:autoSpaceDN w:val="0"/>
              <w:spacing w:line="360" w:lineRule="auto"/>
              <w:rPr>
                <w:rFonts w:ascii="宋体" w:hAnsi="宋体" w:eastAsia="宋体" w:cs="宋体"/>
                <w:color w:val="000000"/>
                <w:kern w:val="0"/>
                <w:sz w:val="24"/>
                <w:szCs w:val="24"/>
              </w:rPr>
            </w:pPr>
            <w:r>
              <w:rPr>
                <w:rFonts w:hint="eastAsia" w:ascii="宋体" w:hAnsi="宋体" w:eastAsia="宋体" w:cs="宋体"/>
                <w:color w:val="000000"/>
                <w:kern w:val="0"/>
                <w:sz w:val="24"/>
                <w:szCs w:val="24"/>
              </w:rPr>
              <w:t>自交割月前一个月第15个交易日至交割月前一个月最后一个交易日</w:t>
            </w:r>
          </w:p>
        </w:tc>
        <w:tc>
          <w:tcPr>
            <w:tcW w:w="2976" w:type="dxa"/>
            <w:noWrap w:val="0"/>
            <w:vAlign w:val="center"/>
          </w:tcPr>
          <w:p>
            <w:pPr>
              <w:tabs>
                <w:tab w:val="left" w:pos="1620"/>
              </w:tabs>
              <w:autoSpaceDE w:val="0"/>
              <w:autoSpaceDN w:val="0"/>
              <w:spacing w:line="360" w:lineRule="auto"/>
              <w:jc w:val="center"/>
              <w:rPr>
                <w:rFonts w:ascii="宋体" w:hAnsi="宋体" w:eastAsia="宋体" w:cs="宋体"/>
                <w:kern w:val="0"/>
                <w:sz w:val="24"/>
                <w:szCs w:val="24"/>
              </w:rPr>
            </w:pPr>
            <w:r>
              <w:rPr>
                <w:rFonts w:hint="eastAsia" w:ascii="宋体" w:hAnsi="宋体" w:eastAsia="宋体" w:cs="宋体"/>
                <w:color w:val="000000"/>
                <w:kern w:val="0"/>
                <w:sz w:val="24"/>
                <w:szCs w:val="24"/>
              </w:rPr>
              <w:t>合约价值的15%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6" w:hRule="atLeast"/>
        </w:trPr>
        <w:tc>
          <w:tcPr>
            <w:tcW w:w="5529" w:type="dxa"/>
            <w:noWrap w:val="0"/>
            <w:vAlign w:val="center"/>
          </w:tcPr>
          <w:p>
            <w:pPr>
              <w:tabs>
                <w:tab w:val="left" w:pos="1620"/>
              </w:tabs>
              <w:autoSpaceDE w:val="0"/>
              <w:autoSpaceDN w:val="0"/>
              <w:spacing w:line="360" w:lineRule="auto"/>
              <w:rPr>
                <w:rFonts w:ascii="宋体" w:hAnsi="宋体" w:eastAsia="宋体" w:cs="宋体"/>
                <w:color w:val="000000"/>
                <w:kern w:val="0"/>
                <w:sz w:val="24"/>
                <w:szCs w:val="24"/>
              </w:rPr>
            </w:pPr>
            <w:r>
              <w:rPr>
                <w:rFonts w:hint="eastAsia" w:ascii="宋体" w:hAnsi="宋体" w:eastAsia="宋体" w:cs="宋体"/>
                <w:color w:val="000000"/>
                <w:kern w:val="0"/>
                <w:sz w:val="24"/>
                <w:szCs w:val="24"/>
              </w:rPr>
              <w:t>交割月份</w:t>
            </w:r>
          </w:p>
        </w:tc>
        <w:tc>
          <w:tcPr>
            <w:tcW w:w="2976" w:type="dxa"/>
            <w:noWrap w:val="0"/>
            <w:vAlign w:val="center"/>
          </w:tcPr>
          <w:p>
            <w:pPr>
              <w:tabs>
                <w:tab w:val="left" w:pos="1620"/>
              </w:tabs>
              <w:autoSpaceDE w:val="0"/>
              <w:autoSpaceDN w:val="0"/>
              <w:spacing w:line="36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合约价值的20%</w:t>
            </w:r>
          </w:p>
        </w:tc>
      </w:tr>
    </w:tbl>
    <w:p>
      <w:pPr>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第四十八条 </w:t>
      </w:r>
      <w:r>
        <w:rPr>
          <w:rFonts w:hint="eastAsia" w:ascii="Times New Roman" w:hAnsi="Times New Roman" w:eastAsia="宋体" w:cs="Times New Roman"/>
          <w:sz w:val="28"/>
          <w:szCs w:val="28"/>
        </w:rPr>
        <w:t>葵油</w:t>
      </w:r>
      <w:r>
        <w:rPr>
          <w:rFonts w:hint="eastAsia" w:ascii="宋体" w:hAnsi="宋体" w:eastAsia="宋体" w:cs="宋体"/>
          <w:kern w:val="0"/>
          <w:sz w:val="28"/>
          <w:szCs w:val="28"/>
        </w:rPr>
        <w:t>期货合约每日涨跌停板幅度为前一交易日结算价的±</w:t>
      </w:r>
      <w:r>
        <w:rPr>
          <w:rFonts w:ascii="宋体" w:hAnsi="宋体" w:eastAsia="宋体" w:cs="宋体"/>
          <w:kern w:val="0"/>
          <w:sz w:val="28"/>
          <w:szCs w:val="28"/>
        </w:rPr>
        <w:t>4%</w:t>
      </w:r>
      <w:r>
        <w:rPr>
          <w:rFonts w:hint="eastAsia" w:ascii="宋体" w:hAnsi="宋体" w:eastAsia="宋体" w:cs="宋体"/>
          <w:kern w:val="0"/>
          <w:sz w:val="28"/>
          <w:szCs w:val="28"/>
        </w:rPr>
        <w:t>。</w:t>
      </w:r>
    </w:p>
    <w:p>
      <w:pPr>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第四十九条 </w:t>
      </w:r>
      <w:r>
        <w:rPr>
          <w:rFonts w:hint="eastAsia" w:ascii="Times New Roman" w:hAnsi="Times New Roman" w:eastAsia="宋体" w:cs="Times New Roman"/>
          <w:sz w:val="28"/>
          <w:szCs w:val="28"/>
        </w:rPr>
        <w:t>葵油</w:t>
      </w:r>
      <w:r>
        <w:rPr>
          <w:rFonts w:hint="eastAsia" w:ascii="宋体" w:hAnsi="宋体" w:eastAsia="宋体" w:cs="宋体"/>
          <w:color w:val="000000"/>
          <w:kern w:val="0"/>
          <w:sz w:val="28"/>
          <w:szCs w:val="28"/>
        </w:rPr>
        <w:t>期货合约限仓标准见下表：</w:t>
      </w:r>
    </w:p>
    <w:tbl>
      <w:tblPr>
        <w:tblStyle w:val="5"/>
        <w:tblW w:w="8505"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360"/>
        <w:gridCol w:w="41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6" w:hRule="atLeast"/>
        </w:trPr>
        <w:tc>
          <w:tcPr>
            <w:tcW w:w="4360" w:type="dxa"/>
            <w:noWrap w:val="0"/>
            <w:vAlign w:val="center"/>
          </w:tcPr>
          <w:p>
            <w:pPr>
              <w:tabs>
                <w:tab w:val="left" w:pos="1620"/>
              </w:tabs>
              <w:autoSpaceDE w:val="0"/>
              <w:autoSpaceDN w:val="0"/>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交易时间段</w:t>
            </w:r>
          </w:p>
        </w:tc>
        <w:tc>
          <w:tcPr>
            <w:tcW w:w="4145" w:type="dxa"/>
            <w:noWrap w:val="0"/>
            <w:vAlign w:val="center"/>
          </w:tcPr>
          <w:p>
            <w:pPr>
              <w:tabs>
                <w:tab w:val="left" w:pos="1620"/>
              </w:tabs>
              <w:autoSpaceDE w:val="0"/>
              <w:autoSpaceDN w:val="0"/>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非期货公司会员和客户的最大单边持仓量（手）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6" w:hRule="atLeast"/>
        </w:trPr>
        <w:tc>
          <w:tcPr>
            <w:tcW w:w="4360" w:type="dxa"/>
            <w:noWrap w:val="0"/>
            <w:vAlign w:val="center"/>
          </w:tcPr>
          <w:p>
            <w:pPr>
              <w:tabs>
                <w:tab w:val="left" w:pos="1620"/>
              </w:tabs>
              <w:autoSpaceDE w:val="0"/>
              <w:autoSpaceDN w:val="0"/>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自合约挂牌至交割月前二个月最后一个交易日</w:t>
            </w:r>
          </w:p>
        </w:tc>
        <w:tc>
          <w:tcPr>
            <w:tcW w:w="4145" w:type="dxa"/>
            <w:noWrap w:val="0"/>
            <w:vAlign w:val="center"/>
          </w:tcPr>
          <w:p>
            <w:pPr>
              <w:tabs>
                <w:tab w:val="left" w:pos="1620"/>
              </w:tabs>
              <w:autoSpaceDE w:val="0"/>
              <w:autoSpaceDN w:val="0"/>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6" w:hRule="atLeast"/>
        </w:trPr>
        <w:tc>
          <w:tcPr>
            <w:tcW w:w="4360" w:type="dxa"/>
            <w:noWrap w:val="0"/>
            <w:vAlign w:val="center"/>
          </w:tcPr>
          <w:p>
            <w:pPr>
              <w:tabs>
                <w:tab w:val="left" w:pos="1620"/>
              </w:tabs>
              <w:autoSpaceDE w:val="0"/>
              <w:autoSpaceDN w:val="0"/>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自交割月前一个月第一个交易日至交割月前一个月第14个交易日</w:t>
            </w:r>
          </w:p>
        </w:tc>
        <w:tc>
          <w:tcPr>
            <w:tcW w:w="4145" w:type="dxa"/>
            <w:noWrap w:val="0"/>
            <w:vAlign w:val="center"/>
          </w:tcPr>
          <w:p>
            <w:pPr>
              <w:tabs>
                <w:tab w:val="left" w:pos="1620"/>
              </w:tabs>
              <w:autoSpaceDE w:val="0"/>
              <w:autoSpaceDN w:val="0"/>
              <w:spacing w:line="36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6" w:hRule="atLeast"/>
        </w:trPr>
        <w:tc>
          <w:tcPr>
            <w:tcW w:w="4360" w:type="dxa"/>
            <w:noWrap w:val="0"/>
            <w:vAlign w:val="center"/>
          </w:tcPr>
          <w:p>
            <w:pPr>
              <w:tabs>
                <w:tab w:val="left" w:pos="1620"/>
              </w:tabs>
              <w:autoSpaceDE w:val="0"/>
              <w:autoSpaceDN w:val="0"/>
              <w:spacing w:line="360" w:lineRule="auto"/>
              <w:rPr>
                <w:rFonts w:ascii="宋体" w:hAnsi="宋体" w:eastAsia="宋体" w:cs="宋体"/>
                <w:color w:val="000000"/>
                <w:kern w:val="0"/>
                <w:sz w:val="24"/>
                <w:szCs w:val="24"/>
              </w:rPr>
            </w:pPr>
            <w:r>
              <w:rPr>
                <w:rFonts w:hint="eastAsia" w:ascii="宋体" w:hAnsi="宋体" w:eastAsia="宋体" w:cs="宋体"/>
                <w:color w:val="000000"/>
                <w:kern w:val="0"/>
                <w:sz w:val="24"/>
                <w:szCs w:val="24"/>
              </w:rPr>
              <w:t>自交割月前一个月第15个交易日至交割月前一个月最后一个交易日</w:t>
            </w:r>
          </w:p>
        </w:tc>
        <w:tc>
          <w:tcPr>
            <w:tcW w:w="4145" w:type="dxa"/>
            <w:noWrap w:val="0"/>
            <w:vAlign w:val="center"/>
          </w:tcPr>
          <w:p>
            <w:pPr>
              <w:tabs>
                <w:tab w:val="left" w:pos="1620"/>
              </w:tabs>
              <w:autoSpaceDE w:val="0"/>
              <w:autoSpaceDN w:val="0"/>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250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6" w:hRule="atLeast"/>
        </w:trPr>
        <w:tc>
          <w:tcPr>
            <w:tcW w:w="4360" w:type="dxa"/>
            <w:noWrap w:val="0"/>
            <w:vAlign w:val="center"/>
          </w:tcPr>
          <w:p>
            <w:pPr>
              <w:tabs>
                <w:tab w:val="left" w:pos="1620"/>
              </w:tabs>
              <w:autoSpaceDE w:val="0"/>
              <w:autoSpaceDN w:val="0"/>
              <w:spacing w:line="360" w:lineRule="auto"/>
              <w:rPr>
                <w:rFonts w:ascii="宋体" w:hAnsi="宋体" w:eastAsia="宋体" w:cs="宋体"/>
                <w:color w:val="000000"/>
                <w:kern w:val="0"/>
                <w:sz w:val="24"/>
                <w:szCs w:val="24"/>
              </w:rPr>
            </w:pPr>
            <w:r>
              <w:rPr>
                <w:rFonts w:hint="eastAsia" w:ascii="宋体" w:hAnsi="宋体" w:eastAsia="宋体" w:cs="宋体"/>
                <w:color w:val="000000"/>
                <w:kern w:val="0"/>
                <w:sz w:val="24"/>
                <w:szCs w:val="24"/>
              </w:rPr>
              <w:t>交割月份</w:t>
            </w:r>
          </w:p>
        </w:tc>
        <w:tc>
          <w:tcPr>
            <w:tcW w:w="4145" w:type="dxa"/>
            <w:noWrap w:val="0"/>
            <w:vAlign w:val="top"/>
          </w:tcPr>
          <w:p>
            <w:pPr>
              <w:tabs>
                <w:tab w:val="left" w:pos="1620"/>
              </w:tabs>
              <w:autoSpaceDE w:val="0"/>
              <w:autoSpaceDN w:val="0"/>
              <w:spacing w:line="36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50</w:t>
            </w:r>
          </w:p>
          <w:p>
            <w:pPr>
              <w:tabs>
                <w:tab w:val="left" w:pos="1620"/>
              </w:tabs>
              <w:autoSpaceDE w:val="0"/>
              <w:autoSpaceDN w:val="0"/>
              <w:spacing w:line="36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（自然人客户最大单边持仓量为0）</w:t>
            </w:r>
          </w:p>
        </w:tc>
      </w:tr>
    </w:tbl>
    <w:p>
      <w:pPr>
        <w:spacing w:line="360" w:lineRule="auto"/>
        <w:ind w:firstLine="560" w:firstLineChars="200"/>
        <w:rPr>
          <w:rFonts w:ascii="宋体" w:hAnsi="宋体" w:eastAsia="宋体" w:cs="宋体"/>
          <w:color w:val="000000"/>
          <w:kern w:val="0"/>
          <w:sz w:val="28"/>
          <w:szCs w:val="28"/>
        </w:rPr>
      </w:pPr>
      <w:r>
        <w:rPr>
          <w:rFonts w:hint="eastAsia" w:ascii="宋体" w:hAnsi="宋体" w:eastAsia="宋体" w:cs="宋体"/>
          <w:color w:val="000000"/>
          <w:kern w:val="0"/>
          <w:sz w:val="28"/>
          <w:szCs w:val="28"/>
        </w:rPr>
        <w:t>本条所称限仓是指交易所规定会员或者客户按单边计算的、可以持有某一期货合约投机持仓的最大数量。</w:t>
      </w:r>
    </w:p>
    <w:p>
      <w:pPr>
        <w:spacing w:line="360" w:lineRule="auto"/>
        <w:ind w:firstLine="560" w:firstLineChars="200"/>
        <w:rPr>
          <w:rFonts w:hint="eastAsia"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第五十条 </w:t>
      </w:r>
      <w:r>
        <w:rPr>
          <w:rFonts w:hint="eastAsia" w:ascii="宋体" w:hAnsi="宋体" w:eastAsia="宋体" w:cs="宋体"/>
          <w:color w:val="000000"/>
          <w:kern w:val="0"/>
          <w:sz w:val="28"/>
          <w:szCs w:val="28"/>
        </w:rPr>
        <w:t>根据《郑州商品交易所期货交易风险控制管理办法》等有关规定，交易所对葵油期货合约交易保证金标准、涨跌停板幅度进行调整的，按照相关标准执行。</w:t>
      </w:r>
    </w:p>
    <w:p>
      <w:pPr>
        <w:spacing w:line="360" w:lineRule="auto"/>
        <w:ind w:firstLine="560" w:firstLineChars="200"/>
        <w:rPr>
          <w:rFonts w:hint="eastAsia"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第五十一条 </w:t>
      </w:r>
      <w:r>
        <w:rPr>
          <w:rFonts w:hint="eastAsia" w:ascii="宋体" w:hAnsi="宋体" w:eastAsia="宋体" w:cs="宋体"/>
          <w:color w:val="000000"/>
          <w:kern w:val="0"/>
          <w:sz w:val="28"/>
          <w:szCs w:val="28"/>
        </w:rPr>
        <w:t>在葵油期货交易过程中，因战争、社会动荡、自然灾害、贸易封锁、境内外法规政策变化等突发性事件对其进口正在产生或者即将产生重大影响时，交易所可以采取暂停挂牌新合约、调整相关合约最后交割日、暂停交易等处置措施。</w:t>
      </w:r>
    </w:p>
    <w:p>
      <w:pPr>
        <w:tabs>
          <w:tab w:val="left" w:pos="1620"/>
        </w:tabs>
        <w:autoSpaceDE w:val="0"/>
        <w:autoSpaceDN w:val="0"/>
        <w:spacing w:line="360" w:lineRule="auto"/>
        <w:jc w:val="center"/>
        <w:rPr>
          <w:rFonts w:ascii="黑体" w:hAnsi="黑体" w:eastAsia="黑体" w:cs="宋体"/>
          <w:color w:val="000000"/>
          <w:kern w:val="0"/>
          <w:sz w:val="30"/>
          <w:szCs w:val="30"/>
        </w:rPr>
      </w:pPr>
      <w:r>
        <w:rPr>
          <w:rFonts w:hint="eastAsia" w:ascii="黑体" w:hAnsi="黑体" w:eastAsia="黑体" w:cs="宋体"/>
          <w:color w:val="000000"/>
          <w:kern w:val="0"/>
          <w:sz w:val="30"/>
          <w:szCs w:val="30"/>
        </w:rPr>
        <w:t>第五章 附 则</w:t>
      </w:r>
    </w:p>
    <w:p>
      <w:pPr>
        <w:tabs>
          <w:tab w:val="left" w:pos="1620"/>
        </w:tabs>
        <w:autoSpaceDE w:val="0"/>
        <w:autoSpaceDN w:val="0"/>
        <w:spacing w:line="360" w:lineRule="auto"/>
        <w:ind w:firstLine="560" w:firstLineChars="200"/>
        <w:rPr>
          <w:rFonts w:ascii="宋体" w:hAnsi="宋体" w:eastAsia="宋体" w:cs="宋体"/>
          <w:b/>
          <w:color w:val="000000"/>
          <w:kern w:val="0"/>
          <w:sz w:val="28"/>
          <w:szCs w:val="28"/>
        </w:rPr>
      </w:pPr>
      <w:r>
        <w:rPr>
          <w:rFonts w:hint="eastAsia" w:ascii="黑体" w:hAnsi="黑体" w:eastAsia="黑体" w:cs="宋体"/>
          <w:color w:val="000000"/>
          <w:kern w:val="0"/>
          <w:sz w:val="28"/>
          <w:szCs w:val="28"/>
        </w:rPr>
        <w:t xml:space="preserve">第五十二条 </w:t>
      </w:r>
      <w:r>
        <w:rPr>
          <w:rFonts w:hint="eastAsia" w:ascii="宋体" w:hAnsi="宋体" w:eastAsia="宋体" w:cs="宋体"/>
          <w:color w:val="000000"/>
          <w:kern w:val="0"/>
          <w:sz w:val="28"/>
          <w:szCs w:val="28"/>
        </w:rPr>
        <w:t>违反本细则规定的，交易所按照《郑州商品交易所违规处理办法》和其他业务规则的有关规定处理。</w:t>
      </w:r>
    </w:p>
    <w:p>
      <w:pPr>
        <w:tabs>
          <w:tab w:val="left" w:pos="1620"/>
        </w:tabs>
        <w:autoSpaceDE w:val="0"/>
        <w:autoSpaceDN w:val="0"/>
        <w:spacing w:line="360" w:lineRule="auto"/>
        <w:ind w:firstLine="560" w:firstLineChars="200"/>
        <w:rPr>
          <w:rFonts w:ascii="宋体" w:hAnsi="宋体" w:eastAsia="宋体" w:cs="宋体"/>
          <w:b/>
          <w:color w:val="000000"/>
          <w:kern w:val="0"/>
          <w:sz w:val="28"/>
          <w:szCs w:val="28"/>
        </w:rPr>
      </w:pPr>
      <w:r>
        <w:rPr>
          <w:rFonts w:hint="eastAsia" w:ascii="黑体" w:hAnsi="黑体" w:eastAsia="黑体" w:cs="宋体"/>
          <w:color w:val="000000"/>
          <w:kern w:val="0"/>
          <w:sz w:val="28"/>
          <w:szCs w:val="28"/>
        </w:rPr>
        <w:t xml:space="preserve">第五十三条 </w:t>
      </w:r>
      <w:r>
        <w:rPr>
          <w:rFonts w:hint="eastAsia" w:ascii="宋体" w:hAnsi="宋体" w:eastAsia="宋体" w:cs="宋体"/>
          <w:color w:val="000000"/>
          <w:kern w:val="0"/>
          <w:sz w:val="28"/>
          <w:szCs w:val="28"/>
        </w:rPr>
        <w:t>本细则未规定的，按照交易所相关业务规则的规定执行。</w:t>
      </w:r>
    </w:p>
    <w:p>
      <w:pPr>
        <w:tabs>
          <w:tab w:val="left" w:pos="1620"/>
        </w:tabs>
        <w:autoSpaceDE w:val="0"/>
        <w:autoSpaceDN w:val="0"/>
        <w:spacing w:line="360" w:lineRule="auto"/>
        <w:ind w:firstLine="560" w:firstLineChars="200"/>
        <w:rPr>
          <w:rFonts w:ascii="宋体" w:hAnsi="宋体" w:eastAsia="宋体" w:cs="宋体"/>
          <w:color w:val="000000"/>
          <w:kern w:val="0"/>
          <w:sz w:val="28"/>
          <w:szCs w:val="28"/>
        </w:rPr>
      </w:pPr>
      <w:r>
        <w:rPr>
          <w:rFonts w:hint="eastAsia" w:ascii="黑体" w:hAnsi="黑体" w:eastAsia="黑体" w:cs="宋体"/>
          <w:color w:val="000000"/>
          <w:kern w:val="0"/>
          <w:sz w:val="28"/>
          <w:szCs w:val="28"/>
        </w:rPr>
        <w:t xml:space="preserve">第五十四条 </w:t>
      </w:r>
      <w:r>
        <w:rPr>
          <w:rFonts w:hint="eastAsia" w:ascii="宋体" w:hAnsi="宋体" w:eastAsia="宋体" w:cs="宋体"/>
          <w:color w:val="000000"/>
          <w:kern w:val="0"/>
          <w:sz w:val="28"/>
          <w:szCs w:val="28"/>
        </w:rPr>
        <w:t>本细则解释权属于郑州商品交易所。</w:t>
      </w:r>
    </w:p>
    <w:p>
      <w:pPr>
        <w:tabs>
          <w:tab w:val="left" w:pos="1620"/>
        </w:tabs>
        <w:autoSpaceDE w:val="0"/>
        <w:autoSpaceDN w:val="0"/>
        <w:spacing w:line="360" w:lineRule="auto"/>
        <w:ind w:firstLine="560" w:firstLineChars="200"/>
        <w:rPr>
          <w:rFonts w:ascii="Times New Roman" w:hAnsi="Times New Roman" w:eastAsia="宋体" w:cs="Times New Roman"/>
          <w:szCs w:val="32"/>
        </w:rPr>
      </w:pPr>
      <w:r>
        <w:rPr>
          <w:rFonts w:hint="eastAsia" w:ascii="黑体" w:hAnsi="黑体" w:eastAsia="黑体" w:cs="宋体"/>
          <w:color w:val="000000"/>
          <w:kern w:val="0"/>
          <w:sz w:val="28"/>
          <w:szCs w:val="28"/>
        </w:rPr>
        <w:t xml:space="preserve">第五十五条 </w:t>
      </w:r>
      <w:r>
        <w:rPr>
          <w:rFonts w:hint="eastAsia" w:ascii="宋体" w:hAnsi="宋体" w:eastAsia="宋体" w:cs="宋体"/>
          <w:color w:val="000000"/>
          <w:kern w:val="0"/>
          <w:sz w:val="28"/>
          <w:szCs w:val="28"/>
        </w:rPr>
        <w:t>本细则自2026年X月X日起施行。</w:t>
      </w:r>
    </w:p>
    <w:p>
      <w:pPr>
        <w:ind w:right="800"/>
        <w:rPr>
          <w:rFonts w:ascii="仿宋" w:hAnsi="仿宋" w:eastAsia="仿宋"/>
          <w:sz w:val="32"/>
          <w:szCs w:val="32"/>
        </w:rPr>
      </w:pPr>
    </w:p>
    <w:p>
      <w:pPr>
        <w:ind w:right="800"/>
        <w:rPr>
          <w:rFonts w:ascii="仿宋" w:hAnsi="仿宋" w:eastAsia="仿宋"/>
          <w:sz w:val="32"/>
          <w:szCs w:val="32"/>
        </w:rPr>
      </w:pPr>
    </w:p>
    <w:p>
      <w:pPr>
        <w:rPr>
          <w:rFonts w:ascii="仿宋" w:hAnsi="仿宋" w:eastAsia="仿宋"/>
          <w:sz w:val="32"/>
        </w:rPr>
      </w:pPr>
      <w:bookmarkStart w:id="0" w:name="_GoBack"/>
      <w:bookmarkEnd w:id="0"/>
    </w:p>
    <w:sectPr>
      <w:headerReference r:id="rId4" w:type="first"/>
      <w:footerReference r:id="rId7" w:type="first"/>
      <w:footerReference r:id="rId5" w:type="default"/>
      <w:headerReference r:id="rId3" w:type="even"/>
      <w:footerReference r:id="rId6" w:type="even"/>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wordWrap w:val="0"/>
      <w:jc w:val="right"/>
      <w:rPr>
        <w:sz w:val="28"/>
      </w:rPr>
    </w:pPr>
    <w:r>
      <w:rPr>
        <w:rFonts w:hint="eastAsia"/>
        <w:sz w:val="28"/>
      </w:rPr>
      <w:t>—</w:t>
    </w:r>
    <w:r>
      <w:rPr>
        <w:rStyle w:val="7"/>
        <w:sz w:val="28"/>
      </w:rPr>
      <w:fldChar w:fldCharType="begin"/>
    </w:r>
    <w:r>
      <w:rPr>
        <w:rStyle w:val="7"/>
        <w:sz w:val="28"/>
      </w:rPr>
      <w:instrText xml:space="preserve"> PAGE </w:instrText>
    </w:r>
    <w:r>
      <w:rPr>
        <w:rStyle w:val="7"/>
        <w:sz w:val="28"/>
      </w:rPr>
      <w:fldChar w:fldCharType="separate"/>
    </w:r>
    <w:r>
      <w:rPr>
        <w:rStyle w:val="7"/>
        <w:sz w:val="28"/>
      </w:rPr>
      <w:t>1</w:t>
    </w:r>
    <w:r>
      <w:rPr>
        <w:rStyle w:val="7"/>
        <w:sz w:val="28"/>
      </w:rPr>
      <w:fldChar w:fldCharType="end"/>
    </w:r>
    <w:r>
      <w:rPr>
        <w:rFonts w:hint="eastAsia"/>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sz w:val="28"/>
      </w:rPr>
    </w:pPr>
    <w:r>
      <w:rPr>
        <w:rFonts w:hint="eastAsia"/>
        <w:sz w:val="28"/>
      </w:rPr>
      <w:t>—</w:t>
    </w:r>
    <w:r>
      <w:rPr>
        <w:rStyle w:val="7"/>
        <w:sz w:val="28"/>
      </w:rPr>
      <w:fldChar w:fldCharType="begin"/>
    </w:r>
    <w:r>
      <w:rPr>
        <w:rStyle w:val="7"/>
        <w:sz w:val="28"/>
      </w:rPr>
      <w:instrText xml:space="preserve"> PAGE </w:instrText>
    </w:r>
    <w:r>
      <w:rPr>
        <w:rStyle w:val="7"/>
        <w:sz w:val="28"/>
      </w:rPr>
      <w:fldChar w:fldCharType="separate"/>
    </w:r>
    <w:r>
      <w:rPr>
        <w:rStyle w:val="7"/>
        <w:sz w:val="28"/>
      </w:rPr>
      <w:t>4</w:t>
    </w:r>
    <w:r>
      <w:rPr>
        <w:rStyle w:val="7"/>
        <w:sz w:val="28"/>
      </w:rPr>
      <w:fldChar w:fldCharType="end"/>
    </w:r>
    <w:r>
      <w:rPr>
        <w:rFonts w:hint="eastAsia"/>
        <w:sz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6A40A3"/>
    <w:multiLevelType w:val="multilevel"/>
    <w:tmpl w:val="156A40A3"/>
    <w:lvl w:ilvl="0" w:tentative="0">
      <w:start w:val="1"/>
      <w:numFmt w:val="japaneseCounting"/>
      <w:lvlText w:val="第%1章"/>
      <w:lvlJc w:val="left"/>
      <w:pPr>
        <w:ind w:left="1080" w:hanging="1080"/>
      </w:pPr>
      <w:rPr>
        <w:rFonts w:hint="default" w:cs="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dit="trackedChange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D0E8A"/>
    <w:rsid w:val="000001F5"/>
    <w:rsid w:val="000003DC"/>
    <w:rsid w:val="000014F8"/>
    <w:rsid w:val="00002A40"/>
    <w:rsid w:val="00002BEB"/>
    <w:rsid w:val="00002E26"/>
    <w:rsid w:val="00004296"/>
    <w:rsid w:val="00004C6F"/>
    <w:rsid w:val="00004EB1"/>
    <w:rsid w:val="00005702"/>
    <w:rsid w:val="000073AA"/>
    <w:rsid w:val="00010417"/>
    <w:rsid w:val="00011183"/>
    <w:rsid w:val="00012607"/>
    <w:rsid w:val="0001260C"/>
    <w:rsid w:val="00014A55"/>
    <w:rsid w:val="000169B4"/>
    <w:rsid w:val="0002049C"/>
    <w:rsid w:val="000242DE"/>
    <w:rsid w:val="0002676C"/>
    <w:rsid w:val="00026C87"/>
    <w:rsid w:val="00027299"/>
    <w:rsid w:val="00030567"/>
    <w:rsid w:val="000329D1"/>
    <w:rsid w:val="0003324C"/>
    <w:rsid w:val="00034F86"/>
    <w:rsid w:val="00036407"/>
    <w:rsid w:val="00044139"/>
    <w:rsid w:val="0005173D"/>
    <w:rsid w:val="0005205B"/>
    <w:rsid w:val="00052C5E"/>
    <w:rsid w:val="0005492E"/>
    <w:rsid w:val="00056C26"/>
    <w:rsid w:val="00060795"/>
    <w:rsid w:val="000608B0"/>
    <w:rsid w:val="000617CC"/>
    <w:rsid w:val="00061A4A"/>
    <w:rsid w:val="0006518A"/>
    <w:rsid w:val="0006663E"/>
    <w:rsid w:val="00067B6F"/>
    <w:rsid w:val="00067BE9"/>
    <w:rsid w:val="00074328"/>
    <w:rsid w:val="00074E4B"/>
    <w:rsid w:val="000754DD"/>
    <w:rsid w:val="00081302"/>
    <w:rsid w:val="000820C9"/>
    <w:rsid w:val="00082102"/>
    <w:rsid w:val="00082D2E"/>
    <w:rsid w:val="0008334C"/>
    <w:rsid w:val="0008416A"/>
    <w:rsid w:val="00085DE8"/>
    <w:rsid w:val="000900EC"/>
    <w:rsid w:val="000901D1"/>
    <w:rsid w:val="00094CFF"/>
    <w:rsid w:val="000967AC"/>
    <w:rsid w:val="00097D09"/>
    <w:rsid w:val="000A140C"/>
    <w:rsid w:val="000A5168"/>
    <w:rsid w:val="000A5A3D"/>
    <w:rsid w:val="000B1E3C"/>
    <w:rsid w:val="000B31FF"/>
    <w:rsid w:val="000B3E74"/>
    <w:rsid w:val="000B5091"/>
    <w:rsid w:val="000B5688"/>
    <w:rsid w:val="000B7916"/>
    <w:rsid w:val="000C172F"/>
    <w:rsid w:val="000C17CA"/>
    <w:rsid w:val="000C3315"/>
    <w:rsid w:val="000C356C"/>
    <w:rsid w:val="000C4C59"/>
    <w:rsid w:val="000C7636"/>
    <w:rsid w:val="000D0540"/>
    <w:rsid w:val="000D606B"/>
    <w:rsid w:val="000D7306"/>
    <w:rsid w:val="000D762C"/>
    <w:rsid w:val="000E0627"/>
    <w:rsid w:val="000E06FA"/>
    <w:rsid w:val="000E5475"/>
    <w:rsid w:val="000E76FB"/>
    <w:rsid w:val="000F23E7"/>
    <w:rsid w:val="000F29FC"/>
    <w:rsid w:val="000F2DBF"/>
    <w:rsid w:val="000F40AA"/>
    <w:rsid w:val="001033A4"/>
    <w:rsid w:val="001062DA"/>
    <w:rsid w:val="001065BE"/>
    <w:rsid w:val="00110A8C"/>
    <w:rsid w:val="00110E85"/>
    <w:rsid w:val="00110E86"/>
    <w:rsid w:val="001213D3"/>
    <w:rsid w:val="0012151D"/>
    <w:rsid w:val="001228B3"/>
    <w:rsid w:val="00124271"/>
    <w:rsid w:val="00125339"/>
    <w:rsid w:val="0012557A"/>
    <w:rsid w:val="001314E3"/>
    <w:rsid w:val="00133D3D"/>
    <w:rsid w:val="00134BCD"/>
    <w:rsid w:val="00134E02"/>
    <w:rsid w:val="001356A6"/>
    <w:rsid w:val="00136D74"/>
    <w:rsid w:val="00137D11"/>
    <w:rsid w:val="00140916"/>
    <w:rsid w:val="001409DF"/>
    <w:rsid w:val="001433B9"/>
    <w:rsid w:val="00143967"/>
    <w:rsid w:val="00143D92"/>
    <w:rsid w:val="001441F0"/>
    <w:rsid w:val="001441F8"/>
    <w:rsid w:val="001447A0"/>
    <w:rsid w:val="0014593B"/>
    <w:rsid w:val="0014676B"/>
    <w:rsid w:val="00147675"/>
    <w:rsid w:val="00151823"/>
    <w:rsid w:val="00153C74"/>
    <w:rsid w:val="00154105"/>
    <w:rsid w:val="00156318"/>
    <w:rsid w:val="00156457"/>
    <w:rsid w:val="00162E48"/>
    <w:rsid w:val="00163388"/>
    <w:rsid w:val="00163ECE"/>
    <w:rsid w:val="00164038"/>
    <w:rsid w:val="00164B62"/>
    <w:rsid w:val="00164F46"/>
    <w:rsid w:val="001706AC"/>
    <w:rsid w:val="00171E7C"/>
    <w:rsid w:val="00171F06"/>
    <w:rsid w:val="0017384B"/>
    <w:rsid w:val="00176367"/>
    <w:rsid w:val="00180471"/>
    <w:rsid w:val="00181992"/>
    <w:rsid w:val="00181DFD"/>
    <w:rsid w:val="0018239C"/>
    <w:rsid w:val="001861A4"/>
    <w:rsid w:val="001862D9"/>
    <w:rsid w:val="00190997"/>
    <w:rsid w:val="00191680"/>
    <w:rsid w:val="00192AD1"/>
    <w:rsid w:val="00194106"/>
    <w:rsid w:val="001A0003"/>
    <w:rsid w:val="001A0DA0"/>
    <w:rsid w:val="001A356C"/>
    <w:rsid w:val="001A52B1"/>
    <w:rsid w:val="001A7B8A"/>
    <w:rsid w:val="001B2208"/>
    <w:rsid w:val="001B3392"/>
    <w:rsid w:val="001B3B4A"/>
    <w:rsid w:val="001B616B"/>
    <w:rsid w:val="001B6997"/>
    <w:rsid w:val="001B6D33"/>
    <w:rsid w:val="001B6EF1"/>
    <w:rsid w:val="001C0D37"/>
    <w:rsid w:val="001C1EBD"/>
    <w:rsid w:val="001C2DA1"/>
    <w:rsid w:val="001C4BA8"/>
    <w:rsid w:val="001C4E7B"/>
    <w:rsid w:val="001C5CE6"/>
    <w:rsid w:val="001C7403"/>
    <w:rsid w:val="001D2C75"/>
    <w:rsid w:val="001D3188"/>
    <w:rsid w:val="001D33B7"/>
    <w:rsid w:val="001D6F9A"/>
    <w:rsid w:val="001E18EE"/>
    <w:rsid w:val="001E18F9"/>
    <w:rsid w:val="001E366C"/>
    <w:rsid w:val="001E4DE0"/>
    <w:rsid w:val="001E4FD8"/>
    <w:rsid w:val="001E66F0"/>
    <w:rsid w:val="001F04EB"/>
    <w:rsid w:val="001F261A"/>
    <w:rsid w:val="001F3D02"/>
    <w:rsid w:val="001F4C5C"/>
    <w:rsid w:val="001F52D8"/>
    <w:rsid w:val="001F5336"/>
    <w:rsid w:val="001F7336"/>
    <w:rsid w:val="001F7DEE"/>
    <w:rsid w:val="002027A7"/>
    <w:rsid w:val="002030EA"/>
    <w:rsid w:val="002064B3"/>
    <w:rsid w:val="0021318F"/>
    <w:rsid w:val="00213A1D"/>
    <w:rsid w:val="0021433B"/>
    <w:rsid w:val="00215DED"/>
    <w:rsid w:val="002203D1"/>
    <w:rsid w:val="002205AB"/>
    <w:rsid w:val="0022195F"/>
    <w:rsid w:val="0022333C"/>
    <w:rsid w:val="00223499"/>
    <w:rsid w:val="0022466A"/>
    <w:rsid w:val="002265F2"/>
    <w:rsid w:val="00227684"/>
    <w:rsid w:val="002308AD"/>
    <w:rsid w:val="00230BBB"/>
    <w:rsid w:val="0023113C"/>
    <w:rsid w:val="002339F9"/>
    <w:rsid w:val="00233A04"/>
    <w:rsid w:val="00233AA1"/>
    <w:rsid w:val="002342EC"/>
    <w:rsid w:val="00236543"/>
    <w:rsid w:val="00236A42"/>
    <w:rsid w:val="002373CA"/>
    <w:rsid w:val="00237510"/>
    <w:rsid w:val="002411B9"/>
    <w:rsid w:val="00241BA8"/>
    <w:rsid w:val="002425E4"/>
    <w:rsid w:val="00242C8C"/>
    <w:rsid w:val="00244C30"/>
    <w:rsid w:val="002465C0"/>
    <w:rsid w:val="00247137"/>
    <w:rsid w:val="00251A65"/>
    <w:rsid w:val="002520CF"/>
    <w:rsid w:val="0025352C"/>
    <w:rsid w:val="00253770"/>
    <w:rsid w:val="002548CD"/>
    <w:rsid w:val="00257D88"/>
    <w:rsid w:val="0026069B"/>
    <w:rsid w:val="002658FB"/>
    <w:rsid w:val="002669A1"/>
    <w:rsid w:val="00267DAA"/>
    <w:rsid w:val="00270700"/>
    <w:rsid w:val="00270AE1"/>
    <w:rsid w:val="002719A7"/>
    <w:rsid w:val="002735CC"/>
    <w:rsid w:val="0027432D"/>
    <w:rsid w:val="0028016B"/>
    <w:rsid w:val="00280F80"/>
    <w:rsid w:val="00281DBB"/>
    <w:rsid w:val="002829F2"/>
    <w:rsid w:val="0028462F"/>
    <w:rsid w:val="00286088"/>
    <w:rsid w:val="00287836"/>
    <w:rsid w:val="00287BED"/>
    <w:rsid w:val="00291BA0"/>
    <w:rsid w:val="00291DD3"/>
    <w:rsid w:val="00291E6A"/>
    <w:rsid w:val="002953EA"/>
    <w:rsid w:val="00295707"/>
    <w:rsid w:val="00297E3F"/>
    <w:rsid w:val="002A08CD"/>
    <w:rsid w:val="002A0A8F"/>
    <w:rsid w:val="002A2D8E"/>
    <w:rsid w:val="002A3208"/>
    <w:rsid w:val="002B18F5"/>
    <w:rsid w:val="002B1977"/>
    <w:rsid w:val="002B21D8"/>
    <w:rsid w:val="002B53B4"/>
    <w:rsid w:val="002B5E5D"/>
    <w:rsid w:val="002B79A7"/>
    <w:rsid w:val="002C067B"/>
    <w:rsid w:val="002C2288"/>
    <w:rsid w:val="002C2AD8"/>
    <w:rsid w:val="002C401D"/>
    <w:rsid w:val="002C49BB"/>
    <w:rsid w:val="002C545C"/>
    <w:rsid w:val="002C54DF"/>
    <w:rsid w:val="002C66E0"/>
    <w:rsid w:val="002D4C09"/>
    <w:rsid w:val="002D5C89"/>
    <w:rsid w:val="002D6773"/>
    <w:rsid w:val="002E1A35"/>
    <w:rsid w:val="002E25FB"/>
    <w:rsid w:val="002E3400"/>
    <w:rsid w:val="002E39C3"/>
    <w:rsid w:val="002E39F5"/>
    <w:rsid w:val="002E481D"/>
    <w:rsid w:val="002E7A81"/>
    <w:rsid w:val="002F1A51"/>
    <w:rsid w:val="002F4C97"/>
    <w:rsid w:val="002F5419"/>
    <w:rsid w:val="0030292D"/>
    <w:rsid w:val="00306EBE"/>
    <w:rsid w:val="0031001B"/>
    <w:rsid w:val="00312BA8"/>
    <w:rsid w:val="003149DA"/>
    <w:rsid w:val="00317E1B"/>
    <w:rsid w:val="00321B8F"/>
    <w:rsid w:val="00321C8E"/>
    <w:rsid w:val="003223F2"/>
    <w:rsid w:val="003226A6"/>
    <w:rsid w:val="003231B1"/>
    <w:rsid w:val="0032481B"/>
    <w:rsid w:val="003301BB"/>
    <w:rsid w:val="0033099F"/>
    <w:rsid w:val="003314C9"/>
    <w:rsid w:val="00333080"/>
    <w:rsid w:val="00336655"/>
    <w:rsid w:val="0033681A"/>
    <w:rsid w:val="00340820"/>
    <w:rsid w:val="00344236"/>
    <w:rsid w:val="00344F8F"/>
    <w:rsid w:val="003461AD"/>
    <w:rsid w:val="00347FB0"/>
    <w:rsid w:val="00350091"/>
    <w:rsid w:val="00352A3F"/>
    <w:rsid w:val="003561DD"/>
    <w:rsid w:val="003602CA"/>
    <w:rsid w:val="0036356D"/>
    <w:rsid w:val="00364976"/>
    <w:rsid w:val="00365F05"/>
    <w:rsid w:val="0037359E"/>
    <w:rsid w:val="0037586C"/>
    <w:rsid w:val="0037605A"/>
    <w:rsid w:val="00377265"/>
    <w:rsid w:val="003801B1"/>
    <w:rsid w:val="00382171"/>
    <w:rsid w:val="00382985"/>
    <w:rsid w:val="003849B5"/>
    <w:rsid w:val="00384FA8"/>
    <w:rsid w:val="00386551"/>
    <w:rsid w:val="00387FA7"/>
    <w:rsid w:val="00390ABB"/>
    <w:rsid w:val="003913E8"/>
    <w:rsid w:val="00392985"/>
    <w:rsid w:val="003930F1"/>
    <w:rsid w:val="0039314B"/>
    <w:rsid w:val="00393181"/>
    <w:rsid w:val="00395343"/>
    <w:rsid w:val="003967D5"/>
    <w:rsid w:val="003A107E"/>
    <w:rsid w:val="003A133D"/>
    <w:rsid w:val="003A7001"/>
    <w:rsid w:val="003A748A"/>
    <w:rsid w:val="003A7807"/>
    <w:rsid w:val="003A7D1E"/>
    <w:rsid w:val="003B01E2"/>
    <w:rsid w:val="003B51C1"/>
    <w:rsid w:val="003B7506"/>
    <w:rsid w:val="003B7561"/>
    <w:rsid w:val="003B75E3"/>
    <w:rsid w:val="003B75EE"/>
    <w:rsid w:val="003C051B"/>
    <w:rsid w:val="003C151A"/>
    <w:rsid w:val="003C1A4A"/>
    <w:rsid w:val="003C2638"/>
    <w:rsid w:val="003C3470"/>
    <w:rsid w:val="003C4245"/>
    <w:rsid w:val="003C5A99"/>
    <w:rsid w:val="003D0613"/>
    <w:rsid w:val="003D0967"/>
    <w:rsid w:val="003D19D2"/>
    <w:rsid w:val="003D556B"/>
    <w:rsid w:val="003D7F73"/>
    <w:rsid w:val="003E0362"/>
    <w:rsid w:val="003E1029"/>
    <w:rsid w:val="003E2FE4"/>
    <w:rsid w:val="003E4471"/>
    <w:rsid w:val="003E6C9F"/>
    <w:rsid w:val="003E73A5"/>
    <w:rsid w:val="003E7595"/>
    <w:rsid w:val="003E787F"/>
    <w:rsid w:val="003F01B2"/>
    <w:rsid w:val="003F0D09"/>
    <w:rsid w:val="003F4183"/>
    <w:rsid w:val="003F6309"/>
    <w:rsid w:val="003F6ED2"/>
    <w:rsid w:val="003F769A"/>
    <w:rsid w:val="003F7EF5"/>
    <w:rsid w:val="0040148C"/>
    <w:rsid w:val="004018D9"/>
    <w:rsid w:val="00403A9B"/>
    <w:rsid w:val="00404591"/>
    <w:rsid w:val="00405FD8"/>
    <w:rsid w:val="00406F84"/>
    <w:rsid w:val="00407062"/>
    <w:rsid w:val="00410188"/>
    <w:rsid w:val="00410991"/>
    <w:rsid w:val="00411DB1"/>
    <w:rsid w:val="004126B3"/>
    <w:rsid w:val="00416877"/>
    <w:rsid w:val="00420EDB"/>
    <w:rsid w:val="00423645"/>
    <w:rsid w:val="00423667"/>
    <w:rsid w:val="00425A35"/>
    <w:rsid w:val="004269A5"/>
    <w:rsid w:val="00426A35"/>
    <w:rsid w:val="0043178A"/>
    <w:rsid w:val="00433114"/>
    <w:rsid w:val="00433274"/>
    <w:rsid w:val="00433B15"/>
    <w:rsid w:val="004374B5"/>
    <w:rsid w:val="004408B1"/>
    <w:rsid w:val="00440D54"/>
    <w:rsid w:val="00440F13"/>
    <w:rsid w:val="004414FB"/>
    <w:rsid w:val="00442279"/>
    <w:rsid w:val="00444D7A"/>
    <w:rsid w:val="00446281"/>
    <w:rsid w:val="00446447"/>
    <w:rsid w:val="00446938"/>
    <w:rsid w:val="004473BE"/>
    <w:rsid w:val="0045364B"/>
    <w:rsid w:val="0046210E"/>
    <w:rsid w:val="00462A8C"/>
    <w:rsid w:val="00466AFC"/>
    <w:rsid w:val="00470443"/>
    <w:rsid w:val="00470D46"/>
    <w:rsid w:val="0047312A"/>
    <w:rsid w:val="00473ED2"/>
    <w:rsid w:val="00474229"/>
    <w:rsid w:val="00480E20"/>
    <w:rsid w:val="004821A8"/>
    <w:rsid w:val="004829A0"/>
    <w:rsid w:val="00484774"/>
    <w:rsid w:val="00485652"/>
    <w:rsid w:val="00486416"/>
    <w:rsid w:val="00490F3B"/>
    <w:rsid w:val="004921FC"/>
    <w:rsid w:val="00492DE1"/>
    <w:rsid w:val="0049421E"/>
    <w:rsid w:val="0049451D"/>
    <w:rsid w:val="00496FBD"/>
    <w:rsid w:val="00497FC8"/>
    <w:rsid w:val="004A089A"/>
    <w:rsid w:val="004A0F82"/>
    <w:rsid w:val="004A5508"/>
    <w:rsid w:val="004A59DC"/>
    <w:rsid w:val="004A627A"/>
    <w:rsid w:val="004B0CDC"/>
    <w:rsid w:val="004B2684"/>
    <w:rsid w:val="004B39FE"/>
    <w:rsid w:val="004B4495"/>
    <w:rsid w:val="004B63B0"/>
    <w:rsid w:val="004C14F0"/>
    <w:rsid w:val="004C1BB7"/>
    <w:rsid w:val="004C23D2"/>
    <w:rsid w:val="004C3FD8"/>
    <w:rsid w:val="004C47BC"/>
    <w:rsid w:val="004C7DC3"/>
    <w:rsid w:val="004D0874"/>
    <w:rsid w:val="004D0C9D"/>
    <w:rsid w:val="004D0D5C"/>
    <w:rsid w:val="004D1EE3"/>
    <w:rsid w:val="004D2CD1"/>
    <w:rsid w:val="004D57D3"/>
    <w:rsid w:val="004D7963"/>
    <w:rsid w:val="004E1889"/>
    <w:rsid w:val="004E390F"/>
    <w:rsid w:val="004E5897"/>
    <w:rsid w:val="004E683C"/>
    <w:rsid w:val="004E7E37"/>
    <w:rsid w:val="004E7F35"/>
    <w:rsid w:val="004F0AD2"/>
    <w:rsid w:val="004F3A0C"/>
    <w:rsid w:val="004F49CC"/>
    <w:rsid w:val="004F5AB1"/>
    <w:rsid w:val="005001D1"/>
    <w:rsid w:val="00500FB7"/>
    <w:rsid w:val="0050160E"/>
    <w:rsid w:val="00501C80"/>
    <w:rsid w:val="00503228"/>
    <w:rsid w:val="005046CA"/>
    <w:rsid w:val="005048F5"/>
    <w:rsid w:val="00505011"/>
    <w:rsid w:val="00505EDB"/>
    <w:rsid w:val="00507749"/>
    <w:rsid w:val="00507CE6"/>
    <w:rsid w:val="00514116"/>
    <w:rsid w:val="005153FE"/>
    <w:rsid w:val="0052702A"/>
    <w:rsid w:val="00527C0C"/>
    <w:rsid w:val="00527D39"/>
    <w:rsid w:val="00535129"/>
    <w:rsid w:val="005379F1"/>
    <w:rsid w:val="00540AA8"/>
    <w:rsid w:val="00541262"/>
    <w:rsid w:val="00541F96"/>
    <w:rsid w:val="00542C13"/>
    <w:rsid w:val="00545CBA"/>
    <w:rsid w:val="00546229"/>
    <w:rsid w:val="00546406"/>
    <w:rsid w:val="00551A87"/>
    <w:rsid w:val="00551C0C"/>
    <w:rsid w:val="00554132"/>
    <w:rsid w:val="0055488E"/>
    <w:rsid w:val="00554FF2"/>
    <w:rsid w:val="0055541A"/>
    <w:rsid w:val="00555939"/>
    <w:rsid w:val="00556447"/>
    <w:rsid w:val="005621AA"/>
    <w:rsid w:val="005628BD"/>
    <w:rsid w:val="00564AE3"/>
    <w:rsid w:val="00564C50"/>
    <w:rsid w:val="005668E5"/>
    <w:rsid w:val="00566CC1"/>
    <w:rsid w:val="00567284"/>
    <w:rsid w:val="00571B6C"/>
    <w:rsid w:val="005729DA"/>
    <w:rsid w:val="005738F5"/>
    <w:rsid w:val="00574D60"/>
    <w:rsid w:val="00575806"/>
    <w:rsid w:val="005819FD"/>
    <w:rsid w:val="00581D48"/>
    <w:rsid w:val="00582539"/>
    <w:rsid w:val="00583F73"/>
    <w:rsid w:val="005846F6"/>
    <w:rsid w:val="0058594A"/>
    <w:rsid w:val="00590D0A"/>
    <w:rsid w:val="0059177F"/>
    <w:rsid w:val="00592AEE"/>
    <w:rsid w:val="00592EA1"/>
    <w:rsid w:val="00593014"/>
    <w:rsid w:val="0059455E"/>
    <w:rsid w:val="0059464C"/>
    <w:rsid w:val="00595D4E"/>
    <w:rsid w:val="005A1D09"/>
    <w:rsid w:val="005A3192"/>
    <w:rsid w:val="005A50CF"/>
    <w:rsid w:val="005A6A99"/>
    <w:rsid w:val="005B0920"/>
    <w:rsid w:val="005B2CFA"/>
    <w:rsid w:val="005B3EB0"/>
    <w:rsid w:val="005B4FEC"/>
    <w:rsid w:val="005B5660"/>
    <w:rsid w:val="005B59CF"/>
    <w:rsid w:val="005B6DD9"/>
    <w:rsid w:val="005C02E0"/>
    <w:rsid w:val="005C04FC"/>
    <w:rsid w:val="005C0873"/>
    <w:rsid w:val="005C1FB9"/>
    <w:rsid w:val="005C2E57"/>
    <w:rsid w:val="005C5072"/>
    <w:rsid w:val="005D1EB0"/>
    <w:rsid w:val="005D3662"/>
    <w:rsid w:val="005D514A"/>
    <w:rsid w:val="005D5928"/>
    <w:rsid w:val="005D592A"/>
    <w:rsid w:val="005D6191"/>
    <w:rsid w:val="005D6E7E"/>
    <w:rsid w:val="005D7939"/>
    <w:rsid w:val="005E0426"/>
    <w:rsid w:val="005E0D26"/>
    <w:rsid w:val="005E1791"/>
    <w:rsid w:val="005E3374"/>
    <w:rsid w:val="005E3E96"/>
    <w:rsid w:val="005E555F"/>
    <w:rsid w:val="005E5956"/>
    <w:rsid w:val="005E5BC9"/>
    <w:rsid w:val="005F12E8"/>
    <w:rsid w:val="005F21B2"/>
    <w:rsid w:val="005F4FB5"/>
    <w:rsid w:val="005F6138"/>
    <w:rsid w:val="005F713B"/>
    <w:rsid w:val="005F7E81"/>
    <w:rsid w:val="00601454"/>
    <w:rsid w:val="00602ADC"/>
    <w:rsid w:val="006037EF"/>
    <w:rsid w:val="00603D6E"/>
    <w:rsid w:val="00606801"/>
    <w:rsid w:val="00607C2B"/>
    <w:rsid w:val="00607DBD"/>
    <w:rsid w:val="00610591"/>
    <w:rsid w:val="00613D08"/>
    <w:rsid w:val="0061555B"/>
    <w:rsid w:val="00617CB2"/>
    <w:rsid w:val="00620DF9"/>
    <w:rsid w:val="00621317"/>
    <w:rsid w:val="00623308"/>
    <w:rsid w:val="006248CD"/>
    <w:rsid w:val="00624A63"/>
    <w:rsid w:val="00625B3C"/>
    <w:rsid w:val="0062699B"/>
    <w:rsid w:val="00630498"/>
    <w:rsid w:val="006314E1"/>
    <w:rsid w:val="006328C3"/>
    <w:rsid w:val="00632F5E"/>
    <w:rsid w:val="00633E7F"/>
    <w:rsid w:val="00635785"/>
    <w:rsid w:val="0063717C"/>
    <w:rsid w:val="00640929"/>
    <w:rsid w:val="00641386"/>
    <w:rsid w:val="00641C5C"/>
    <w:rsid w:val="00644D4D"/>
    <w:rsid w:val="00645213"/>
    <w:rsid w:val="006474F9"/>
    <w:rsid w:val="0065129A"/>
    <w:rsid w:val="00651AEC"/>
    <w:rsid w:val="00651D9C"/>
    <w:rsid w:val="00652D9B"/>
    <w:rsid w:val="006537A3"/>
    <w:rsid w:val="00653B1E"/>
    <w:rsid w:val="00653EDC"/>
    <w:rsid w:val="00654E70"/>
    <w:rsid w:val="00655591"/>
    <w:rsid w:val="006562F6"/>
    <w:rsid w:val="0066079D"/>
    <w:rsid w:val="00660A2F"/>
    <w:rsid w:val="00660B6E"/>
    <w:rsid w:val="006627B1"/>
    <w:rsid w:val="00663022"/>
    <w:rsid w:val="0066351A"/>
    <w:rsid w:val="00665C44"/>
    <w:rsid w:val="00665DDA"/>
    <w:rsid w:val="00670F02"/>
    <w:rsid w:val="0067102D"/>
    <w:rsid w:val="0067266B"/>
    <w:rsid w:val="00673F4C"/>
    <w:rsid w:val="006742EA"/>
    <w:rsid w:val="00674913"/>
    <w:rsid w:val="00674E39"/>
    <w:rsid w:val="00677267"/>
    <w:rsid w:val="0068138E"/>
    <w:rsid w:val="00684780"/>
    <w:rsid w:val="00686E1A"/>
    <w:rsid w:val="0069003D"/>
    <w:rsid w:val="0069003F"/>
    <w:rsid w:val="00692E94"/>
    <w:rsid w:val="006969B9"/>
    <w:rsid w:val="006A0F09"/>
    <w:rsid w:val="006A1AEA"/>
    <w:rsid w:val="006A2176"/>
    <w:rsid w:val="006A2184"/>
    <w:rsid w:val="006A3A0A"/>
    <w:rsid w:val="006A5DA6"/>
    <w:rsid w:val="006A6DE3"/>
    <w:rsid w:val="006A7851"/>
    <w:rsid w:val="006A7EA8"/>
    <w:rsid w:val="006B0ACE"/>
    <w:rsid w:val="006B2BDD"/>
    <w:rsid w:val="006B4965"/>
    <w:rsid w:val="006B4980"/>
    <w:rsid w:val="006C02A5"/>
    <w:rsid w:val="006C0447"/>
    <w:rsid w:val="006C129D"/>
    <w:rsid w:val="006C203E"/>
    <w:rsid w:val="006C38A4"/>
    <w:rsid w:val="006C49FD"/>
    <w:rsid w:val="006C4B97"/>
    <w:rsid w:val="006C50CD"/>
    <w:rsid w:val="006C6454"/>
    <w:rsid w:val="006C7AC8"/>
    <w:rsid w:val="006D149C"/>
    <w:rsid w:val="006D3857"/>
    <w:rsid w:val="006D4925"/>
    <w:rsid w:val="006D569A"/>
    <w:rsid w:val="006E31D8"/>
    <w:rsid w:val="006E6A2A"/>
    <w:rsid w:val="006F0484"/>
    <w:rsid w:val="006F080C"/>
    <w:rsid w:val="006F1359"/>
    <w:rsid w:val="006F158B"/>
    <w:rsid w:val="006F1E58"/>
    <w:rsid w:val="006F23CB"/>
    <w:rsid w:val="006F48E3"/>
    <w:rsid w:val="006F50AC"/>
    <w:rsid w:val="006F74A2"/>
    <w:rsid w:val="00700211"/>
    <w:rsid w:val="007011FA"/>
    <w:rsid w:val="00703268"/>
    <w:rsid w:val="0070466B"/>
    <w:rsid w:val="00704C41"/>
    <w:rsid w:val="00705B6C"/>
    <w:rsid w:val="0071126F"/>
    <w:rsid w:val="00716716"/>
    <w:rsid w:val="007174FB"/>
    <w:rsid w:val="0072193C"/>
    <w:rsid w:val="00722195"/>
    <w:rsid w:val="00722DF3"/>
    <w:rsid w:val="0072337C"/>
    <w:rsid w:val="007248DD"/>
    <w:rsid w:val="00725DC9"/>
    <w:rsid w:val="007353B7"/>
    <w:rsid w:val="007401A6"/>
    <w:rsid w:val="007411E7"/>
    <w:rsid w:val="007421F7"/>
    <w:rsid w:val="00743992"/>
    <w:rsid w:val="00746E50"/>
    <w:rsid w:val="00753B62"/>
    <w:rsid w:val="00756541"/>
    <w:rsid w:val="007577C1"/>
    <w:rsid w:val="00762951"/>
    <w:rsid w:val="00762D59"/>
    <w:rsid w:val="007645DA"/>
    <w:rsid w:val="00764E4E"/>
    <w:rsid w:val="00767AB0"/>
    <w:rsid w:val="00767CFD"/>
    <w:rsid w:val="00767F64"/>
    <w:rsid w:val="00770547"/>
    <w:rsid w:val="00770D97"/>
    <w:rsid w:val="00774CBB"/>
    <w:rsid w:val="00776102"/>
    <w:rsid w:val="00776C9C"/>
    <w:rsid w:val="00777225"/>
    <w:rsid w:val="00782F7F"/>
    <w:rsid w:val="00782FB3"/>
    <w:rsid w:val="00785516"/>
    <w:rsid w:val="00786FDC"/>
    <w:rsid w:val="007870B5"/>
    <w:rsid w:val="00787A85"/>
    <w:rsid w:val="00791FF4"/>
    <w:rsid w:val="00793217"/>
    <w:rsid w:val="007934D7"/>
    <w:rsid w:val="007936C6"/>
    <w:rsid w:val="007945EC"/>
    <w:rsid w:val="0079609E"/>
    <w:rsid w:val="00797651"/>
    <w:rsid w:val="007A0D07"/>
    <w:rsid w:val="007A1C3A"/>
    <w:rsid w:val="007A7856"/>
    <w:rsid w:val="007B045B"/>
    <w:rsid w:val="007B0F2F"/>
    <w:rsid w:val="007B225A"/>
    <w:rsid w:val="007B3428"/>
    <w:rsid w:val="007B3443"/>
    <w:rsid w:val="007B74D2"/>
    <w:rsid w:val="007C0A55"/>
    <w:rsid w:val="007C1F4B"/>
    <w:rsid w:val="007C406F"/>
    <w:rsid w:val="007C41F5"/>
    <w:rsid w:val="007C44FF"/>
    <w:rsid w:val="007D117D"/>
    <w:rsid w:val="007D50B2"/>
    <w:rsid w:val="007E1202"/>
    <w:rsid w:val="007E1648"/>
    <w:rsid w:val="007E1CF4"/>
    <w:rsid w:val="007E4F5C"/>
    <w:rsid w:val="007F0B9C"/>
    <w:rsid w:val="007F12DF"/>
    <w:rsid w:val="007F25BD"/>
    <w:rsid w:val="007F47CF"/>
    <w:rsid w:val="007F5054"/>
    <w:rsid w:val="00801CD4"/>
    <w:rsid w:val="008041DD"/>
    <w:rsid w:val="0080452C"/>
    <w:rsid w:val="00805924"/>
    <w:rsid w:val="008079BF"/>
    <w:rsid w:val="00807B60"/>
    <w:rsid w:val="00807BD8"/>
    <w:rsid w:val="00807C11"/>
    <w:rsid w:val="008105F4"/>
    <w:rsid w:val="008119D8"/>
    <w:rsid w:val="00811E93"/>
    <w:rsid w:val="008125CE"/>
    <w:rsid w:val="008146E6"/>
    <w:rsid w:val="00814C5F"/>
    <w:rsid w:val="008332E6"/>
    <w:rsid w:val="0083409E"/>
    <w:rsid w:val="008347C5"/>
    <w:rsid w:val="008353DC"/>
    <w:rsid w:val="00835DF3"/>
    <w:rsid w:val="008402AB"/>
    <w:rsid w:val="00840C50"/>
    <w:rsid w:val="00842221"/>
    <w:rsid w:val="00843C4D"/>
    <w:rsid w:val="008455D2"/>
    <w:rsid w:val="0085280D"/>
    <w:rsid w:val="00854C4A"/>
    <w:rsid w:val="00855939"/>
    <w:rsid w:val="00855A48"/>
    <w:rsid w:val="00857098"/>
    <w:rsid w:val="00857D9B"/>
    <w:rsid w:val="00860824"/>
    <w:rsid w:val="0086088F"/>
    <w:rsid w:val="00860F09"/>
    <w:rsid w:val="00862247"/>
    <w:rsid w:val="0086374F"/>
    <w:rsid w:val="0086458C"/>
    <w:rsid w:val="00865982"/>
    <w:rsid w:val="008677F8"/>
    <w:rsid w:val="00867CBC"/>
    <w:rsid w:val="0087311C"/>
    <w:rsid w:val="0087312B"/>
    <w:rsid w:val="00877623"/>
    <w:rsid w:val="00880FE3"/>
    <w:rsid w:val="00885AF3"/>
    <w:rsid w:val="008861DB"/>
    <w:rsid w:val="00886B5B"/>
    <w:rsid w:val="00887BC0"/>
    <w:rsid w:val="00890E4E"/>
    <w:rsid w:val="00892CEA"/>
    <w:rsid w:val="00893FA5"/>
    <w:rsid w:val="00895ED3"/>
    <w:rsid w:val="00896A7D"/>
    <w:rsid w:val="00896D80"/>
    <w:rsid w:val="00896F45"/>
    <w:rsid w:val="008975C2"/>
    <w:rsid w:val="00897F0A"/>
    <w:rsid w:val="008A29C6"/>
    <w:rsid w:val="008A3724"/>
    <w:rsid w:val="008A37A0"/>
    <w:rsid w:val="008A3D86"/>
    <w:rsid w:val="008A4369"/>
    <w:rsid w:val="008A6A41"/>
    <w:rsid w:val="008A7137"/>
    <w:rsid w:val="008A73A6"/>
    <w:rsid w:val="008A752D"/>
    <w:rsid w:val="008B0BEF"/>
    <w:rsid w:val="008B108E"/>
    <w:rsid w:val="008B4109"/>
    <w:rsid w:val="008B44D1"/>
    <w:rsid w:val="008B58D3"/>
    <w:rsid w:val="008B666D"/>
    <w:rsid w:val="008B726D"/>
    <w:rsid w:val="008C4D65"/>
    <w:rsid w:val="008C5808"/>
    <w:rsid w:val="008C6277"/>
    <w:rsid w:val="008C686F"/>
    <w:rsid w:val="008C69E6"/>
    <w:rsid w:val="008C791C"/>
    <w:rsid w:val="008C79E3"/>
    <w:rsid w:val="008C7A2C"/>
    <w:rsid w:val="008D1F8C"/>
    <w:rsid w:val="008D43F0"/>
    <w:rsid w:val="008D6A30"/>
    <w:rsid w:val="008D70A1"/>
    <w:rsid w:val="008D7E6C"/>
    <w:rsid w:val="008D7F8E"/>
    <w:rsid w:val="008E1CF1"/>
    <w:rsid w:val="008E4600"/>
    <w:rsid w:val="008E4864"/>
    <w:rsid w:val="008E5280"/>
    <w:rsid w:val="008F194F"/>
    <w:rsid w:val="008F23BA"/>
    <w:rsid w:val="008F707F"/>
    <w:rsid w:val="008F7AF0"/>
    <w:rsid w:val="0090427D"/>
    <w:rsid w:val="009049B0"/>
    <w:rsid w:val="00907630"/>
    <w:rsid w:val="00907746"/>
    <w:rsid w:val="00912290"/>
    <w:rsid w:val="009179C7"/>
    <w:rsid w:val="009213DC"/>
    <w:rsid w:val="00922713"/>
    <w:rsid w:val="0092514C"/>
    <w:rsid w:val="00925743"/>
    <w:rsid w:val="00926249"/>
    <w:rsid w:val="00927B12"/>
    <w:rsid w:val="00927DD5"/>
    <w:rsid w:val="00933314"/>
    <w:rsid w:val="00936376"/>
    <w:rsid w:val="00936625"/>
    <w:rsid w:val="00936727"/>
    <w:rsid w:val="0094190F"/>
    <w:rsid w:val="00941D9D"/>
    <w:rsid w:val="00941E8C"/>
    <w:rsid w:val="00942036"/>
    <w:rsid w:val="009435D7"/>
    <w:rsid w:val="00945CAD"/>
    <w:rsid w:val="00946101"/>
    <w:rsid w:val="009471A6"/>
    <w:rsid w:val="00950339"/>
    <w:rsid w:val="0095072D"/>
    <w:rsid w:val="009516B9"/>
    <w:rsid w:val="00951E05"/>
    <w:rsid w:val="00953FE9"/>
    <w:rsid w:val="00967314"/>
    <w:rsid w:val="00967401"/>
    <w:rsid w:val="00967C83"/>
    <w:rsid w:val="009735A6"/>
    <w:rsid w:val="00975B60"/>
    <w:rsid w:val="009773DF"/>
    <w:rsid w:val="00977777"/>
    <w:rsid w:val="00977B4E"/>
    <w:rsid w:val="00981747"/>
    <w:rsid w:val="00983412"/>
    <w:rsid w:val="00985E9D"/>
    <w:rsid w:val="0099036A"/>
    <w:rsid w:val="00990981"/>
    <w:rsid w:val="00991648"/>
    <w:rsid w:val="00992245"/>
    <w:rsid w:val="009A2431"/>
    <w:rsid w:val="009A3D9F"/>
    <w:rsid w:val="009A6D15"/>
    <w:rsid w:val="009A707D"/>
    <w:rsid w:val="009A79B7"/>
    <w:rsid w:val="009B0EFA"/>
    <w:rsid w:val="009B1069"/>
    <w:rsid w:val="009B1625"/>
    <w:rsid w:val="009B35A4"/>
    <w:rsid w:val="009B414D"/>
    <w:rsid w:val="009B6E50"/>
    <w:rsid w:val="009C19F3"/>
    <w:rsid w:val="009C1C67"/>
    <w:rsid w:val="009C5B82"/>
    <w:rsid w:val="009C787A"/>
    <w:rsid w:val="009D1570"/>
    <w:rsid w:val="009D3D00"/>
    <w:rsid w:val="009D433B"/>
    <w:rsid w:val="009E0A2C"/>
    <w:rsid w:val="009E1A47"/>
    <w:rsid w:val="009E4DFE"/>
    <w:rsid w:val="009F1B63"/>
    <w:rsid w:val="009F2AD7"/>
    <w:rsid w:val="009F42EE"/>
    <w:rsid w:val="009F6A61"/>
    <w:rsid w:val="009F7DA6"/>
    <w:rsid w:val="00A01A63"/>
    <w:rsid w:val="00A02121"/>
    <w:rsid w:val="00A03706"/>
    <w:rsid w:val="00A03D5B"/>
    <w:rsid w:val="00A05EE7"/>
    <w:rsid w:val="00A10A72"/>
    <w:rsid w:val="00A1115B"/>
    <w:rsid w:val="00A1204A"/>
    <w:rsid w:val="00A152FF"/>
    <w:rsid w:val="00A16314"/>
    <w:rsid w:val="00A216CB"/>
    <w:rsid w:val="00A220C3"/>
    <w:rsid w:val="00A22A2E"/>
    <w:rsid w:val="00A22BFF"/>
    <w:rsid w:val="00A232D8"/>
    <w:rsid w:val="00A2404E"/>
    <w:rsid w:val="00A26387"/>
    <w:rsid w:val="00A26689"/>
    <w:rsid w:val="00A31713"/>
    <w:rsid w:val="00A3235F"/>
    <w:rsid w:val="00A3251B"/>
    <w:rsid w:val="00A33E65"/>
    <w:rsid w:val="00A34BCB"/>
    <w:rsid w:val="00A3589C"/>
    <w:rsid w:val="00A3634C"/>
    <w:rsid w:val="00A36DA0"/>
    <w:rsid w:val="00A40684"/>
    <w:rsid w:val="00A411AF"/>
    <w:rsid w:val="00A41A0E"/>
    <w:rsid w:val="00A44164"/>
    <w:rsid w:val="00A44806"/>
    <w:rsid w:val="00A47B8F"/>
    <w:rsid w:val="00A50223"/>
    <w:rsid w:val="00A50A42"/>
    <w:rsid w:val="00A524D8"/>
    <w:rsid w:val="00A52DC2"/>
    <w:rsid w:val="00A543BD"/>
    <w:rsid w:val="00A54BC9"/>
    <w:rsid w:val="00A5671D"/>
    <w:rsid w:val="00A56F8A"/>
    <w:rsid w:val="00A57C25"/>
    <w:rsid w:val="00A66558"/>
    <w:rsid w:val="00A66F48"/>
    <w:rsid w:val="00A71A45"/>
    <w:rsid w:val="00A7556B"/>
    <w:rsid w:val="00A770CF"/>
    <w:rsid w:val="00A8210C"/>
    <w:rsid w:val="00A822DA"/>
    <w:rsid w:val="00A8355C"/>
    <w:rsid w:val="00A84C24"/>
    <w:rsid w:val="00A85B0F"/>
    <w:rsid w:val="00A87534"/>
    <w:rsid w:val="00A87A28"/>
    <w:rsid w:val="00A920DF"/>
    <w:rsid w:val="00A931F6"/>
    <w:rsid w:val="00A94938"/>
    <w:rsid w:val="00A955A8"/>
    <w:rsid w:val="00A956C6"/>
    <w:rsid w:val="00A97BCB"/>
    <w:rsid w:val="00AA1721"/>
    <w:rsid w:val="00AA1DCD"/>
    <w:rsid w:val="00AA373A"/>
    <w:rsid w:val="00AA5413"/>
    <w:rsid w:val="00AA580A"/>
    <w:rsid w:val="00AA732E"/>
    <w:rsid w:val="00AB2140"/>
    <w:rsid w:val="00AB2BBF"/>
    <w:rsid w:val="00AB5BDE"/>
    <w:rsid w:val="00AB645B"/>
    <w:rsid w:val="00AC00D7"/>
    <w:rsid w:val="00AC00DD"/>
    <w:rsid w:val="00AC0732"/>
    <w:rsid w:val="00AC08AE"/>
    <w:rsid w:val="00AC0F0D"/>
    <w:rsid w:val="00AC132D"/>
    <w:rsid w:val="00AC3B0A"/>
    <w:rsid w:val="00AC4733"/>
    <w:rsid w:val="00AC5236"/>
    <w:rsid w:val="00AC548F"/>
    <w:rsid w:val="00AC54B8"/>
    <w:rsid w:val="00AD0753"/>
    <w:rsid w:val="00AD0E8A"/>
    <w:rsid w:val="00AD43D3"/>
    <w:rsid w:val="00AD5279"/>
    <w:rsid w:val="00AD5DCE"/>
    <w:rsid w:val="00AD605C"/>
    <w:rsid w:val="00AD6FB9"/>
    <w:rsid w:val="00AD7588"/>
    <w:rsid w:val="00AE08E3"/>
    <w:rsid w:val="00AE128D"/>
    <w:rsid w:val="00AE1488"/>
    <w:rsid w:val="00AE1950"/>
    <w:rsid w:val="00AE1B03"/>
    <w:rsid w:val="00AE25F4"/>
    <w:rsid w:val="00AE405E"/>
    <w:rsid w:val="00AF1CFB"/>
    <w:rsid w:val="00AF1FEB"/>
    <w:rsid w:val="00AF6012"/>
    <w:rsid w:val="00AF7B07"/>
    <w:rsid w:val="00B01C55"/>
    <w:rsid w:val="00B02B5E"/>
    <w:rsid w:val="00B0344D"/>
    <w:rsid w:val="00B0592E"/>
    <w:rsid w:val="00B07113"/>
    <w:rsid w:val="00B075B3"/>
    <w:rsid w:val="00B10D5F"/>
    <w:rsid w:val="00B125C2"/>
    <w:rsid w:val="00B12B1A"/>
    <w:rsid w:val="00B1688C"/>
    <w:rsid w:val="00B20BDE"/>
    <w:rsid w:val="00B2177E"/>
    <w:rsid w:val="00B2248F"/>
    <w:rsid w:val="00B24AAA"/>
    <w:rsid w:val="00B262BF"/>
    <w:rsid w:val="00B3031F"/>
    <w:rsid w:val="00B30673"/>
    <w:rsid w:val="00B30C4E"/>
    <w:rsid w:val="00B31238"/>
    <w:rsid w:val="00B31809"/>
    <w:rsid w:val="00B326CD"/>
    <w:rsid w:val="00B32834"/>
    <w:rsid w:val="00B35C50"/>
    <w:rsid w:val="00B41B36"/>
    <w:rsid w:val="00B420D2"/>
    <w:rsid w:val="00B42745"/>
    <w:rsid w:val="00B42EDD"/>
    <w:rsid w:val="00B43346"/>
    <w:rsid w:val="00B45D4B"/>
    <w:rsid w:val="00B51218"/>
    <w:rsid w:val="00B52268"/>
    <w:rsid w:val="00B53A27"/>
    <w:rsid w:val="00B557E9"/>
    <w:rsid w:val="00B60C4C"/>
    <w:rsid w:val="00B60CFD"/>
    <w:rsid w:val="00B625B9"/>
    <w:rsid w:val="00B62BF8"/>
    <w:rsid w:val="00B63310"/>
    <w:rsid w:val="00B63BFD"/>
    <w:rsid w:val="00B63DF9"/>
    <w:rsid w:val="00B6597B"/>
    <w:rsid w:val="00B6620F"/>
    <w:rsid w:val="00B66D88"/>
    <w:rsid w:val="00B67F6B"/>
    <w:rsid w:val="00B71633"/>
    <w:rsid w:val="00B7236C"/>
    <w:rsid w:val="00B73B63"/>
    <w:rsid w:val="00B73E52"/>
    <w:rsid w:val="00B81214"/>
    <w:rsid w:val="00B826C1"/>
    <w:rsid w:val="00B8273B"/>
    <w:rsid w:val="00B837C8"/>
    <w:rsid w:val="00B84910"/>
    <w:rsid w:val="00B85465"/>
    <w:rsid w:val="00B85F9F"/>
    <w:rsid w:val="00B90F81"/>
    <w:rsid w:val="00B91B20"/>
    <w:rsid w:val="00B92FD6"/>
    <w:rsid w:val="00B9322D"/>
    <w:rsid w:val="00B95329"/>
    <w:rsid w:val="00B9569C"/>
    <w:rsid w:val="00B96591"/>
    <w:rsid w:val="00B969DE"/>
    <w:rsid w:val="00B97D6F"/>
    <w:rsid w:val="00BA0BB5"/>
    <w:rsid w:val="00BA17B5"/>
    <w:rsid w:val="00BA27DC"/>
    <w:rsid w:val="00BA2DF8"/>
    <w:rsid w:val="00BA30DE"/>
    <w:rsid w:val="00BA3AC8"/>
    <w:rsid w:val="00BA3E0A"/>
    <w:rsid w:val="00BA4043"/>
    <w:rsid w:val="00BA5D6D"/>
    <w:rsid w:val="00BA6545"/>
    <w:rsid w:val="00BB0C65"/>
    <w:rsid w:val="00BB5446"/>
    <w:rsid w:val="00BB5B0C"/>
    <w:rsid w:val="00BB6BA7"/>
    <w:rsid w:val="00BC3A1E"/>
    <w:rsid w:val="00BC4949"/>
    <w:rsid w:val="00BC5690"/>
    <w:rsid w:val="00BC68FA"/>
    <w:rsid w:val="00BC77C9"/>
    <w:rsid w:val="00BC77D9"/>
    <w:rsid w:val="00BC7BB8"/>
    <w:rsid w:val="00BD138D"/>
    <w:rsid w:val="00BD273D"/>
    <w:rsid w:val="00BD28CC"/>
    <w:rsid w:val="00BD3161"/>
    <w:rsid w:val="00BD6F69"/>
    <w:rsid w:val="00BE1424"/>
    <w:rsid w:val="00BE266D"/>
    <w:rsid w:val="00BE6073"/>
    <w:rsid w:val="00BE657A"/>
    <w:rsid w:val="00BF36E1"/>
    <w:rsid w:val="00BF57C4"/>
    <w:rsid w:val="00BF5CAF"/>
    <w:rsid w:val="00BF656E"/>
    <w:rsid w:val="00C03FB7"/>
    <w:rsid w:val="00C04796"/>
    <w:rsid w:val="00C057E6"/>
    <w:rsid w:val="00C057F1"/>
    <w:rsid w:val="00C16987"/>
    <w:rsid w:val="00C16CAA"/>
    <w:rsid w:val="00C16EDA"/>
    <w:rsid w:val="00C22034"/>
    <w:rsid w:val="00C26D02"/>
    <w:rsid w:val="00C2777A"/>
    <w:rsid w:val="00C319D0"/>
    <w:rsid w:val="00C31F46"/>
    <w:rsid w:val="00C334F9"/>
    <w:rsid w:val="00C34053"/>
    <w:rsid w:val="00C3430E"/>
    <w:rsid w:val="00C34358"/>
    <w:rsid w:val="00C34E4D"/>
    <w:rsid w:val="00C354CE"/>
    <w:rsid w:val="00C40113"/>
    <w:rsid w:val="00C4072E"/>
    <w:rsid w:val="00C44513"/>
    <w:rsid w:val="00C44699"/>
    <w:rsid w:val="00C46773"/>
    <w:rsid w:val="00C467D2"/>
    <w:rsid w:val="00C5075D"/>
    <w:rsid w:val="00C51E91"/>
    <w:rsid w:val="00C521E6"/>
    <w:rsid w:val="00C56E47"/>
    <w:rsid w:val="00C57F87"/>
    <w:rsid w:val="00C6089B"/>
    <w:rsid w:val="00C61940"/>
    <w:rsid w:val="00C6457F"/>
    <w:rsid w:val="00C65F24"/>
    <w:rsid w:val="00C671DF"/>
    <w:rsid w:val="00C6751D"/>
    <w:rsid w:val="00C7285A"/>
    <w:rsid w:val="00C73465"/>
    <w:rsid w:val="00C759AB"/>
    <w:rsid w:val="00C7624B"/>
    <w:rsid w:val="00C76DF2"/>
    <w:rsid w:val="00C7788C"/>
    <w:rsid w:val="00C816F5"/>
    <w:rsid w:val="00C8258D"/>
    <w:rsid w:val="00C8457F"/>
    <w:rsid w:val="00C865CE"/>
    <w:rsid w:val="00C87D41"/>
    <w:rsid w:val="00C87E64"/>
    <w:rsid w:val="00C91B1B"/>
    <w:rsid w:val="00C9256C"/>
    <w:rsid w:val="00C926BF"/>
    <w:rsid w:val="00C93EB9"/>
    <w:rsid w:val="00C94270"/>
    <w:rsid w:val="00C94BE9"/>
    <w:rsid w:val="00C954D7"/>
    <w:rsid w:val="00C971CB"/>
    <w:rsid w:val="00CA101C"/>
    <w:rsid w:val="00CA5E1E"/>
    <w:rsid w:val="00CA61B9"/>
    <w:rsid w:val="00CA6973"/>
    <w:rsid w:val="00CB66D6"/>
    <w:rsid w:val="00CB6838"/>
    <w:rsid w:val="00CB6DB2"/>
    <w:rsid w:val="00CC0D3F"/>
    <w:rsid w:val="00CC12B2"/>
    <w:rsid w:val="00CC3C71"/>
    <w:rsid w:val="00CC50C2"/>
    <w:rsid w:val="00CC7A55"/>
    <w:rsid w:val="00CC7D3F"/>
    <w:rsid w:val="00CD1B9E"/>
    <w:rsid w:val="00CD2FD2"/>
    <w:rsid w:val="00CD3E50"/>
    <w:rsid w:val="00CD5582"/>
    <w:rsid w:val="00CE111A"/>
    <w:rsid w:val="00CE4367"/>
    <w:rsid w:val="00CE49CB"/>
    <w:rsid w:val="00CE5871"/>
    <w:rsid w:val="00CE6592"/>
    <w:rsid w:val="00CF1BAD"/>
    <w:rsid w:val="00CF459F"/>
    <w:rsid w:val="00D017C8"/>
    <w:rsid w:val="00D02A71"/>
    <w:rsid w:val="00D0503D"/>
    <w:rsid w:val="00D05D75"/>
    <w:rsid w:val="00D0728C"/>
    <w:rsid w:val="00D07899"/>
    <w:rsid w:val="00D13784"/>
    <w:rsid w:val="00D16388"/>
    <w:rsid w:val="00D16D22"/>
    <w:rsid w:val="00D17AFD"/>
    <w:rsid w:val="00D22A9E"/>
    <w:rsid w:val="00D23EC7"/>
    <w:rsid w:val="00D24FFA"/>
    <w:rsid w:val="00D25AAA"/>
    <w:rsid w:val="00D27253"/>
    <w:rsid w:val="00D27B17"/>
    <w:rsid w:val="00D30048"/>
    <w:rsid w:val="00D30B36"/>
    <w:rsid w:val="00D32169"/>
    <w:rsid w:val="00D325C0"/>
    <w:rsid w:val="00D333CC"/>
    <w:rsid w:val="00D34A40"/>
    <w:rsid w:val="00D36BD5"/>
    <w:rsid w:val="00D37E81"/>
    <w:rsid w:val="00D40B67"/>
    <w:rsid w:val="00D42869"/>
    <w:rsid w:val="00D42F81"/>
    <w:rsid w:val="00D438D0"/>
    <w:rsid w:val="00D55253"/>
    <w:rsid w:val="00D554AB"/>
    <w:rsid w:val="00D56841"/>
    <w:rsid w:val="00D56A40"/>
    <w:rsid w:val="00D56A5F"/>
    <w:rsid w:val="00D611B6"/>
    <w:rsid w:val="00D6277B"/>
    <w:rsid w:val="00D63127"/>
    <w:rsid w:val="00D63DB4"/>
    <w:rsid w:val="00D661DB"/>
    <w:rsid w:val="00D71F45"/>
    <w:rsid w:val="00D74831"/>
    <w:rsid w:val="00D76B2B"/>
    <w:rsid w:val="00D80904"/>
    <w:rsid w:val="00D828F6"/>
    <w:rsid w:val="00D84693"/>
    <w:rsid w:val="00D854E4"/>
    <w:rsid w:val="00D85EC0"/>
    <w:rsid w:val="00D87152"/>
    <w:rsid w:val="00D90FBC"/>
    <w:rsid w:val="00D91B97"/>
    <w:rsid w:val="00D97723"/>
    <w:rsid w:val="00DA7D9A"/>
    <w:rsid w:val="00DB0A3F"/>
    <w:rsid w:val="00DB27EE"/>
    <w:rsid w:val="00DB28FB"/>
    <w:rsid w:val="00DB6A3E"/>
    <w:rsid w:val="00DC0EC3"/>
    <w:rsid w:val="00DC0F65"/>
    <w:rsid w:val="00DC1048"/>
    <w:rsid w:val="00DC237F"/>
    <w:rsid w:val="00DC2CA0"/>
    <w:rsid w:val="00DC2D08"/>
    <w:rsid w:val="00DC3F93"/>
    <w:rsid w:val="00DC45CF"/>
    <w:rsid w:val="00DC4E72"/>
    <w:rsid w:val="00DC50F4"/>
    <w:rsid w:val="00DC656A"/>
    <w:rsid w:val="00DC7131"/>
    <w:rsid w:val="00DD11B5"/>
    <w:rsid w:val="00DD3C7B"/>
    <w:rsid w:val="00DD6356"/>
    <w:rsid w:val="00DE01DB"/>
    <w:rsid w:val="00DE581F"/>
    <w:rsid w:val="00DE66A3"/>
    <w:rsid w:val="00DE6E79"/>
    <w:rsid w:val="00DE7EBD"/>
    <w:rsid w:val="00DF039A"/>
    <w:rsid w:val="00DF06E0"/>
    <w:rsid w:val="00DF0D55"/>
    <w:rsid w:val="00DF18BA"/>
    <w:rsid w:val="00DF2301"/>
    <w:rsid w:val="00DF490F"/>
    <w:rsid w:val="00E0314A"/>
    <w:rsid w:val="00E07B73"/>
    <w:rsid w:val="00E10ABD"/>
    <w:rsid w:val="00E117BE"/>
    <w:rsid w:val="00E13A77"/>
    <w:rsid w:val="00E15966"/>
    <w:rsid w:val="00E15CBE"/>
    <w:rsid w:val="00E20FDD"/>
    <w:rsid w:val="00E22645"/>
    <w:rsid w:val="00E23AA0"/>
    <w:rsid w:val="00E25DE9"/>
    <w:rsid w:val="00E26B5D"/>
    <w:rsid w:val="00E30159"/>
    <w:rsid w:val="00E31982"/>
    <w:rsid w:val="00E33F76"/>
    <w:rsid w:val="00E3428A"/>
    <w:rsid w:val="00E37A09"/>
    <w:rsid w:val="00E4318A"/>
    <w:rsid w:val="00E438F0"/>
    <w:rsid w:val="00E44BA8"/>
    <w:rsid w:val="00E44F2E"/>
    <w:rsid w:val="00E457B5"/>
    <w:rsid w:val="00E50580"/>
    <w:rsid w:val="00E5193F"/>
    <w:rsid w:val="00E52078"/>
    <w:rsid w:val="00E52940"/>
    <w:rsid w:val="00E52D2C"/>
    <w:rsid w:val="00E542DA"/>
    <w:rsid w:val="00E5507C"/>
    <w:rsid w:val="00E56712"/>
    <w:rsid w:val="00E579A9"/>
    <w:rsid w:val="00E57F04"/>
    <w:rsid w:val="00E605A7"/>
    <w:rsid w:val="00E613CC"/>
    <w:rsid w:val="00E624F9"/>
    <w:rsid w:val="00E705F0"/>
    <w:rsid w:val="00E71885"/>
    <w:rsid w:val="00E72DC6"/>
    <w:rsid w:val="00E73D09"/>
    <w:rsid w:val="00E75E31"/>
    <w:rsid w:val="00E774AF"/>
    <w:rsid w:val="00E77787"/>
    <w:rsid w:val="00E77D87"/>
    <w:rsid w:val="00E812C0"/>
    <w:rsid w:val="00E8444A"/>
    <w:rsid w:val="00E86DB5"/>
    <w:rsid w:val="00E9023A"/>
    <w:rsid w:val="00E916E4"/>
    <w:rsid w:val="00E926A5"/>
    <w:rsid w:val="00E93037"/>
    <w:rsid w:val="00E9470E"/>
    <w:rsid w:val="00E962B4"/>
    <w:rsid w:val="00EA389E"/>
    <w:rsid w:val="00EA3A24"/>
    <w:rsid w:val="00EA4385"/>
    <w:rsid w:val="00EA62C4"/>
    <w:rsid w:val="00EA6740"/>
    <w:rsid w:val="00EB00FF"/>
    <w:rsid w:val="00EB0312"/>
    <w:rsid w:val="00EB05EC"/>
    <w:rsid w:val="00EB2878"/>
    <w:rsid w:val="00EB51FE"/>
    <w:rsid w:val="00EB5A15"/>
    <w:rsid w:val="00EB61A8"/>
    <w:rsid w:val="00EB76C8"/>
    <w:rsid w:val="00EB7708"/>
    <w:rsid w:val="00EC11CA"/>
    <w:rsid w:val="00EC289D"/>
    <w:rsid w:val="00EC41E0"/>
    <w:rsid w:val="00EC5520"/>
    <w:rsid w:val="00EC56F0"/>
    <w:rsid w:val="00ED1888"/>
    <w:rsid w:val="00ED19E6"/>
    <w:rsid w:val="00ED1CD1"/>
    <w:rsid w:val="00ED41AF"/>
    <w:rsid w:val="00ED4592"/>
    <w:rsid w:val="00ED74FD"/>
    <w:rsid w:val="00ED7A8A"/>
    <w:rsid w:val="00EE4C55"/>
    <w:rsid w:val="00EF1C85"/>
    <w:rsid w:val="00EF3011"/>
    <w:rsid w:val="00EF3C4E"/>
    <w:rsid w:val="00EF3F81"/>
    <w:rsid w:val="00EF49E7"/>
    <w:rsid w:val="00EF5BF2"/>
    <w:rsid w:val="00EF5E91"/>
    <w:rsid w:val="00EF75F0"/>
    <w:rsid w:val="00F0020D"/>
    <w:rsid w:val="00F037BD"/>
    <w:rsid w:val="00F03F1E"/>
    <w:rsid w:val="00F06094"/>
    <w:rsid w:val="00F06297"/>
    <w:rsid w:val="00F07D40"/>
    <w:rsid w:val="00F1363D"/>
    <w:rsid w:val="00F153E2"/>
    <w:rsid w:val="00F20FCF"/>
    <w:rsid w:val="00F237A4"/>
    <w:rsid w:val="00F24C2E"/>
    <w:rsid w:val="00F27A37"/>
    <w:rsid w:val="00F30847"/>
    <w:rsid w:val="00F30E5D"/>
    <w:rsid w:val="00F36148"/>
    <w:rsid w:val="00F3675D"/>
    <w:rsid w:val="00F41B17"/>
    <w:rsid w:val="00F41B27"/>
    <w:rsid w:val="00F41E71"/>
    <w:rsid w:val="00F443A4"/>
    <w:rsid w:val="00F44819"/>
    <w:rsid w:val="00F45324"/>
    <w:rsid w:val="00F45DE1"/>
    <w:rsid w:val="00F46CBE"/>
    <w:rsid w:val="00F472D4"/>
    <w:rsid w:val="00F51E7E"/>
    <w:rsid w:val="00F52C63"/>
    <w:rsid w:val="00F545E4"/>
    <w:rsid w:val="00F62151"/>
    <w:rsid w:val="00F7341A"/>
    <w:rsid w:val="00F80200"/>
    <w:rsid w:val="00F81575"/>
    <w:rsid w:val="00F81B18"/>
    <w:rsid w:val="00F872E6"/>
    <w:rsid w:val="00F903F5"/>
    <w:rsid w:val="00F9247A"/>
    <w:rsid w:val="00F93C3A"/>
    <w:rsid w:val="00F9469C"/>
    <w:rsid w:val="00F95ED5"/>
    <w:rsid w:val="00FA191F"/>
    <w:rsid w:val="00FA4AC7"/>
    <w:rsid w:val="00FA4D77"/>
    <w:rsid w:val="00FA5181"/>
    <w:rsid w:val="00FA6F6F"/>
    <w:rsid w:val="00FB579E"/>
    <w:rsid w:val="00FB607C"/>
    <w:rsid w:val="00FC00C1"/>
    <w:rsid w:val="00FC1394"/>
    <w:rsid w:val="00FC159E"/>
    <w:rsid w:val="00FC1BF1"/>
    <w:rsid w:val="00FC2AC2"/>
    <w:rsid w:val="00FC589E"/>
    <w:rsid w:val="00FC5C38"/>
    <w:rsid w:val="00FC64CD"/>
    <w:rsid w:val="00FC66E3"/>
    <w:rsid w:val="00FD0366"/>
    <w:rsid w:val="00FD118A"/>
    <w:rsid w:val="00FD21FE"/>
    <w:rsid w:val="00FD3356"/>
    <w:rsid w:val="00FD48B1"/>
    <w:rsid w:val="00FE1D7F"/>
    <w:rsid w:val="00FE2329"/>
    <w:rsid w:val="00FE3003"/>
    <w:rsid w:val="00FE4E25"/>
    <w:rsid w:val="00FF090C"/>
    <w:rsid w:val="00FF105A"/>
    <w:rsid w:val="00FF1069"/>
    <w:rsid w:val="00FF4889"/>
    <w:rsid w:val="00FF4F0E"/>
    <w:rsid w:val="00FF6844"/>
    <w:rsid w:val="00FF7A40"/>
    <w:rsid w:val="17EC0EA0"/>
    <w:rsid w:val="2E35D7FD"/>
    <w:rsid w:val="2EFF2B5E"/>
    <w:rsid w:val="37BF7724"/>
    <w:rsid w:val="37FFC96B"/>
    <w:rsid w:val="3A7EAA65"/>
    <w:rsid w:val="3BEC3768"/>
    <w:rsid w:val="3DBF5A5B"/>
    <w:rsid w:val="3EBFDF86"/>
    <w:rsid w:val="3FFF35AF"/>
    <w:rsid w:val="4FBE9B1B"/>
    <w:rsid w:val="59489D6F"/>
    <w:rsid w:val="5DFA7C27"/>
    <w:rsid w:val="5E2B87E7"/>
    <w:rsid w:val="5E8DFF32"/>
    <w:rsid w:val="5ED7BE1F"/>
    <w:rsid w:val="5EF782C9"/>
    <w:rsid w:val="5F7F9713"/>
    <w:rsid w:val="5FA9DF02"/>
    <w:rsid w:val="5FF37CEA"/>
    <w:rsid w:val="5FFDCEA6"/>
    <w:rsid w:val="6E77211C"/>
    <w:rsid w:val="6E9741E4"/>
    <w:rsid w:val="6EEFA300"/>
    <w:rsid w:val="6FDB15B3"/>
    <w:rsid w:val="6FDDDE79"/>
    <w:rsid w:val="73FEBE2A"/>
    <w:rsid w:val="757F09DE"/>
    <w:rsid w:val="77133924"/>
    <w:rsid w:val="77BF1196"/>
    <w:rsid w:val="78031D0F"/>
    <w:rsid w:val="792FC313"/>
    <w:rsid w:val="7B752ADE"/>
    <w:rsid w:val="7BA75D39"/>
    <w:rsid w:val="7BAF94DA"/>
    <w:rsid w:val="7BDDD207"/>
    <w:rsid w:val="7D7A1621"/>
    <w:rsid w:val="7D7F3031"/>
    <w:rsid w:val="7DFAA4F5"/>
    <w:rsid w:val="7DFEBE48"/>
    <w:rsid w:val="7F57DB38"/>
    <w:rsid w:val="7F5A06D5"/>
    <w:rsid w:val="7F5F87DC"/>
    <w:rsid w:val="7F7F055A"/>
    <w:rsid w:val="7F92F95A"/>
    <w:rsid w:val="7FA9FEB8"/>
    <w:rsid w:val="7FB67E06"/>
    <w:rsid w:val="7FDF5225"/>
    <w:rsid w:val="7FEFA13B"/>
    <w:rsid w:val="7FFF7743"/>
    <w:rsid w:val="9D77034B"/>
    <w:rsid w:val="9DA73505"/>
    <w:rsid w:val="9DFBC5FF"/>
    <w:rsid w:val="A19EA1C1"/>
    <w:rsid w:val="AAFB2155"/>
    <w:rsid w:val="B55908FF"/>
    <w:rsid w:val="B6B71E5B"/>
    <w:rsid w:val="BCAD99A9"/>
    <w:rsid w:val="BCBE7C42"/>
    <w:rsid w:val="BFFB1CAA"/>
    <w:rsid w:val="C7BBB7F7"/>
    <w:rsid w:val="CE551678"/>
    <w:rsid w:val="D3759C07"/>
    <w:rsid w:val="D3D39844"/>
    <w:rsid w:val="D4EF05C0"/>
    <w:rsid w:val="D6ED5CAA"/>
    <w:rsid w:val="D7B958D5"/>
    <w:rsid w:val="D9FEC797"/>
    <w:rsid w:val="DD415CAD"/>
    <w:rsid w:val="DEF3DBB9"/>
    <w:rsid w:val="DFCF65A2"/>
    <w:rsid w:val="E57D3DD7"/>
    <w:rsid w:val="E9377DEC"/>
    <w:rsid w:val="E9BDF3D6"/>
    <w:rsid w:val="EFDAEAD3"/>
    <w:rsid w:val="F07DF9F6"/>
    <w:rsid w:val="F07F607E"/>
    <w:rsid w:val="F35F1619"/>
    <w:rsid w:val="F3EF449F"/>
    <w:rsid w:val="F5BF87D9"/>
    <w:rsid w:val="F98FD984"/>
    <w:rsid w:val="F9925C96"/>
    <w:rsid w:val="F9BC06CF"/>
    <w:rsid w:val="F9EF7F8A"/>
    <w:rsid w:val="FA8DF5B5"/>
    <w:rsid w:val="FBED88C9"/>
    <w:rsid w:val="FBFDBA79"/>
    <w:rsid w:val="FCBE2F55"/>
    <w:rsid w:val="FDFDF187"/>
    <w:rsid w:val="FDFEC249"/>
    <w:rsid w:val="FEB58B2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0"/>
    <w:qFormat/>
    <w:uiPriority w:val="0"/>
    <w:rPr>
      <w:rFonts w:ascii="仿宋_GB2312" w:eastAsia="仿宋_GB2312"/>
      <w:sz w:val="32"/>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character" w:styleId="8">
    <w:name w:val="Hyperlink"/>
    <w:basedOn w:val="6"/>
    <w:semiHidden/>
    <w:unhideWhenUsed/>
    <w:qFormat/>
    <w:uiPriority w:val="99"/>
    <w:rPr>
      <w:color w:val="0000FF"/>
      <w:u w:val="single"/>
    </w:rPr>
  </w:style>
  <w:style w:type="character" w:customStyle="1" w:styleId="9">
    <w:name w:val="页脚 Char"/>
    <w:basedOn w:val="6"/>
    <w:link w:val="3"/>
    <w:qFormat/>
    <w:uiPriority w:val="0"/>
    <w:rPr>
      <w:rFonts w:ascii="Times New Roman" w:hAnsi="Times New Roman" w:eastAsia="宋体" w:cs="Times New Roman"/>
      <w:sz w:val="18"/>
      <w:szCs w:val="18"/>
    </w:rPr>
  </w:style>
  <w:style w:type="character" w:customStyle="1" w:styleId="10">
    <w:name w:val="日期 Char"/>
    <w:basedOn w:val="6"/>
    <w:link w:val="2"/>
    <w:qFormat/>
    <w:uiPriority w:val="0"/>
    <w:rPr>
      <w:rFonts w:ascii="仿宋_GB2312" w:hAnsi="Times New Roman" w:eastAsia="仿宋_GB2312" w:cs="Times New Roman"/>
      <w:sz w:val="32"/>
      <w:szCs w:val="24"/>
    </w:rPr>
  </w:style>
  <w:style w:type="character" w:customStyle="1" w:styleId="11">
    <w:name w:val="页眉 Char"/>
    <w:basedOn w:val="6"/>
    <w:link w:val="4"/>
    <w:qFormat/>
    <w:uiPriority w:val="99"/>
    <w:rPr>
      <w:rFonts w:ascii="Times New Roman" w:hAnsi="Times New Roman" w:eastAsia="宋体" w:cs="Times New Roman"/>
      <w:sz w:val="18"/>
      <w:szCs w:val="18"/>
    </w:rPr>
  </w:style>
  <w:style w:type="paragraph" w:styleId="12">
    <w:name w:val="List Paragraph"/>
    <w:qFormat/>
    <w:uiPriority w:val="34"/>
    <w:pPr>
      <w:widowControl w:val="0"/>
      <w:spacing w:line="360" w:lineRule="auto"/>
      <w:ind w:firstLine="420" w:firstLineChars="20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2</Pages>
  <Words>43</Words>
  <Characters>246</Characters>
  <Lines>2</Lines>
  <Paragraphs>1</Paragraphs>
  <TotalTime>1</TotalTime>
  <ScaleCrop>false</ScaleCrop>
  <LinksUpToDate>false</LinksUpToDate>
  <CharactersWithSpaces>288</CharactersWithSpaces>
  <Application>WPS Office_11.8.2.11810_F1E327BC-269C-435d-A152-05C5408002CA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2019-09-26T22:10:00Z</dcterms:created>
  <dc:creator>CN=李小鹏/OU=办公室/O=CZCE</dc:creator>
  <cp:lastModifiedBy>王新宇</cp:lastModifiedBy>
  <cp:lastPrinted>2026-09-28T17:24:00Z</cp:lastPrinted>
  <dcterms:modified xsi:type="dcterms:W3CDTF">2026-09-23T15:34:33Z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2052-11.8.2.11810</vt:lpwstr>
  </property>
  <property fmtid="{D5CDD505-2E9C-101B-9397-08002B2CF9AE}" pid="3" name="ICV">
    <vt:lpwstr>57AFA9B9DB6E779FD481976AD8678396</vt:lpwstr>
  </property>
</Properties>
</file>