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2</w:t>
      </w:r>
    </w:p>
    <w:p>
      <w:pPr>
        <w:rPr>
          <w:rFonts w:hint="eastAsia" w:ascii="黑体" w:hAnsi="黑体" w:eastAsia="黑体" w:cs="黑体"/>
          <w:sz w:val="32"/>
          <w:szCs w:val="32"/>
          <w:lang w:val="en-US" w:eastAsia="zh-CN"/>
        </w:rPr>
      </w:pPr>
    </w:p>
    <w:p>
      <w:pPr>
        <w:spacing w:after="240"/>
        <w:jc w:val="center"/>
        <w:rPr>
          <w:rFonts w:ascii="黑体" w:hAnsi="黑体" w:eastAsia="黑体"/>
          <w:kern w:val="0"/>
          <w:sz w:val="44"/>
          <w:szCs w:val="44"/>
        </w:rPr>
      </w:pPr>
      <w:r>
        <w:rPr>
          <w:rFonts w:hint="eastAsia" w:ascii="黑体" w:hAnsi="黑体" w:eastAsia="黑体"/>
          <w:kern w:val="0"/>
          <w:sz w:val="44"/>
          <w:szCs w:val="44"/>
        </w:rPr>
        <w:t>郑州商品交易所期货结算管理办法</w:t>
      </w:r>
    </w:p>
    <w:p>
      <w:pPr>
        <w:rPr>
          <w:rFonts w:hint="default" w:ascii="宋体" w:hAnsi="宋体" w:cs="宋体"/>
          <w:kern w:val="2"/>
          <w:sz w:val="24"/>
          <w:highlight w:val="none"/>
        </w:rPr>
      </w:pPr>
      <w:r>
        <w:rPr>
          <w:rFonts w:hint="default" w:ascii="宋体" w:hAnsi="宋体" w:cs="宋体"/>
          <w:kern w:val="2"/>
          <w:sz w:val="24"/>
          <w:highlight w:val="none"/>
        </w:rPr>
        <w:t>（202</w:t>
      </w:r>
      <w:r>
        <w:rPr>
          <w:rFonts w:hint="eastAsia" w:ascii="宋体" w:hAnsi="宋体" w:cs="宋体"/>
          <w:kern w:val="2"/>
          <w:sz w:val="24"/>
          <w:highlight w:val="none"/>
          <w:lang w:val="en-US" w:eastAsia="zh-CN"/>
        </w:rPr>
        <w:t>6</w:t>
      </w:r>
      <w:r>
        <w:rPr>
          <w:rFonts w:hint="default" w:ascii="宋体" w:hAnsi="宋体" w:cs="宋体"/>
          <w:kern w:val="2"/>
          <w:sz w:val="24"/>
          <w:highlight w:val="none"/>
        </w:rPr>
        <w:t>年</w:t>
      </w:r>
      <w:r>
        <w:rPr>
          <w:rFonts w:hint="eastAsia" w:ascii="宋体" w:hAnsi="宋体" w:cs="宋体"/>
          <w:kern w:val="2"/>
          <w:sz w:val="24"/>
          <w:highlight w:val="none"/>
          <w:lang w:val="en-US" w:eastAsia="zh-CN"/>
        </w:rPr>
        <w:t>8</w:t>
      </w:r>
      <w:r>
        <w:rPr>
          <w:rFonts w:hint="default" w:ascii="宋体" w:hAnsi="宋体" w:cs="宋体"/>
          <w:kern w:val="2"/>
          <w:sz w:val="24"/>
          <w:highlight w:val="none"/>
        </w:rPr>
        <w:t>月</w:t>
      </w:r>
      <w:r>
        <w:rPr>
          <w:rFonts w:hint="eastAsia" w:ascii="宋体" w:hAnsi="宋体" w:cs="宋体"/>
          <w:kern w:val="2"/>
          <w:sz w:val="24"/>
          <w:highlight w:val="none"/>
          <w:lang w:val="en-US" w:eastAsia="zh-CN"/>
        </w:rPr>
        <w:t>6</w:t>
      </w:r>
      <w:r>
        <w:rPr>
          <w:rFonts w:hint="default" w:ascii="宋体" w:hAnsi="宋体" w:cs="宋体"/>
          <w:kern w:val="2"/>
          <w:sz w:val="24"/>
          <w:highlight w:val="none"/>
        </w:rPr>
        <w:t>日郑州商品交易所第</w:t>
      </w:r>
      <w:r>
        <w:rPr>
          <w:rFonts w:hint="default" w:ascii="宋体" w:hAnsi="宋体" w:cs="宋体"/>
          <w:kern w:val="2"/>
          <w:sz w:val="24"/>
          <w:highlight w:val="none"/>
          <w:lang w:eastAsia="zh-CN"/>
        </w:rPr>
        <w:t>九</w:t>
      </w:r>
      <w:r>
        <w:rPr>
          <w:rFonts w:hint="default" w:ascii="宋体" w:hAnsi="宋体" w:cs="宋体"/>
          <w:kern w:val="2"/>
          <w:sz w:val="24"/>
          <w:highlight w:val="none"/>
        </w:rPr>
        <w:t>届理事会第</w:t>
      </w:r>
      <w:r>
        <w:rPr>
          <w:rFonts w:hint="default" w:ascii="宋体" w:hAnsi="宋体" w:cs="宋体"/>
          <w:kern w:val="2"/>
          <w:sz w:val="24"/>
          <w:highlight w:val="none"/>
          <w:lang w:eastAsia="zh-CN"/>
        </w:rPr>
        <w:t>四</w:t>
      </w:r>
      <w:r>
        <w:rPr>
          <w:rFonts w:hint="default" w:ascii="宋体" w:hAnsi="宋体" w:cs="宋体"/>
          <w:kern w:val="2"/>
          <w:sz w:val="24"/>
          <w:highlight w:val="none"/>
        </w:rPr>
        <w:t>次会议审议通过，</w:t>
      </w:r>
      <w:r>
        <w:rPr>
          <w:rFonts w:hint="default" w:ascii="宋体" w:hAnsi="宋体" w:cs="宋体"/>
          <w:kern w:val="2"/>
          <w:sz w:val="24"/>
          <w:highlight w:val="none"/>
          <w:lang w:val="en-US" w:eastAsia="zh-CN"/>
        </w:rPr>
        <w:t>2026年9月11日</w:t>
      </w:r>
      <w:r>
        <w:rPr>
          <w:rFonts w:hint="default" w:ascii="宋体" w:hAnsi="宋体" w:eastAsia="宋体" w:cs="宋体"/>
          <w:kern w:val="2"/>
          <w:sz w:val="24"/>
          <w:highlight w:val="none"/>
          <w:lang w:val="en-US" w:eastAsia="zh-CN"/>
        </w:rPr>
        <w:t>〔2026〕</w:t>
      </w:r>
      <w:r>
        <w:rPr>
          <w:rFonts w:hint="eastAsia" w:ascii="宋体" w:hAnsi="宋体" w:cs="宋体"/>
          <w:kern w:val="2"/>
          <w:sz w:val="24"/>
          <w:highlight w:val="none"/>
          <w:lang w:val="en-US" w:eastAsia="zh-CN"/>
        </w:rPr>
        <w:t>138</w:t>
      </w:r>
      <w:r>
        <w:rPr>
          <w:rFonts w:hint="default" w:ascii="宋体" w:hAnsi="宋体" w:eastAsia="宋体" w:cs="宋体"/>
          <w:kern w:val="2"/>
          <w:sz w:val="24"/>
          <w:highlight w:val="none"/>
          <w:lang w:val="en-US" w:eastAsia="zh-CN"/>
        </w:rPr>
        <w:t>号公告发布</w:t>
      </w:r>
      <w:r>
        <w:rPr>
          <w:rFonts w:hint="default" w:ascii="宋体" w:hAnsi="宋体" w:cs="宋体"/>
          <w:kern w:val="2"/>
          <w:sz w:val="24"/>
          <w:highlight w:val="none"/>
          <w:lang w:val="en-US" w:eastAsia="zh-CN"/>
        </w:rPr>
        <w:t>，</w:t>
      </w:r>
      <w:r>
        <w:rPr>
          <w:rFonts w:hint="default" w:ascii="宋体" w:hAnsi="宋体" w:cs="宋体"/>
          <w:kern w:val="2"/>
          <w:sz w:val="24"/>
          <w:highlight w:val="none"/>
        </w:rPr>
        <w:t>自发布之日起施行）</w:t>
      </w:r>
    </w:p>
    <w:p>
      <w:pPr>
        <w:ind w:firstLine="480" w:firstLineChars="200"/>
        <w:rPr>
          <w:rFonts w:ascii="宋体" w:hAnsi="宋体" w:cs="宋体"/>
          <w:kern w:val="2"/>
          <w:sz w:val="24"/>
          <w:highlight w:val="none"/>
        </w:rPr>
      </w:pP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第一章  总 则</w:t>
      </w:r>
    </w:p>
    <w:p>
      <w:pPr>
        <w:widowControl/>
        <w:suppressAutoHyphens/>
        <w:bidi w:val="0"/>
        <w:spacing w:line="360" w:lineRule="auto"/>
        <w:ind w:firstLine="560" w:firstLineChars="200"/>
        <w:jc w:val="left"/>
        <w:rPr>
          <w:rFonts w:ascii="Arial" w:hAnsi="Arial" w:cs="Arial"/>
          <w:color w:val="000000"/>
          <w:kern w:val="0"/>
          <w:szCs w:val="21"/>
        </w:rPr>
      </w:pPr>
      <w:r>
        <w:rPr>
          <w:rFonts w:hint="eastAsia" w:ascii="黑体" w:hAnsi="宋体" w:eastAsia="黑体" w:cs="黑体"/>
          <w:color w:val="000000"/>
          <w:kern w:val="0"/>
          <w:sz w:val="28"/>
          <w:szCs w:val="28"/>
        </w:rPr>
        <w:t>第一条</w:t>
      </w:r>
      <w:r>
        <w:rPr>
          <w:rFonts w:hint="eastAsia" w:ascii="宋体" w:hAnsi="宋体" w:cs="宋体"/>
          <w:color w:val="000000"/>
          <w:kern w:val="0"/>
          <w:sz w:val="28"/>
          <w:szCs w:val="28"/>
        </w:rPr>
        <w:t xml:space="preserve">  为规范郑州商品交易所(以下简称交易所)期货交易的结算行为，保护期货交易当事人的合法权益和社会公众利益，防范和化解期货市场风险，根据《郑州商品交易所交易规则》，制定本办法。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第二条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kern w:val="0"/>
          <w:sz w:val="28"/>
          <w:szCs w:val="28"/>
        </w:rPr>
        <w:t>结算是指根据交易结果和交易所有关规定对会员保证金、盈亏、手续费、交割货款及其他有关款项进行计算、划拨的业务活动。</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第三条</w:t>
      </w:r>
      <w:r>
        <w:rPr>
          <w:rFonts w:hint="eastAsia" w:ascii="宋体" w:hAnsi="宋体" w:cs="宋体"/>
          <w:color w:val="000000"/>
          <w:kern w:val="0"/>
          <w:sz w:val="28"/>
          <w:szCs w:val="28"/>
        </w:rPr>
        <w:t xml:space="preserve">  交易所作为中央对手方，统一组织期货交易的结算。结算实行保证金制度、当日无负债结算制度和风险准备金制度等。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第四条</w:t>
      </w:r>
      <w:r>
        <w:rPr>
          <w:rFonts w:hint="eastAsia" w:ascii="宋体" w:hAnsi="宋体" w:cs="宋体"/>
          <w:color w:val="000000"/>
          <w:kern w:val="0"/>
          <w:sz w:val="28"/>
          <w:szCs w:val="28"/>
        </w:rPr>
        <w:t xml:space="preserve">  交易所实行全员结算制度。交易所对会员进行结算，期货公司会员对其客户、委托其结算的境外特殊参与者、委托其交易结算的境外中介机构（前述客户、境外特殊参与者、境外中介机构统称为结算交割委托人）进行结算，境外特殊经纪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机构对其客户进行结算。</w:t>
      </w:r>
    </w:p>
    <w:p>
      <w:pPr>
        <w:widowControl/>
        <w:suppressAutoHyphens/>
        <w:bidi w:val="0"/>
        <w:spacing w:line="360" w:lineRule="auto"/>
        <w:ind w:firstLine="560" w:firstLineChars="200"/>
        <w:jc w:val="left"/>
        <w:rPr>
          <w:rFonts w:ascii="Arial" w:hAnsi="Arial" w:cs="Arial"/>
          <w:color w:val="000000"/>
          <w:kern w:val="0"/>
          <w:szCs w:val="21"/>
        </w:rPr>
      </w:pPr>
      <w:r>
        <w:rPr>
          <w:rFonts w:hint="eastAsia" w:ascii="黑体" w:hAnsi="宋体" w:eastAsia="黑体" w:cs="黑体"/>
          <w:color w:val="000000"/>
          <w:kern w:val="0"/>
          <w:sz w:val="28"/>
          <w:szCs w:val="28"/>
        </w:rPr>
        <w:t>第五条</w:t>
      </w:r>
      <w:r>
        <w:rPr>
          <w:rFonts w:hint="eastAsia" w:ascii="宋体" w:hAnsi="宋体" w:cs="宋体"/>
          <w:color w:val="000000"/>
          <w:kern w:val="0"/>
          <w:sz w:val="28"/>
          <w:szCs w:val="28"/>
        </w:rPr>
        <w:t xml:space="preserve">  交易所的期货结算业务按本办法进行。交易所、会员、境外特殊参与者、境外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机构、客户和期货保证金指定存管银行（以下简称存管银行）及</w:t>
      </w:r>
      <w:r>
        <w:rPr>
          <w:rFonts w:hint="eastAsia" w:ascii="宋体" w:hAnsi="宋体" w:cs="宋体"/>
          <w:color w:val="000000"/>
          <w:kern w:val="0"/>
          <w:sz w:val="28"/>
          <w:szCs w:val="28"/>
          <w:lang w:eastAsia="zh-CN"/>
        </w:rPr>
        <w:t>相关</w:t>
      </w:r>
      <w:r>
        <w:rPr>
          <w:rFonts w:hint="eastAsia" w:ascii="宋体" w:hAnsi="宋体" w:cs="宋体"/>
          <w:color w:val="000000"/>
          <w:kern w:val="0"/>
          <w:sz w:val="28"/>
          <w:szCs w:val="28"/>
        </w:rPr>
        <w:t>工作人员应当遵守本办法。</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第二章  结算机构</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第六条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kern w:val="0"/>
          <w:sz w:val="28"/>
          <w:szCs w:val="28"/>
        </w:rPr>
        <w:t>结算机构包括交易所和会员的结算部门。</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第七条</w:t>
      </w:r>
      <w:r>
        <w:rPr>
          <w:rFonts w:hint="eastAsia" w:ascii="宋体" w:hAnsi="宋体" w:cs="宋体"/>
          <w:color w:val="000000"/>
          <w:kern w:val="0"/>
          <w:sz w:val="28"/>
          <w:szCs w:val="28"/>
        </w:rPr>
        <w:t xml:space="preserve">  交易所结算部门负责期货交易、交割的统一结算，保证金管理，风险准备金管理以及结算风险的防范。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所有在交易所交易系统中成交的合约必须通过结算部门进行统一结算。</w:t>
      </w:r>
    </w:p>
    <w:p>
      <w:pPr>
        <w:widowControl/>
        <w:suppressAutoHyphens/>
        <w:bidi w:val="0"/>
        <w:snapToGrid w:val="0"/>
        <w:spacing w:line="360" w:lineRule="auto"/>
        <w:ind w:firstLine="565" w:firstLineChars="202"/>
        <w:jc w:val="left"/>
        <w:rPr>
          <w:rFonts w:ascii="宋体" w:hAnsi="宋体"/>
          <w:color w:val="000000"/>
          <w:kern w:val="0"/>
          <w:sz w:val="28"/>
        </w:rPr>
      </w:pPr>
      <w:r>
        <w:rPr>
          <w:rFonts w:hint="eastAsia" w:ascii="黑体" w:hAnsi="宋体" w:eastAsia="黑体" w:cs="黑体"/>
          <w:color w:val="000000"/>
          <w:kern w:val="0"/>
          <w:sz w:val="28"/>
          <w:szCs w:val="28"/>
        </w:rPr>
        <w:t>第八条</w:t>
      </w:r>
      <w:r>
        <w:rPr>
          <w:rFonts w:hint="eastAsia" w:ascii="黑体" w:hAnsi="宋体" w:eastAsia="黑体" w:cs="黑体"/>
          <w:color w:val="000000"/>
          <w:kern w:val="0"/>
          <w:sz w:val="28"/>
          <w:szCs w:val="28"/>
          <w:lang w:val="en-US" w:eastAsia="zh-CN"/>
        </w:rPr>
        <w:t xml:space="preserve">  </w:t>
      </w:r>
      <w:r>
        <w:rPr>
          <w:rFonts w:hint="eastAsia" w:ascii="宋体" w:hAnsi="宋体"/>
          <w:color w:val="000000"/>
          <w:kern w:val="0"/>
          <w:sz w:val="28"/>
        </w:rPr>
        <w:t>交易所结算部门的主要职责：</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（一）编制会员的结算账表；</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（二）办理资金往来汇划业务；</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（三）统计、登记和报告交易结算情况；</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（四）处理会员交易中的账款纠纷；</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（五）办理交割结算业务；</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（六）控制结算风险；</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（七）按规定管理保证金；</w:t>
      </w:r>
    </w:p>
    <w:p>
      <w:pPr>
        <w:widowControl/>
        <w:suppressAutoHyphens/>
        <w:bidi w:val="0"/>
        <w:snapToGrid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（八）按规定办理其他结算业务。</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黑体" w:eastAsia="黑体" w:cs="宋体"/>
          <w:color w:val="000000"/>
          <w:kern w:val="0"/>
          <w:sz w:val="28"/>
          <w:szCs w:val="28"/>
        </w:rPr>
        <w:t>第九条</w:t>
      </w:r>
      <w:r>
        <w:rPr>
          <w:rFonts w:hint="eastAsia" w:ascii="宋体" w:hAnsi="宋体" w:cs="宋体"/>
          <w:color w:val="000000"/>
          <w:kern w:val="0"/>
          <w:sz w:val="28"/>
          <w:szCs w:val="28"/>
        </w:rPr>
        <w:t xml:space="preserve"> 交易所依据业务规则对会员、境外特殊参与者、境外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机构和客户涉及期货交易的相关资料，包括交易记录、结算资料、财务报表及相关的凭证和账册等进行检查时，会员、境外特殊参与者、境外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机构和客户应当予以配合。</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黑体" w:eastAsia="黑体" w:cs="宋体"/>
          <w:color w:val="000000"/>
          <w:kern w:val="0"/>
          <w:sz w:val="28"/>
          <w:szCs w:val="28"/>
        </w:rPr>
        <w:t>第十条</w:t>
      </w:r>
      <w:r>
        <w:rPr>
          <w:rFonts w:hint="eastAsia" w:ascii="宋体" w:hAnsi="宋体" w:cs="宋体"/>
          <w:color w:val="000000"/>
          <w:kern w:val="0"/>
          <w:sz w:val="28"/>
          <w:szCs w:val="28"/>
        </w:rPr>
        <w:t xml:space="preserve">  会员应当设立结算部门。期货公司会员结算部门负责会员与交易所、会员与</w:t>
      </w:r>
      <w:r>
        <w:rPr>
          <w:rFonts w:hint="eastAsia" w:ascii="宋体" w:hAnsi="宋体" w:eastAsia="宋体" w:cs="宋体"/>
          <w:b w:val="0"/>
          <w:color w:val="000000"/>
          <w:kern w:val="0"/>
          <w:sz w:val="28"/>
          <w:szCs w:val="28"/>
          <w:highlight w:val="none"/>
          <w:u w:val="none"/>
        </w:rPr>
        <w:t>结算交割委托人</w:t>
      </w:r>
      <w:r>
        <w:rPr>
          <w:rFonts w:hint="eastAsia" w:ascii="宋体" w:hAnsi="宋体" w:cs="宋体"/>
          <w:color w:val="000000"/>
          <w:kern w:val="0"/>
          <w:sz w:val="28"/>
          <w:szCs w:val="28"/>
        </w:rPr>
        <w:t xml:space="preserve">之间的结算工作；非期货公司会员结算部门负责会员与交易所之间的结算工作。 </w:t>
      </w:r>
      <w:bookmarkStart w:id="0" w:name="_GoBack"/>
      <w:bookmarkEnd w:id="0"/>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 xml:space="preserve">会员结算部门应当妥善保管交易记录、结算资料、财务报表及相关凭证、账册，以备查询和核实。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第十一条</w:t>
      </w:r>
      <w:r>
        <w:rPr>
          <w:rFonts w:hint="eastAsia" w:ascii="宋体" w:hAnsi="宋体" w:cs="宋体"/>
          <w:color w:val="000000"/>
          <w:spacing w:val="-12"/>
          <w:kern w:val="0"/>
          <w:sz w:val="28"/>
          <w:szCs w:val="28"/>
        </w:rPr>
        <w:t xml:space="preserve">  结算相关主体及其工作人员应当保守与结算业务有关的商业秘密。</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第三章  保证金</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第一节  保证金账户开立与管理</w:t>
      </w:r>
    </w:p>
    <w:p>
      <w:pPr>
        <w:widowControl/>
        <w:suppressAutoHyphens/>
        <w:bidi w:val="0"/>
        <w:spacing w:line="360" w:lineRule="auto"/>
        <w:ind w:firstLine="560" w:firstLineChars="200"/>
        <w:rPr>
          <w:rFonts w:ascii="宋体" w:hAnsi="宋体" w:cs="黑体"/>
          <w:color w:val="000000"/>
          <w:kern w:val="0"/>
          <w:sz w:val="28"/>
          <w:szCs w:val="28"/>
        </w:rPr>
      </w:pPr>
      <w:r>
        <w:rPr>
          <w:rFonts w:hint="eastAsia" w:ascii="黑体" w:hAnsi="宋体" w:eastAsia="黑体" w:cs="黑体"/>
          <w:color w:val="000000"/>
          <w:kern w:val="0"/>
          <w:sz w:val="28"/>
          <w:szCs w:val="28"/>
        </w:rPr>
        <w:t xml:space="preserve">第十二条  </w:t>
      </w:r>
      <w:r>
        <w:rPr>
          <w:rFonts w:hint="eastAsia" w:ascii="宋体" w:hAnsi="宋体" w:cs="黑体"/>
          <w:color w:val="000000"/>
          <w:kern w:val="0"/>
          <w:sz w:val="28"/>
          <w:szCs w:val="28"/>
        </w:rPr>
        <w:t>存管银行是指由交易所指定、协助交易所办理期货交易结算业务的银行业金融机构。</w:t>
      </w:r>
    </w:p>
    <w:p>
      <w:pPr>
        <w:widowControl/>
        <w:suppressAutoHyphens/>
        <w:bidi w:val="0"/>
        <w:spacing w:line="360" w:lineRule="auto"/>
        <w:ind w:firstLine="560" w:firstLineChars="200"/>
        <w:rPr>
          <w:rFonts w:ascii="宋体" w:hAnsi="宋体" w:cs="黑体"/>
          <w:color w:val="000000"/>
          <w:kern w:val="0"/>
          <w:sz w:val="28"/>
          <w:szCs w:val="28"/>
        </w:rPr>
      </w:pPr>
      <w:r>
        <w:rPr>
          <w:rFonts w:hint="eastAsia" w:ascii="宋体" w:hAnsi="宋体" w:cs="黑体"/>
          <w:color w:val="000000"/>
          <w:kern w:val="0"/>
          <w:sz w:val="28"/>
          <w:szCs w:val="28"/>
        </w:rPr>
        <w:t>交易所有权对存管银行的期货结算业务进行监督。</w:t>
      </w:r>
    </w:p>
    <w:p>
      <w:pPr>
        <w:widowControl/>
        <w:suppressAutoHyphens/>
        <w:bidi w:val="0"/>
        <w:spacing w:line="360" w:lineRule="auto"/>
        <w:ind w:firstLine="560" w:firstLineChars="200"/>
        <w:rPr>
          <w:rFonts w:ascii="宋体" w:hAnsi="宋体" w:cs="黑体"/>
          <w:color w:val="000000"/>
          <w:kern w:val="0"/>
          <w:sz w:val="28"/>
          <w:szCs w:val="28"/>
        </w:rPr>
      </w:pPr>
      <w:r>
        <w:rPr>
          <w:rFonts w:hint="eastAsia" w:ascii="宋体" w:hAnsi="宋体" w:cs="黑体"/>
          <w:color w:val="000000"/>
          <w:kern w:val="0"/>
          <w:sz w:val="28"/>
          <w:szCs w:val="28"/>
        </w:rPr>
        <w:t>存管银行应当遵守《郑州商品交易所指定存管银行管理办法》及交易所其他有关规定。</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第十三条</w:t>
      </w:r>
      <w:r>
        <w:rPr>
          <w:rFonts w:hint="eastAsia" w:ascii="宋体" w:hAnsi="宋体" w:cs="宋体"/>
          <w:color w:val="000000"/>
          <w:kern w:val="0"/>
          <w:sz w:val="28"/>
          <w:szCs w:val="28"/>
        </w:rPr>
        <w:t xml:space="preserve">  交易所根据业务需要在存管银行开设不同币种的专用结算账户，用于存放会员的保证金及相关款项。 </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黑体" w:hAnsi="宋体" w:eastAsia="黑体" w:cs="黑体"/>
          <w:color w:val="000000"/>
          <w:kern w:val="0"/>
          <w:sz w:val="28"/>
          <w:szCs w:val="28"/>
        </w:rPr>
        <w:t>第十四条</w:t>
      </w:r>
      <w:r>
        <w:rPr>
          <w:rFonts w:hint="eastAsia" w:ascii="宋体" w:hAnsi="宋体" w:cs="宋体"/>
          <w:color w:val="000000"/>
          <w:kern w:val="0"/>
          <w:sz w:val="28"/>
          <w:szCs w:val="28"/>
        </w:rPr>
        <w:t xml:space="preserve">  会员应当在存管银行开设业务需要币种的专用账户，用于存放保证金及相关款项。其中，会员在</w:t>
      </w:r>
      <w:r>
        <w:rPr>
          <w:rFonts w:hint="eastAsia" w:ascii="宋体" w:hAnsi="宋体" w:cs="宋体"/>
          <w:color w:val="000000"/>
          <w:kern w:val="0"/>
          <w:sz w:val="28"/>
          <w:szCs w:val="28"/>
          <w:lang w:eastAsia="zh-CN"/>
        </w:rPr>
        <w:t>交易所指定</w:t>
      </w:r>
      <w:r>
        <w:rPr>
          <w:rFonts w:hint="eastAsia" w:ascii="宋体" w:hAnsi="宋体" w:cs="宋体"/>
          <w:color w:val="000000"/>
          <w:kern w:val="0"/>
          <w:sz w:val="28"/>
          <w:szCs w:val="28"/>
        </w:rPr>
        <w:t>存管银行分支机构开设</w:t>
      </w:r>
      <w:r>
        <w:rPr>
          <w:rFonts w:hint="eastAsia" w:ascii="宋体" w:hAnsi="宋体" w:cs="宋体"/>
          <w:color w:val="000000"/>
          <w:kern w:val="0"/>
          <w:sz w:val="28"/>
          <w:szCs w:val="28"/>
          <w:lang w:eastAsia="zh-CN"/>
        </w:rPr>
        <w:t>并向交易所备案登记</w:t>
      </w:r>
      <w:r>
        <w:rPr>
          <w:rFonts w:hint="eastAsia" w:ascii="宋体" w:hAnsi="宋体" w:cs="宋体"/>
          <w:color w:val="000000"/>
          <w:kern w:val="0"/>
          <w:sz w:val="28"/>
          <w:szCs w:val="28"/>
        </w:rPr>
        <w:t>的保证金专用账户为会员专用资金账户。</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lang w:val="en-US" w:eastAsia="zh-CN"/>
        </w:rPr>
        <w:t>期货公司</w:t>
      </w:r>
      <w:r>
        <w:rPr>
          <w:rFonts w:hint="eastAsia" w:ascii="宋体" w:hAnsi="宋体" w:cs="宋体"/>
          <w:color w:val="000000"/>
          <w:kern w:val="0"/>
          <w:sz w:val="28"/>
          <w:szCs w:val="28"/>
          <w:lang w:eastAsia="zh-CN"/>
        </w:rPr>
        <w:t>会员应当至少指定两家存管银行人民币账户作为会员专用资金账户。</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第十五条</w:t>
      </w:r>
      <w:r>
        <w:rPr>
          <w:rFonts w:hint="eastAsia" w:ascii="宋体" w:hAnsi="宋体" w:cs="宋体"/>
          <w:color w:val="000000"/>
          <w:kern w:val="0"/>
          <w:sz w:val="28"/>
          <w:szCs w:val="28"/>
        </w:rPr>
        <w:t xml:space="preserve">  交易所与会员之间期货业务资金的往来通过交易所专用结算账户和会员专用资金账户办理。</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黑体" w:hAnsi="宋体" w:eastAsia="黑体" w:cs="黑体"/>
          <w:color w:val="000000"/>
          <w:kern w:val="0"/>
          <w:sz w:val="28"/>
          <w:szCs w:val="28"/>
        </w:rPr>
        <w:t>第十六条</w:t>
      </w:r>
      <w:r>
        <w:rPr>
          <w:rFonts w:hint="eastAsia" w:ascii="宋体" w:hAnsi="宋体" w:cs="宋体"/>
          <w:color w:val="000000"/>
          <w:kern w:val="0"/>
          <w:sz w:val="28"/>
          <w:szCs w:val="28"/>
        </w:rPr>
        <w:t xml:space="preserve">  交易所对会员存入交易所专用结算账户的保证金实行分账管理，为每一会员设立内部明细账户，按日序时登记核算每一会员出入金、盈亏、保证金、手续费等。 </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宋体" w:hAnsi="宋体" w:cs="宋体"/>
          <w:color w:val="000000"/>
          <w:kern w:val="0"/>
          <w:sz w:val="28"/>
          <w:szCs w:val="28"/>
        </w:rPr>
        <w:t>会员每接受一家境外特殊参与者委托结算的，交易所为会员提供另行设立受托结算内部明细账户的服务，按日序时登记核算每一境外特殊参与者出入金、盈亏、保证金、手续费等。</w:t>
      </w:r>
    </w:p>
    <w:p>
      <w:pPr>
        <w:widowControl/>
        <w:suppressAutoHyphens/>
        <w:bidi w:val="0"/>
        <w:spacing w:line="360" w:lineRule="auto"/>
        <w:ind w:firstLine="560" w:firstLineChars="200"/>
        <w:rPr>
          <w:rFonts w:ascii="宋体" w:hAnsi="宋体" w:cs="宋体"/>
          <w:b/>
          <w:color w:val="000000"/>
          <w:kern w:val="0"/>
          <w:sz w:val="28"/>
          <w:szCs w:val="28"/>
        </w:rPr>
      </w:pPr>
      <w:r>
        <w:rPr>
          <w:rFonts w:hint="eastAsia" w:ascii="黑体" w:hAnsi="宋体" w:eastAsia="黑体" w:cs="黑体"/>
          <w:color w:val="000000"/>
          <w:kern w:val="0"/>
          <w:sz w:val="28"/>
          <w:szCs w:val="28"/>
        </w:rPr>
        <w:t>第十七条</w:t>
      </w:r>
      <w:r>
        <w:rPr>
          <w:rFonts w:hint="eastAsia" w:ascii="宋体" w:hAnsi="宋体" w:cs="宋体"/>
          <w:color w:val="000000"/>
          <w:kern w:val="0"/>
          <w:sz w:val="28"/>
          <w:szCs w:val="28"/>
        </w:rPr>
        <w:t xml:space="preserve">  期货公司会员应当对其客户、境外特殊参与者、境外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机构的保证金实行分账管理，为每一客户、境外特殊参与者、境外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机构设立明细账户，按日序时登记核算每一客户、</w:t>
      </w:r>
      <w:r>
        <w:rPr>
          <w:rFonts w:hint="eastAsia" w:ascii="宋体" w:hAnsi="宋体" w:eastAsia="宋体" w:cs="宋体"/>
          <w:b w:val="0"/>
          <w:color w:val="000000"/>
          <w:kern w:val="0"/>
          <w:sz w:val="28"/>
          <w:szCs w:val="28"/>
          <w:highlight w:val="none"/>
          <w:u w:val="none"/>
        </w:rPr>
        <w:t>境外特殊参与者、</w:t>
      </w:r>
      <w:r>
        <w:rPr>
          <w:rFonts w:hint="eastAsia" w:ascii="宋体" w:hAnsi="宋体" w:cs="宋体"/>
          <w:color w:val="000000"/>
          <w:kern w:val="0"/>
          <w:sz w:val="28"/>
          <w:szCs w:val="28"/>
        </w:rPr>
        <w:t>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机构出入金、盈亏、保证金、手续费等。期货公司会员通过保证金专用账户与客户、境外特殊参与者、境外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机构进行期货业务资金往来。</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期货公司</w:t>
      </w:r>
      <w:r>
        <w:rPr>
          <w:rFonts w:ascii="宋体" w:hAnsi="宋体" w:cs="宋体"/>
          <w:color w:val="000000"/>
          <w:kern w:val="0"/>
          <w:sz w:val="28"/>
          <w:szCs w:val="28"/>
        </w:rPr>
        <w:t>会员可以以</w:t>
      </w:r>
      <w:r>
        <w:rPr>
          <w:rFonts w:hint="eastAsia" w:ascii="宋体" w:hAnsi="宋体" w:cs="宋体"/>
          <w:color w:val="000000"/>
          <w:kern w:val="0"/>
          <w:sz w:val="28"/>
          <w:szCs w:val="28"/>
        </w:rPr>
        <w:t>境外特殊经纪参与者、</w:t>
      </w:r>
      <w:r>
        <w:rPr>
          <w:rFonts w:ascii="宋体" w:hAnsi="宋体" w:cs="宋体"/>
          <w:color w:val="000000"/>
          <w:kern w:val="0"/>
          <w:sz w:val="28"/>
          <w:szCs w:val="28"/>
        </w:rPr>
        <w:t>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w:t>
      </w:r>
      <w:r>
        <w:rPr>
          <w:rFonts w:ascii="宋体" w:hAnsi="宋体" w:cs="宋体"/>
          <w:color w:val="000000"/>
          <w:kern w:val="0"/>
          <w:sz w:val="28"/>
          <w:szCs w:val="28"/>
        </w:rPr>
        <w:t>的名义在内部开设综合资金账户，允许其将一个及以上境外客户的资金合并在综合资金账户中。</w:t>
      </w:r>
      <w:r>
        <w:rPr>
          <w:rFonts w:hint="eastAsia" w:ascii="宋体" w:hAnsi="宋体" w:cs="宋体"/>
          <w:color w:val="000000"/>
          <w:kern w:val="0"/>
          <w:sz w:val="28"/>
          <w:szCs w:val="28"/>
        </w:rPr>
        <w:t>期货公司</w:t>
      </w:r>
      <w:r>
        <w:rPr>
          <w:rFonts w:ascii="宋体" w:hAnsi="宋体" w:cs="宋体"/>
          <w:color w:val="000000"/>
          <w:kern w:val="0"/>
          <w:sz w:val="28"/>
          <w:szCs w:val="28"/>
        </w:rPr>
        <w:t>会员对</w:t>
      </w:r>
      <w:r>
        <w:rPr>
          <w:rFonts w:hint="eastAsia" w:ascii="宋体" w:hAnsi="宋体" w:cs="宋体"/>
          <w:color w:val="000000"/>
          <w:kern w:val="0"/>
          <w:sz w:val="28"/>
          <w:szCs w:val="28"/>
        </w:rPr>
        <w:t>境外特殊经纪参与者、</w:t>
      </w:r>
      <w:r>
        <w:rPr>
          <w:rFonts w:ascii="宋体" w:hAnsi="宋体" w:cs="宋体"/>
          <w:color w:val="000000"/>
          <w:kern w:val="0"/>
          <w:sz w:val="28"/>
          <w:szCs w:val="28"/>
        </w:rPr>
        <w:t>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w:t>
      </w:r>
      <w:r>
        <w:rPr>
          <w:rFonts w:ascii="宋体" w:hAnsi="宋体" w:cs="宋体"/>
          <w:color w:val="000000"/>
          <w:kern w:val="0"/>
          <w:sz w:val="28"/>
          <w:szCs w:val="28"/>
        </w:rPr>
        <w:t>通过综合资金账户进行统一结算和风险控制。</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境外特殊经纪参与者、</w:t>
      </w:r>
      <w:r>
        <w:rPr>
          <w:rFonts w:ascii="宋体" w:hAnsi="宋体" w:cs="宋体"/>
          <w:color w:val="000000"/>
          <w:kern w:val="0"/>
          <w:sz w:val="28"/>
          <w:szCs w:val="28"/>
        </w:rPr>
        <w:t>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 xml:space="preserve">机构应当对其每个境外客户所交付的保证金实行分账管理，为每一境外客户设立明细账户，按日序时登记核算每一境外客户出入金、盈亏、保证金、手续费等。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第十八条</w:t>
      </w:r>
      <w:r>
        <w:rPr>
          <w:rFonts w:hint="eastAsia" w:ascii="宋体" w:hAnsi="宋体" w:cs="宋体"/>
          <w:color w:val="000000"/>
          <w:kern w:val="0"/>
          <w:sz w:val="28"/>
          <w:szCs w:val="28"/>
        </w:rPr>
        <w:t xml:space="preserve">  会员指定专用资金账户时，应当通过资金管理系统向交易所进行备案登记。 </w:t>
      </w:r>
    </w:p>
    <w:p>
      <w:pPr>
        <w:widowControl/>
        <w:suppressAutoHyphens/>
        <w:bidi w:val="0"/>
        <w:spacing w:line="360" w:lineRule="auto"/>
        <w:ind w:firstLine="544" w:firstLineChars="200"/>
        <w:rPr>
          <w:rFonts w:ascii="Arial" w:hAnsi="Arial" w:cs="Arial"/>
          <w:color w:val="000000"/>
          <w:kern w:val="0"/>
          <w:szCs w:val="21"/>
        </w:rPr>
      </w:pPr>
      <w:r>
        <w:rPr>
          <w:rFonts w:hint="eastAsia" w:ascii="宋体" w:hAnsi="宋体" w:cs="宋体"/>
          <w:color w:val="000000"/>
          <w:spacing w:val="-4"/>
          <w:kern w:val="0"/>
          <w:sz w:val="28"/>
          <w:szCs w:val="28"/>
        </w:rPr>
        <w:t xml:space="preserve">交易所有权在不通知会员的情况下，通过存管银行从会员的专用资金账户中收取各项应收款项，并且有权随时查询该账户的资金情况。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十九</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会员专用资金账户信息发生变更或注销时，应当通过资金管理系统向交易所变更或解除备案登记。</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第二节  保证金管理</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第二十条</w:t>
      </w:r>
      <w:r>
        <w:rPr>
          <w:rFonts w:hint="eastAsia" w:ascii="宋体" w:hAnsi="宋体" w:cs="宋体"/>
          <w:color w:val="000000"/>
          <w:kern w:val="0"/>
          <w:sz w:val="28"/>
          <w:szCs w:val="28"/>
        </w:rPr>
        <w:t xml:space="preserve">  保证金分为结算准备金和交易保证金。</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人民币作为交易所结算币种。经交易所批准，会员可用外汇资金、标准仓单、中华人民共和国财政部在境内发行的记账式国债等价值稳定、流动性强的资产作为保证金。</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一</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结算准备金是指会员为了交易结算在交易所专用结算账户中预先准备的资金，是未被合约占用的保证金。 </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期货公司会员的结算准备金的最低余额为200万元；非期货公司会员的结算准备金最低余额为50万元。</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宋体" w:hAnsi="宋体" w:cs="宋体"/>
          <w:color w:val="000000"/>
          <w:kern w:val="0"/>
          <w:sz w:val="28"/>
          <w:szCs w:val="28"/>
        </w:rPr>
        <w:t>会员接受境外特殊参与者委托结算、接受境外中介机构委托交易结算的，会员相应的受托结算内部明细账户的结算准备金最低余额由交易所另行通知。</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会员结算准备金最低余额应当以人民币自有资金缴纳。</w:t>
      </w:r>
    </w:p>
    <w:p>
      <w:pPr>
        <w:widowControl/>
        <w:suppressAutoHyphens/>
        <w:bidi w:val="0"/>
        <w:spacing w:line="360" w:lineRule="auto"/>
        <w:ind w:firstLine="560" w:firstLineChars="200"/>
        <w:rPr>
          <w:rFonts w:hint="eastAsia" w:ascii="宋体" w:hAnsi="宋体" w:cs="宋体"/>
          <w:color w:val="000000"/>
          <w:kern w:val="0"/>
          <w:sz w:val="28"/>
          <w:szCs w:val="28"/>
          <w:lang w:val="en-US" w:eastAsia="zh-CN"/>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二</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w:t>
      </w:r>
      <w:r>
        <w:rPr>
          <w:rFonts w:hint="eastAsia" w:ascii="宋体" w:hAnsi="宋体" w:cs="宋体"/>
          <w:color w:val="000000"/>
          <w:kern w:val="0"/>
          <w:sz w:val="28"/>
          <w:szCs w:val="28"/>
          <w:lang w:val="en-US" w:eastAsia="zh-CN"/>
        </w:rPr>
        <w:t>交易所根据会员每日交易保证金和结算准备金余额中的货币资金部分，在每年3月、6月、9月、12月下旬存管银行向交易所支付利息后，将利息转入会员结算准备金。具体执行利率由交易所确定、调整并公布。</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三</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交易保证金是指会员在交易所专用结算账户中确保合约履行的资金，是已被合约占用的保证金。买卖双方成交后，交易所按持仓合约价值的规定比率或交易所规定的其他方式收取交易保证金。</w:t>
      </w:r>
    </w:p>
    <w:p>
      <w:pPr>
        <w:widowControl/>
        <w:suppressAutoHyphens/>
        <w:bidi w:val="0"/>
        <w:spacing w:line="360" w:lineRule="auto"/>
        <w:ind w:firstLine="560" w:firstLineChars="200"/>
        <w:jc w:val="left"/>
        <w:rPr>
          <w:rFonts w:hint="eastAsia" w:ascii="宋体" w:hAnsi="宋体" w:cs="宋体"/>
          <w:color w:val="000000"/>
          <w:kern w:val="0"/>
          <w:sz w:val="28"/>
          <w:szCs w:val="28"/>
        </w:rPr>
      </w:pPr>
      <w:r>
        <w:rPr>
          <w:rFonts w:hint="eastAsia" w:ascii="宋体" w:hAnsi="宋体" w:cs="宋体"/>
          <w:color w:val="000000"/>
          <w:kern w:val="0"/>
          <w:sz w:val="28"/>
          <w:szCs w:val="28"/>
        </w:rPr>
        <w:t>在下列情况下，交易所可以单边收取交易保证金：</w:t>
      </w:r>
    </w:p>
    <w:p>
      <w:pPr>
        <w:widowControl/>
        <w:suppressAutoHyphens/>
        <w:bidi w:val="0"/>
        <w:spacing w:line="360" w:lineRule="auto"/>
        <w:ind w:firstLine="560" w:firstLineChars="200"/>
        <w:jc w:val="left"/>
        <w:rPr>
          <w:rFonts w:hint="eastAsia" w:ascii="宋体" w:hAnsi="宋体" w:cs="宋体"/>
          <w:color w:val="000000"/>
          <w:kern w:val="0"/>
          <w:sz w:val="28"/>
          <w:szCs w:val="28"/>
        </w:rPr>
      </w:pPr>
      <w:r>
        <w:rPr>
          <w:rFonts w:hint="eastAsia" w:ascii="宋体" w:hAnsi="宋体" w:cs="宋体"/>
          <w:color w:val="000000"/>
          <w:kern w:val="0"/>
          <w:sz w:val="28"/>
          <w:szCs w:val="28"/>
        </w:rPr>
        <w:t>（一）同一客户在同一会员、境外特殊经纪参与者处的同一合约月份双向持仓，按照保证金金额较大的一边收取；</w:t>
      </w:r>
    </w:p>
    <w:p>
      <w:pPr>
        <w:widowControl/>
        <w:suppressAutoHyphens/>
        <w:bidi w:val="0"/>
        <w:spacing w:line="360" w:lineRule="auto"/>
        <w:ind w:firstLine="560" w:firstLineChars="200"/>
        <w:jc w:val="left"/>
        <w:rPr>
          <w:rFonts w:hint="eastAsia" w:ascii="宋体" w:hAnsi="宋体" w:cs="宋体"/>
          <w:color w:val="000000"/>
          <w:kern w:val="0"/>
          <w:sz w:val="28"/>
          <w:szCs w:val="28"/>
        </w:rPr>
      </w:pPr>
      <w:r>
        <w:rPr>
          <w:rFonts w:hint="eastAsia" w:ascii="宋体" w:hAnsi="宋体" w:cs="宋体"/>
          <w:color w:val="000000"/>
          <w:kern w:val="0"/>
          <w:sz w:val="28"/>
          <w:szCs w:val="28"/>
        </w:rPr>
        <w:t>（二）非期货公司会员、境外特殊非经纪参与者同一合约月份的双向持仓，按照保证金金额较大的一边收取；</w:t>
      </w:r>
    </w:p>
    <w:p>
      <w:pPr>
        <w:widowControl/>
        <w:suppressAutoHyphens/>
        <w:bidi w:val="0"/>
        <w:spacing w:line="360" w:lineRule="auto"/>
        <w:ind w:firstLine="560" w:firstLineChars="200"/>
        <w:jc w:val="left"/>
        <w:rPr>
          <w:rFonts w:hint="eastAsia" w:ascii="宋体" w:hAnsi="宋体" w:cs="宋体"/>
          <w:color w:val="000000"/>
          <w:kern w:val="0"/>
          <w:sz w:val="28"/>
          <w:szCs w:val="28"/>
        </w:rPr>
      </w:pPr>
      <w:r>
        <w:rPr>
          <w:rFonts w:hint="eastAsia" w:ascii="宋体" w:hAnsi="宋体" w:cs="宋体"/>
          <w:color w:val="000000"/>
          <w:kern w:val="0"/>
          <w:sz w:val="28"/>
          <w:szCs w:val="28"/>
        </w:rPr>
        <w:t>（三）交易所认为必要的其他情况。</w:t>
      </w:r>
    </w:p>
    <w:p>
      <w:pPr>
        <w:widowControl/>
        <w:suppressAutoHyphens/>
        <w:bidi w:val="0"/>
        <w:spacing w:line="360" w:lineRule="auto"/>
        <w:ind w:firstLine="562"/>
        <w:rPr>
          <w:rFonts w:ascii="Arial" w:hAnsi="Arial" w:cs="Arial"/>
          <w:color w:val="000000"/>
          <w:kern w:val="0"/>
          <w:szCs w:val="21"/>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四</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各品种期货合约的交易保证金比例及不同阶段的交易保证金比例按交易所有关规定执行。</w:t>
      </w:r>
    </w:p>
    <w:p>
      <w:pPr>
        <w:widowControl/>
        <w:suppressAutoHyphens/>
        <w:bidi w:val="0"/>
        <w:spacing w:line="360" w:lineRule="auto"/>
        <w:ind w:firstLine="562" w:firstLineChars="0"/>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 xml:space="preserve">第二十五条 </w:t>
      </w:r>
      <w:r>
        <w:rPr>
          <w:rFonts w:hint="eastAsia" w:ascii="宋体" w:hAnsi="宋体" w:eastAsia="宋体" w:cs="宋体"/>
          <w:color w:val="000000"/>
          <w:kern w:val="0"/>
          <w:sz w:val="28"/>
          <w:szCs w:val="28"/>
        </w:rPr>
        <w:t>持有标准仓单的卖方会员向交易所提交折抵头寸申请并征得同意后，与其标准仓单所示数量相同的卖持仓（不含按照本办法规定已经取得交易保证金优惠的持仓）交易保证金在结算时不再收取。会员向交易所提交申请之前须取得结算交割委托人授权。最后交易日闭市前，需要配对交割的仓单处于折抵状态的，卖方会员应当根据结算交割委托人的交割意向解除其相应的仓单折抵，并向交易所提交拟集中交割的仓单数量，方可释放卖方保证金。</w:t>
      </w:r>
    </w:p>
    <w:p>
      <w:pPr>
        <w:widowControl/>
        <w:suppressAutoHyphens/>
        <w:bidi w:val="0"/>
        <w:spacing w:line="360" w:lineRule="auto"/>
        <w:ind w:firstLine="562" w:firstLineChars="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夜盘交易小节，交易所不受理标准仓单折抵等业务。</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六</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易所结合成交数量、成交金额、开仓数量、平仓数量、持仓数量、申报数量、撤单数量、申报撤单比等因素制定交易手续费的计收标准。交易所可以根据市场情况，调整部分或者全部合约的交易手续费计收标准。</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宋体" w:hAnsi="宋体" w:cs="宋体"/>
          <w:color w:val="000000"/>
          <w:kern w:val="0"/>
          <w:sz w:val="28"/>
          <w:szCs w:val="28"/>
        </w:rPr>
        <w:t>交易所可以对会员应缴纳的交易手续费进行减收，减收方案由交易所另行制定并根据市场情况进行调整。会员应当根据法律、法规、规章以及交易所有关规定，规范使用交易所减收的交易手续费，不得对交易所认定的高频交易者进行手续费减收</w:t>
      </w:r>
      <w:r>
        <w:rPr>
          <w:rFonts w:hint="eastAsia" w:ascii="宋体" w:hAnsi="宋体" w:cs="宋体"/>
          <w:color w:val="000000"/>
          <w:kern w:val="0"/>
          <w:sz w:val="28"/>
          <w:szCs w:val="28"/>
          <w:lang w:eastAsia="zh-CN"/>
        </w:rPr>
        <w:t>。</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七</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期货公司会员向</w:t>
      </w:r>
      <w:r>
        <w:rPr>
          <w:rFonts w:hint="eastAsia" w:ascii="宋体" w:hAnsi="宋体" w:eastAsia="宋体" w:cs="宋体"/>
          <w:b w:val="0"/>
          <w:color w:val="000000"/>
          <w:kern w:val="0"/>
          <w:sz w:val="28"/>
          <w:szCs w:val="28"/>
          <w:highlight w:val="none"/>
          <w:u w:val="none"/>
        </w:rPr>
        <w:t>结算交割委托人</w:t>
      </w:r>
      <w:r>
        <w:rPr>
          <w:rFonts w:hint="eastAsia" w:ascii="宋体" w:hAnsi="宋体" w:cs="宋体"/>
          <w:color w:val="000000"/>
          <w:kern w:val="0"/>
          <w:sz w:val="28"/>
          <w:szCs w:val="28"/>
        </w:rPr>
        <w:t>收取的保证金属于</w:t>
      </w:r>
      <w:r>
        <w:rPr>
          <w:rFonts w:hint="eastAsia" w:ascii="宋体" w:hAnsi="宋体" w:eastAsia="宋体" w:cs="宋体"/>
          <w:b w:val="0"/>
          <w:color w:val="000000"/>
          <w:kern w:val="0"/>
          <w:sz w:val="28"/>
          <w:szCs w:val="28"/>
          <w:u w:val="none"/>
        </w:rPr>
        <w:t>结算交割委托人</w:t>
      </w:r>
      <w:r>
        <w:rPr>
          <w:rFonts w:hint="eastAsia" w:ascii="宋体" w:hAnsi="宋体" w:cs="宋体"/>
          <w:color w:val="000000"/>
          <w:kern w:val="0"/>
          <w:sz w:val="28"/>
          <w:szCs w:val="28"/>
        </w:rPr>
        <w:t>所有，禁止挪作他用。</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期货公司会员向结算交割委托人收取的交易保证金不得低于交易所向会员收取的交易保证金。 </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第四章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交易结算</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第一节  当日结算</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二十九</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交易所实行当日无负债结算制度。</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每日交易结束后</w:t>
      </w:r>
      <w:r>
        <w:rPr>
          <w:rFonts w:hint="eastAsia" w:ascii="宋体" w:hAnsi="Times New Roman" w:cs="宋体"/>
          <w:color w:val="000000"/>
          <w:kern w:val="0"/>
          <w:sz w:val="28"/>
          <w:szCs w:val="28"/>
        </w:rPr>
        <w:t>,</w:t>
      </w:r>
      <w:r>
        <w:rPr>
          <w:rFonts w:hint="eastAsia" w:ascii="宋体" w:hAnsi="宋体" w:cs="宋体"/>
          <w:color w:val="000000"/>
          <w:kern w:val="0"/>
          <w:sz w:val="28"/>
          <w:szCs w:val="28"/>
        </w:rPr>
        <w:t xml:space="preserve">交易所按当日结算价结算所有合约的盈亏、交易保证金，收取手续费等费用，对应收应付的款项同时划转，相应增加或者减少会员的结算准备金。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当日有成交价格的期货合约，其当日结算价是指该合约当日成交价格按照成交量的加权平均价。</w:t>
      </w:r>
      <w:r>
        <w:rPr>
          <w:rFonts w:hint="eastAsia" w:ascii="宋体" w:hAnsi="宋体" w:cs="宋体"/>
          <w:color w:val="000000"/>
          <w:kern w:val="0"/>
          <w:sz w:val="28"/>
          <w:szCs w:val="28"/>
          <w:highlight w:val="none"/>
        </w:rPr>
        <w:t>违法违规交易行为影响当日结算价格公平产生的，交易所有权消除违法违规交易行为的不利影响。</w:t>
      </w:r>
      <w:r>
        <w:rPr>
          <w:rFonts w:hint="eastAsia" w:ascii="宋体" w:hAnsi="宋体" w:cs="宋体"/>
          <w:color w:val="000000"/>
          <w:kern w:val="0"/>
          <w:sz w:val="28"/>
          <w:szCs w:val="28"/>
        </w:rPr>
        <w:t>当日无成交价格的期货合约，其当日结算价按照下列方法确定：</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（一）当日收盘时交易所计算机系统中该合约有买、卖双方报价的，按照最优的买方报价、卖方报价和该合约上一交易日的结算价格三者中居中的一个价格为该无成交合约的当日结算价。</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（二）当日该合约收盘前连续五分钟报价保持停板价格的，则以该停板价格为该无成交合约的当日结算价。</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（三）除上述第（一）、（二）项之外的其他情况，该无成交价格期货合约的当日结算价按照下列方法确定：</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1、当日无成交合约其当日前一有成交的最近月份合约结算价的涨跌幅度（%）小于等于当日无成交合约当日涨跌停板的，则当日无成交合约结算价＝该合约上一交易日的结算价</w:t>
      </w:r>
      <w:r>
        <w:rPr>
          <w:rFonts w:hint="eastAsia" w:ascii="宋体" w:hAnsi="Times New Roman" w:cs="宋体"/>
          <w:color w:val="000000"/>
          <w:kern w:val="0"/>
          <w:sz w:val="28"/>
          <w:szCs w:val="28"/>
        </w:rPr>
        <w:t>×</w:t>
      </w:r>
      <w:r>
        <w:rPr>
          <w:rFonts w:hint="eastAsia" w:ascii="宋体" w:hAnsi="宋体" w:cs="宋体"/>
          <w:color w:val="000000"/>
          <w:kern w:val="0"/>
          <w:sz w:val="28"/>
          <w:szCs w:val="28"/>
        </w:rPr>
        <w:t>（1±该合约当日前一有成交的最近月份合约结算价的涨跌幅度）；当日无成交合约前面所有月份合约不存在或没有成交的，则取该品种最活跃月份合约为参照，结算价的确定方法同上。</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2、当日无成交合约其当日前一有成交的最近月份合约结算价的涨跌幅度（%）大于当日无成交合约当日的涨跌停板，则当日无成交合约结算价＝该合约上一交易日的结算价×（1±该合约的当日涨跌停板）；当日无成交合约前面所有月份合约不存在或没有成交的，则取该品种最活跃月份合约为参照，结算价的确定方法同上。</w:t>
      </w:r>
    </w:p>
    <w:p>
      <w:pPr>
        <w:suppressAutoHyphens/>
        <w:bidi w:val="0"/>
        <w:spacing w:line="360" w:lineRule="auto"/>
        <w:ind w:firstLine="560" w:firstLineChars="200"/>
        <w:rPr>
          <w:rFonts w:ascii="宋体" w:hAnsi="宋体" w:cs="宋体"/>
          <w:color w:val="000000"/>
          <w:kern w:val="0"/>
          <w:sz w:val="28"/>
          <w:szCs w:val="28"/>
          <w:highlight w:val="none"/>
        </w:rPr>
      </w:pPr>
      <w:r>
        <w:rPr>
          <w:rFonts w:hint="eastAsia" w:ascii="宋体" w:hAnsi="宋体" w:cs="宋体"/>
          <w:color w:val="000000"/>
          <w:kern w:val="0"/>
          <w:sz w:val="28"/>
          <w:szCs w:val="28"/>
          <w:highlight w:val="none"/>
        </w:rPr>
        <w:t>3、当日无成交合约前面所有月份合约当日均不存在或没有成交，并且最活跃月份合约当日也没有成交的，则当日无成交合约结算价＝上一交易日该合约的结算价。当上述方法确定的结算价明显偏离公允价格的，交易所可调整结算价，同时价幅参照新上市期货合约管理。</w:t>
      </w:r>
    </w:p>
    <w:p>
      <w:pPr>
        <w:suppressAutoHyphens/>
        <w:bidi w:val="0"/>
        <w:spacing w:line="360" w:lineRule="auto"/>
        <w:ind w:firstLine="560" w:firstLineChars="200"/>
        <w:rPr>
          <w:rFonts w:ascii="宋体" w:hAnsi="宋体" w:cs="宋体"/>
          <w:color w:val="000000"/>
          <w:kern w:val="0"/>
          <w:sz w:val="28"/>
          <w:szCs w:val="28"/>
          <w:highlight w:val="none"/>
        </w:rPr>
      </w:pPr>
      <w:r>
        <w:rPr>
          <w:rFonts w:hint="eastAsia" w:ascii="宋体" w:hAnsi="宋体" w:cs="宋体"/>
          <w:color w:val="000000"/>
          <w:kern w:val="0"/>
          <w:sz w:val="28"/>
          <w:szCs w:val="28"/>
          <w:highlight w:val="none"/>
        </w:rPr>
        <w:t>最活跃月份合约是指当日“成交量×交易单位”的值最大的合约,若存在两个及以上合约“成交量×交易单位”的值一致的情况，则取其中最近到期月份合约为最活跃月份合约。</w:t>
      </w:r>
    </w:p>
    <w:p>
      <w:pPr>
        <w:suppressAutoHyphens/>
        <w:bidi w:val="0"/>
        <w:spacing w:line="360" w:lineRule="auto"/>
        <w:ind w:firstLine="560" w:firstLineChars="200"/>
        <w:rPr>
          <w:rFonts w:ascii="宋体" w:hAnsi="宋体" w:cs="宋体"/>
          <w:color w:val="000000"/>
          <w:kern w:val="0"/>
          <w:sz w:val="28"/>
          <w:szCs w:val="28"/>
          <w:highlight w:val="none"/>
        </w:rPr>
      </w:pPr>
      <w:r>
        <w:rPr>
          <w:rFonts w:hint="eastAsia" w:ascii="宋体" w:hAnsi="宋体" w:cs="宋体"/>
          <w:color w:val="000000"/>
          <w:kern w:val="0"/>
          <w:sz w:val="28"/>
          <w:szCs w:val="28"/>
          <w:highlight w:val="none"/>
        </w:rPr>
        <w:t>新上市合约连续三个交易日无成交，交易所可另外调整结算价。</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三十</w:t>
      </w:r>
      <w:r>
        <w:rPr>
          <w:rFonts w:hint="eastAsia" w:ascii="黑体" w:hAnsi="宋体" w:eastAsia="黑体" w:cs="黑体"/>
          <w:color w:val="000000"/>
          <w:kern w:val="0"/>
          <w:sz w:val="28"/>
          <w:szCs w:val="28"/>
        </w:rPr>
        <w:t xml:space="preserve">条 </w:t>
      </w:r>
      <w:r>
        <w:rPr>
          <w:rFonts w:hint="eastAsia" w:ascii="宋体" w:hAnsi="宋体" w:cs="宋体"/>
          <w:color w:val="000000"/>
          <w:kern w:val="0"/>
          <w:sz w:val="28"/>
          <w:szCs w:val="28"/>
        </w:rPr>
        <w:t xml:space="preserve"> 交易所结算部门根据会员的平仓、持仓情况及各期货合约的当日结算价计算各个会员的当日盈亏，当日盈亏 = 平仓盈亏 + 持仓盈亏 + 交割差额。</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(一) 结算部门根据会员平仓合约计算会员平仓盈亏。平仓盈亏的计算公式如下： </w:t>
      </w:r>
    </w:p>
    <w:p>
      <w:pPr>
        <w:widowControl/>
        <w:suppressAutoHyphens/>
        <w:bidi w:val="0"/>
        <w:spacing w:line="360" w:lineRule="auto"/>
        <w:ind w:firstLine="520" w:firstLineChars="200"/>
        <w:rPr>
          <w:rFonts w:ascii="Arial" w:hAnsi="Arial" w:cs="Arial"/>
          <w:color w:val="000000"/>
          <w:kern w:val="0"/>
          <w:szCs w:val="21"/>
        </w:rPr>
      </w:pPr>
      <w:r>
        <w:rPr>
          <w:rFonts w:hint="eastAsia" w:ascii="宋体" w:hAnsi="宋体" w:cs="宋体"/>
          <w:color w:val="000000"/>
          <w:spacing w:val="-10"/>
          <w:kern w:val="0"/>
          <w:sz w:val="28"/>
          <w:szCs w:val="28"/>
        </w:rPr>
        <w:t xml:space="preserve">平仓盈亏 = 平历史仓盈亏 + 平当日仓盈亏 </w:t>
      </w:r>
    </w:p>
    <w:p>
      <w:pPr>
        <w:widowControl/>
        <w:suppressAutoHyphens/>
        <w:bidi w:val="0"/>
        <w:spacing w:line="360" w:lineRule="auto"/>
        <w:ind w:firstLine="520" w:firstLineChars="200"/>
        <w:rPr>
          <w:rFonts w:ascii="Arial" w:hAnsi="Arial" w:cs="Arial"/>
          <w:color w:val="000000"/>
          <w:kern w:val="0"/>
          <w:szCs w:val="21"/>
        </w:rPr>
      </w:pPr>
      <w:r>
        <w:rPr>
          <w:rFonts w:hint="eastAsia" w:ascii="宋体" w:hAnsi="宋体" w:cs="宋体"/>
          <w:color w:val="000000"/>
          <w:spacing w:val="-10"/>
          <w:kern w:val="0"/>
          <w:sz w:val="28"/>
          <w:szCs w:val="28"/>
        </w:rPr>
        <w:t xml:space="preserve">平历史仓盈亏 = Σ [( 卖出平仓价－上一交易日结算价 ) ×卖出平仓量 ]+ Σ [( 上一交易日结算价－买入平仓价 ) ×买入平仓量 ] </w:t>
      </w:r>
    </w:p>
    <w:p>
      <w:pPr>
        <w:widowControl/>
        <w:suppressAutoHyphens/>
        <w:bidi w:val="0"/>
        <w:spacing w:line="360" w:lineRule="auto"/>
        <w:ind w:firstLine="520" w:firstLineChars="200"/>
        <w:rPr>
          <w:rFonts w:ascii="Arial" w:hAnsi="Arial" w:cs="Arial"/>
          <w:color w:val="000000"/>
          <w:kern w:val="0"/>
          <w:szCs w:val="21"/>
        </w:rPr>
      </w:pPr>
      <w:r>
        <w:rPr>
          <w:rFonts w:hint="eastAsia" w:ascii="宋体" w:hAnsi="宋体" w:cs="宋体"/>
          <w:color w:val="000000"/>
          <w:spacing w:val="-10"/>
          <w:kern w:val="0"/>
          <w:sz w:val="28"/>
          <w:szCs w:val="28"/>
        </w:rPr>
        <w:t xml:space="preserve">平当日仓盈亏 = Σ [( 当日卖出平仓价－当日买入开仓价 ) ×卖出平仓量 ]+ Σ [( 当日卖出开仓价－当日买入平仓价 ) ×买入平仓量 ]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（二） 结算部门根据会员持仓合约和当日结算价计算持仓盈亏。持仓盈亏的计算公式如下：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持仓盈亏 = 历史持仓盈亏 + 当日开仓持仓盈亏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历史持仓盈亏 = Σ [( 上一交易日结算价－当日结算价 ) ×卖出历史持仓量 ]+ Σ [( 当日结算价－上一交易日结算价 ) ×买入历史持仓量 ]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当日开仓持仓盈亏 = Σ [( 卖出开仓价－当日结算价 ) ×卖出开仓量 ]+ Σ [( 当日结算价－买入开仓价 ) ×买入开仓量 ]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（三） 结算部门根据会员交割配对合约、当日结算价和交割结算价计算交割差额。交割差额的计算公式如下：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交割差额 = Σ [( 当日结算价－交割结算价 ) ×卖出配对量 ]+ Σ [( 交割结算价－当日结算价 ) ×买入配对量 ]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一</w:t>
      </w:r>
      <w:r>
        <w:rPr>
          <w:rFonts w:hint="eastAsia" w:ascii="黑体" w:hAnsi="宋体" w:eastAsia="黑体" w:cs="黑体"/>
          <w:color w:val="000000"/>
          <w:kern w:val="0"/>
          <w:sz w:val="28"/>
          <w:szCs w:val="28"/>
        </w:rPr>
        <w:t xml:space="preserve">条 </w:t>
      </w:r>
      <w:r>
        <w:rPr>
          <w:rFonts w:hint="eastAsia" w:ascii="宋体" w:hAnsi="宋体" w:cs="宋体"/>
          <w:color w:val="000000"/>
          <w:kern w:val="0"/>
          <w:sz w:val="28"/>
          <w:szCs w:val="28"/>
        </w:rPr>
        <w:t xml:space="preserve">当日盈亏在每日结算时进行划转，当日盈利划入会员结算准备金，当日亏损从会员结算准备金中扣划。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当日结算时的交易保证金超过上一交易日结算时的交易保证金部分从会员结算准备金中扣划。当日结算时的交易保证金低于上一交易日结算时的交易保证金部分划入会员结算准备金。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手续费等各项费用从会员的结算准备金中扣划。盈亏、费用、货款、税金和期权权利金等款项应当以人民币货币资金支付。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二</w:t>
      </w:r>
      <w:r>
        <w:rPr>
          <w:rFonts w:hint="eastAsia" w:ascii="黑体" w:hAnsi="宋体" w:eastAsia="黑体" w:cs="黑体"/>
          <w:color w:val="000000"/>
          <w:kern w:val="0"/>
          <w:sz w:val="28"/>
          <w:szCs w:val="28"/>
        </w:rPr>
        <w:t xml:space="preserve">条 </w:t>
      </w:r>
      <w:r>
        <w:rPr>
          <w:rFonts w:hint="eastAsia" w:ascii="宋体" w:hAnsi="宋体" w:cs="宋体"/>
          <w:color w:val="000000"/>
          <w:kern w:val="0"/>
          <w:sz w:val="28"/>
          <w:szCs w:val="28"/>
        </w:rPr>
        <w:t xml:space="preserve"> 结算准备金余额的具体计算公式如下： </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当日结算准备金余额 = 上一交易日结算准备金 + 上一交易日交易保证金－当日交易保证金 + 当日资产作为保证金的实际可用金额－上一交易日资产作为保证金的实际可用金额 + 当日盈亏+ 当日期权权利金收支+入金－出金－手续费等。</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资产作为保证金的实际可用金额的具体计算方法见本办法第</w:t>
      </w:r>
      <w:r>
        <w:rPr>
          <w:rFonts w:hint="eastAsia" w:ascii="宋体" w:hAnsi="宋体" w:cs="宋体"/>
          <w:color w:val="000000"/>
          <w:spacing w:val="-6"/>
          <w:kern w:val="0"/>
          <w:sz w:val="28"/>
          <w:szCs w:val="28"/>
          <w:lang w:eastAsia="zh-CN"/>
        </w:rPr>
        <w:t>七</w:t>
      </w:r>
      <w:r>
        <w:rPr>
          <w:rFonts w:hint="eastAsia" w:ascii="宋体" w:hAnsi="宋体" w:cs="宋体"/>
          <w:color w:val="000000"/>
          <w:spacing w:val="-6"/>
          <w:kern w:val="0"/>
          <w:sz w:val="28"/>
          <w:szCs w:val="28"/>
        </w:rPr>
        <w:t>章的有关规定。</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三</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当日结算完毕后，交易所通过会员服务系统向会员发送结算结果。会员任一内部明细账户的结算准备金低于最低余额时，该结算结果即视为交易所向会员发出的追加保证金通知。</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交易所发出追加保证金的通知后，可以通过存管银行从会员的专用资金账户中扣划人民币或用外汇资金强制换汇方式补足。</w:t>
      </w:r>
    </w:p>
    <w:p>
      <w:pPr>
        <w:widowControl/>
        <w:suppressAutoHyphens/>
        <w:bidi w:val="0"/>
        <w:spacing w:line="360" w:lineRule="auto"/>
        <w:ind w:firstLine="544" w:firstLineChars="200"/>
        <w:rPr>
          <w:rFonts w:hint="eastAsia" w:ascii="宋体" w:hAnsi="宋体" w:cs="宋体"/>
          <w:color w:val="000000"/>
          <w:spacing w:val="-4"/>
          <w:kern w:val="0"/>
          <w:sz w:val="28"/>
          <w:szCs w:val="28"/>
        </w:rPr>
      </w:pPr>
      <w:r>
        <w:rPr>
          <w:rFonts w:hint="eastAsia" w:ascii="宋体" w:hAnsi="宋体" w:cs="宋体"/>
          <w:color w:val="000000"/>
          <w:spacing w:val="-4"/>
          <w:kern w:val="0"/>
          <w:sz w:val="28"/>
          <w:szCs w:val="28"/>
        </w:rPr>
        <w:t>会员必须在下一个交易日开市前补足至结算准备金最低余额。未补足的，按照下列方法处理：</w:t>
      </w:r>
    </w:p>
    <w:p>
      <w:pPr>
        <w:widowControl/>
        <w:suppressAutoHyphens/>
        <w:bidi w:val="0"/>
        <w:spacing w:line="360" w:lineRule="auto"/>
        <w:ind w:firstLine="544" w:firstLineChars="200"/>
        <w:rPr>
          <w:rFonts w:hint="eastAsia" w:ascii="宋体" w:hAnsi="宋体" w:cs="宋体"/>
          <w:color w:val="000000"/>
          <w:spacing w:val="-4"/>
          <w:kern w:val="0"/>
          <w:sz w:val="28"/>
          <w:szCs w:val="28"/>
        </w:rPr>
      </w:pPr>
      <w:r>
        <w:rPr>
          <w:rFonts w:hint="eastAsia" w:ascii="宋体" w:hAnsi="宋体" w:cs="宋体"/>
          <w:color w:val="000000"/>
          <w:spacing w:val="-4"/>
          <w:kern w:val="0"/>
          <w:sz w:val="28"/>
          <w:szCs w:val="28"/>
        </w:rPr>
        <w:t>（一）会员在交易所的任一内部明细账户的结算准备金余额大于或等于零且低于结算准备金最低余额的，该账户对应的会员或者境外特殊参与者不得开新仓；</w:t>
      </w:r>
    </w:p>
    <w:p>
      <w:pPr>
        <w:widowControl/>
        <w:suppressAutoHyphens/>
        <w:bidi w:val="0"/>
        <w:spacing w:line="360" w:lineRule="auto"/>
        <w:ind w:firstLine="544" w:firstLineChars="200"/>
        <w:rPr>
          <w:rFonts w:hint="eastAsia" w:ascii="宋体" w:hAnsi="宋体" w:cs="宋体"/>
          <w:color w:val="000000"/>
          <w:spacing w:val="-4"/>
          <w:kern w:val="0"/>
          <w:sz w:val="28"/>
          <w:szCs w:val="28"/>
        </w:rPr>
      </w:pPr>
      <w:r>
        <w:rPr>
          <w:rFonts w:hint="eastAsia" w:ascii="宋体" w:hAnsi="宋体" w:cs="宋体"/>
          <w:color w:val="000000"/>
          <w:spacing w:val="-4"/>
          <w:kern w:val="0"/>
          <w:sz w:val="28"/>
          <w:szCs w:val="28"/>
        </w:rPr>
        <w:t>（二）会员在交易所的任一内部明细账户的结算准备金余额小于零的，交易所将按有关规定对该会员强行平仓。</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交易所可根据市场风险和保证金变动情况，在交易期间发出追加保证金通知，会员须在通知规定的时间内补足保证金。会员在交易所的任一内部明细账户的结算准备金未按时补足且余额小于零的，交易所有权对该会员强行平仓。 </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第二节  出入金</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四</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会员入金可通过资金管理系统或交易所认可的其他转账方式向交易所专用结算账户划入资金。会员划入的资金，经交易所确认到账后，及时增加会员的保证金。</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五</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kern w:val="0"/>
          <w:sz w:val="28"/>
          <w:szCs w:val="28"/>
        </w:rPr>
        <w:t>会员出金须在每交易日上午8：30至下午3时之间，通过资金管理系统提出申请，经交易所审核后办理；特殊情况下无法使用资金管理系统出金的，会员应向交易所提交加盖公章的委托出金授权书或采用交易所认可的其他方式办理。交易所可根据业务发展需要，变更会员出金方式或流程。</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夜盘交易小节，交易所不受理出金申请、不办理出金业务。</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六</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会员的出金标准为：</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（一）</w:t>
      </w:r>
      <w:r>
        <w:rPr>
          <w:rFonts w:ascii="宋体" w:hAnsi="宋体" w:cs="宋体"/>
          <w:color w:val="000000"/>
          <w:spacing w:val="-6"/>
          <w:kern w:val="0"/>
          <w:sz w:val="28"/>
          <w:szCs w:val="28"/>
        </w:rPr>
        <w:t>当交易保证金实有货币资金部分大于等于资产作为保证金金额</w:t>
      </w:r>
      <w:r>
        <w:rPr>
          <w:rFonts w:hint="eastAsia" w:ascii="宋体" w:hAnsi="宋体" w:cs="宋体"/>
          <w:color w:val="000000"/>
          <w:spacing w:val="-6"/>
          <w:kern w:val="0"/>
          <w:sz w:val="28"/>
          <w:szCs w:val="28"/>
        </w:rPr>
        <w:t>（外汇作为保证金金额除外）</w:t>
      </w:r>
      <w:r>
        <w:rPr>
          <w:rFonts w:ascii="宋体" w:hAnsi="宋体" w:cs="宋体"/>
          <w:color w:val="000000"/>
          <w:spacing w:val="-6"/>
          <w:kern w:val="0"/>
          <w:sz w:val="28"/>
          <w:szCs w:val="28"/>
        </w:rPr>
        <w:t>的25%时，可出金额＝结算准备金－结算准备金最低余额</w:t>
      </w:r>
      <w:r>
        <w:rPr>
          <w:rFonts w:hint="eastAsia" w:ascii="宋体" w:hAnsi="宋体" w:cs="宋体"/>
          <w:color w:val="000000"/>
          <w:spacing w:val="-6"/>
          <w:kern w:val="0"/>
          <w:sz w:val="28"/>
          <w:szCs w:val="28"/>
        </w:rPr>
        <w:t>；</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（二）</w:t>
      </w:r>
      <w:r>
        <w:rPr>
          <w:rFonts w:ascii="宋体" w:hAnsi="宋体" w:cs="宋体"/>
          <w:color w:val="000000"/>
          <w:spacing w:val="-6"/>
          <w:kern w:val="0"/>
          <w:sz w:val="28"/>
          <w:szCs w:val="28"/>
        </w:rPr>
        <w:t>当交易保证金实有货币资金部分小于资产作为保证金金额</w:t>
      </w:r>
      <w:r>
        <w:rPr>
          <w:rFonts w:hint="eastAsia" w:ascii="宋体" w:hAnsi="宋体" w:cs="宋体"/>
          <w:color w:val="000000"/>
          <w:spacing w:val="-6"/>
          <w:kern w:val="0"/>
          <w:sz w:val="28"/>
          <w:szCs w:val="28"/>
        </w:rPr>
        <w:t>（外汇作为保证金金额除外）</w:t>
      </w:r>
      <w:r>
        <w:rPr>
          <w:rFonts w:ascii="宋体" w:hAnsi="宋体" w:cs="宋体"/>
          <w:color w:val="000000"/>
          <w:spacing w:val="-6"/>
          <w:kern w:val="0"/>
          <w:sz w:val="28"/>
          <w:szCs w:val="28"/>
        </w:rPr>
        <w:t>的25%时，可出金额＝结算准备金实有货币资金部分－</w:t>
      </w:r>
      <w:r>
        <w:rPr>
          <w:rFonts w:hint="eastAsia" w:ascii="宋体" w:hAnsi="宋体" w:cs="宋体"/>
          <w:color w:val="000000"/>
          <w:spacing w:val="-6"/>
          <w:kern w:val="0"/>
          <w:sz w:val="28"/>
          <w:szCs w:val="28"/>
        </w:rPr>
        <w:t>[</w:t>
      </w:r>
      <w:r>
        <w:rPr>
          <w:rFonts w:ascii="宋体" w:hAnsi="宋体" w:cs="宋体"/>
          <w:color w:val="000000"/>
          <w:spacing w:val="-6"/>
          <w:kern w:val="0"/>
          <w:sz w:val="28"/>
          <w:szCs w:val="28"/>
        </w:rPr>
        <w:t>资产作为保证金金额</w:t>
      </w:r>
      <w:r>
        <w:rPr>
          <w:rFonts w:hint="eastAsia" w:ascii="宋体" w:hAnsi="宋体" w:cs="宋体"/>
          <w:color w:val="000000"/>
          <w:spacing w:val="-6"/>
          <w:kern w:val="0"/>
          <w:sz w:val="28"/>
          <w:szCs w:val="28"/>
        </w:rPr>
        <w:t>（外汇作为保证金金额除外）</w:t>
      </w:r>
      <w:r>
        <w:rPr>
          <w:rFonts w:ascii="宋体" w:hAnsi="宋体" w:cs="宋体"/>
          <w:color w:val="000000"/>
          <w:spacing w:val="-6"/>
          <w:kern w:val="0"/>
          <w:sz w:val="28"/>
          <w:szCs w:val="28"/>
        </w:rPr>
        <w:t>×25%-交易保证金实有货币资金部分</w:t>
      </w:r>
      <w:r>
        <w:rPr>
          <w:rFonts w:hint="eastAsia" w:ascii="宋体" w:hAnsi="宋体" w:cs="宋体"/>
          <w:color w:val="000000"/>
          <w:spacing w:val="-6"/>
          <w:kern w:val="0"/>
          <w:sz w:val="28"/>
          <w:szCs w:val="28"/>
        </w:rPr>
        <w:t>]</w:t>
      </w:r>
      <w:r>
        <w:rPr>
          <w:rFonts w:ascii="宋体" w:hAnsi="宋体" w:cs="宋体"/>
          <w:color w:val="000000"/>
          <w:spacing w:val="-6"/>
          <w:kern w:val="0"/>
          <w:sz w:val="28"/>
          <w:szCs w:val="28"/>
        </w:rPr>
        <w:t>－结算准备金最低余额</w:t>
      </w:r>
      <w:r>
        <w:rPr>
          <w:rFonts w:hint="eastAsia" w:ascii="宋体" w:hAnsi="宋体" w:cs="宋体"/>
          <w:color w:val="000000"/>
          <w:spacing w:val="-6"/>
          <w:kern w:val="0"/>
          <w:sz w:val="28"/>
          <w:szCs w:val="28"/>
        </w:rPr>
        <w:t>。</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实有货币资金指实有人民币资金和外汇资金价值按照折扣比率折算后的人民币金额之和，外汇资金的折算方法见本办法第</w:t>
      </w:r>
      <w:r>
        <w:rPr>
          <w:rFonts w:hint="eastAsia" w:ascii="宋体" w:hAnsi="宋体" w:cs="宋体"/>
          <w:color w:val="000000"/>
          <w:kern w:val="0"/>
          <w:sz w:val="28"/>
          <w:szCs w:val="28"/>
          <w:lang w:eastAsia="zh-CN"/>
        </w:rPr>
        <w:t>七</w:t>
      </w:r>
      <w:r>
        <w:rPr>
          <w:rFonts w:hint="eastAsia" w:ascii="宋体" w:hAnsi="宋体" w:cs="宋体"/>
          <w:color w:val="000000"/>
          <w:kern w:val="0"/>
          <w:sz w:val="28"/>
          <w:szCs w:val="28"/>
        </w:rPr>
        <w:t>章有关规定。</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外汇资金折算的人民币金额不可以人民币方式出金，外汇可出金额以交存的外汇资金为限。</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交易所可根据市场风险状况对会员出金标准做适当调整。</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七</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kern w:val="0"/>
          <w:sz w:val="28"/>
          <w:szCs w:val="28"/>
        </w:rPr>
        <w:t>会员、境外特殊参与者、境外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机构或者客户有下列情况之一的，交易所可以限制会员出金，要求会员限制其客户、境外特殊参与者、境外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机构出金，以及要求境外特殊经纪参与者、境外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 xml:space="preserve">机构配合限制客户出金：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（一）涉嫌重大违规，经交易所立案调查的； </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 xml:space="preserve">（二）因投诉、举报、交易纠纷等被司法部门、交易所或者其他有关部门正式立案调查，且正处在调查期间的； </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（三）交易所认为市场出现重大风险的；</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（四）会员未在规定的时间内补足人民币至结算准备金最低余额或不配合交易所为其客户、境外特殊经纪参与者、境外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机构进行结购汇的；</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（五）交易所认为必要的其他情况。</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第三节  结算数据</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第三十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当日交易结束后</w:t>
      </w:r>
      <w:r>
        <w:rPr>
          <w:rFonts w:hint="eastAsia" w:ascii="宋体" w:hAnsi="宋体" w:cs="宋体"/>
          <w:b/>
          <w:bCs/>
          <w:color w:val="000000"/>
          <w:kern w:val="0"/>
          <w:sz w:val="28"/>
          <w:szCs w:val="28"/>
        </w:rPr>
        <w:t>，</w:t>
      </w:r>
      <w:r>
        <w:rPr>
          <w:rFonts w:hint="eastAsia" w:ascii="宋体" w:hAnsi="宋体" w:cs="宋体"/>
          <w:color w:val="000000"/>
          <w:kern w:val="0"/>
          <w:sz w:val="28"/>
          <w:szCs w:val="28"/>
        </w:rPr>
        <w:t>交易所对每一会员的盈亏、交易手续费、保证金等款项进行结算。交易所采用发放纸质结算单据或电子结算单据等方式向会员提供当日结算数据。结算数据是会员核对当日有关交易并对结算交割委托人结算的依据。因特殊情况不能按时提供结算数据的，交易所另行通知提供结算数据的时间。</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三十九</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会员应当每天及时获取交易所提供的结算数据，做好核对工作，并应当妥善保存至少20年，但对有关期货交易存在争议的，应保存至该争议消除时为止。</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四十</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会员对结算结果有异议的，应当在下一交易日开市前30分钟以书面形式通知交易所。如遇特殊情况，会员可在下一交易日开市后 2 小时内以书面形式通知交易所。在规定时间内，会员没有对结算结果提出异议的，视作已认可结算结果的正确性。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一</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交易所在每月月初向会员提供上月的《郑州商品交易所保证金结算核对单》，作为会员核查交易账簿记录的依据。 </w:t>
      </w:r>
    </w:p>
    <w:p>
      <w:pPr>
        <w:widowControl/>
        <w:suppressAutoHyphens/>
        <w:bidi w:val="0"/>
        <w:spacing w:line="360" w:lineRule="auto"/>
        <w:jc w:val="center"/>
        <w:rPr>
          <w:rFonts w:ascii="黑体" w:hAnsi="黑体" w:eastAsia="黑体" w:cs="Arial"/>
          <w:color w:val="000000"/>
          <w:kern w:val="0"/>
          <w:szCs w:val="21"/>
        </w:rPr>
      </w:pPr>
      <w:r>
        <w:rPr>
          <w:rFonts w:hint="eastAsia" w:ascii="黑体" w:hAnsi="黑体" w:eastAsia="黑体" w:cs="宋体"/>
          <w:bCs/>
          <w:color w:val="000000"/>
          <w:kern w:val="0"/>
          <w:sz w:val="28"/>
          <w:szCs w:val="28"/>
        </w:rPr>
        <w:t>第四节  移仓</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二</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w:t>
      </w:r>
      <w:r>
        <w:rPr>
          <w:rFonts w:hint="eastAsia" w:ascii="宋体" w:hAnsi="宋体"/>
          <w:color w:val="000000"/>
          <w:kern w:val="0"/>
          <w:sz w:val="28"/>
        </w:rPr>
        <w:t>发生下列情形之一的，可以申请移仓</w:t>
      </w:r>
      <w:r>
        <w:rPr>
          <w:rFonts w:hint="eastAsia" w:ascii="宋体" w:hAnsi="宋体" w:cs="宋体"/>
          <w:color w:val="000000"/>
          <w:kern w:val="0"/>
          <w:sz w:val="28"/>
          <w:szCs w:val="28"/>
        </w:rPr>
        <w:t>：</w:t>
      </w:r>
    </w:p>
    <w:p>
      <w:pPr>
        <w:widowControl/>
        <w:suppressAutoHyphens/>
        <w:bidi w:val="0"/>
        <w:spacing w:line="360" w:lineRule="auto"/>
        <w:ind w:firstLine="560" w:firstLineChars="200"/>
        <w:jc w:val="left"/>
        <w:rPr>
          <w:rFonts w:ascii="Arial" w:hAnsi="Arial" w:cs="Arial"/>
          <w:color w:val="000000"/>
          <w:kern w:val="0"/>
          <w:szCs w:val="21"/>
        </w:rPr>
      </w:pPr>
      <w:r>
        <w:rPr>
          <w:rFonts w:hint="eastAsia" w:ascii="宋体" w:hAnsi="宋体" w:cs="宋体"/>
          <w:color w:val="000000"/>
          <w:kern w:val="0"/>
          <w:sz w:val="28"/>
          <w:szCs w:val="28"/>
        </w:rPr>
        <w:t>（一）</w:t>
      </w:r>
      <w:r>
        <w:rPr>
          <w:rFonts w:hint="eastAsia" w:ascii="宋体" w:hAnsi="宋体"/>
          <w:color w:val="000000"/>
          <w:kern w:val="0"/>
          <w:sz w:val="28"/>
        </w:rPr>
        <w:t>因故不能从事期货业务，或者发生经监管部门批准的合并、分立、破产的</w:t>
      </w:r>
      <w:r>
        <w:rPr>
          <w:rFonts w:hint="eastAsia" w:ascii="宋体" w:hAnsi="宋体" w:cs="宋体"/>
          <w:color w:val="000000"/>
          <w:kern w:val="0"/>
          <w:sz w:val="28"/>
          <w:szCs w:val="28"/>
        </w:rPr>
        <w:t>；</w:t>
      </w:r>
    </w:p>
    <w:p>
      <w:pPr>
        <w:widowControl/>
        <w:suppressAutoHyphens/>
        <w:bidi w:val="0"/>
        <w:spacing w:line="360" w:lineRule="auto"/>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（二）违反《郑州商品交易所期货交易风险控制管理办法》，引发交易、交割违规、违约风险的；</w:t>
      </w:r>
    </w:p>
    <w:p>
      <w:pPr>
        <w:widowControl/>
        <w:suppressAutoHyphens/>
        <w:bidi w:val="0"/>
        <w:spacing w:line="360" w:lineRule="auto"/>
        <w:ind w:firstLine="560" w:firstLineChars="200"/>
        <w:jc w:val="left"/>
        <w:rPr>
          <w:rFonts w:ascii="宋体" w:hAnsi="宋体" w:cs="Arial"/>
          <w:color w:val="000000"/>
          <w:kern w:val="0"/>
          <w:szCs w:val="21"/>
        </w:rPr>
      </w:pPr>
      <w:r>
        <w:rPr>
          <w:rFonts w:hint="eastAsia" w:ascii="宋体" w:hAnsi="宋体"/>
          <w:color w:val="000000"/>
          <w:kern w:val="0"/>
          <w:sz w:val="28"/>
        </w:rPr>
        <w:t>（三）变更委托</w:t>
      </w:r>
      <w:r>
        <w:rPr>
          <w:rFonts w:hint="eastAsia" w:ascii="宋体" w:hAnsi="宋体"/>
          <w:color w:val="000000"/>
          <w:kern w:val="0"/>
          <w:sz w:val="28"/>
          <w:lang w:eastAsia="zh-CN"/>
        </w:rPr>
        <w:t>结算</w:t>
      </w:r>
      <w:r>
        <w:rPr>
          <w:rFonts w:hint="eastAsia" w:ascii="宋体" w:hAnsi="宋体"/>
          <w:color w:val="000000"/>
          <w:kern w:val="0"/>
          <w:sz w:val="28"/>
        </w:rPr>
        <w:t>关系的；</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宋体" w:hAnsi="宋体" w:cs="宋体"/>
          <w:color w:val="000000"/>
          <w:kern w:val="0"/>
          <w:sz w:val="28"/>
          <w:szCs w:val="28"/>
        </w:rPr>
        <w:t>（四）交易所认可的其他情形。</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在会员出现破产等重大经营危机但未申请移仓的特殊情形下，为保护客户权益，交易所可以启动移仓。</w:t>
      </w:r>
    </w:p>
    <w:p>
      <w:pPr>
        <w:widowControl/>
        <w:suppressAutoHyphens/>
        <w:bidi w:val="0"/>
        <w:spacing w:line="360" w:lineRule="auto"/>
        <w:ind w:firstLine="560" w:firstLineChars="200"/>
        <w:jc w:val="left"/>
        <w:rPr>
          <w:rFonts w:ascii="宋体" w:hAnsi="宋体"/>
          <w:color w:val="000000"/>
          <w:kern w:val="0"/>
          <w:sz w:val="28"/>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三</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olor w:val="000000"/>
          <w:kern w:val="0"/>
          <w:sz w:val="28"/>
        </w:rPr>
        <w:t>交</w:t>
      </w:r>
      <w:r>
        <w:rPr>
          <w:rFonts w:hint="eastAsia" w:ascii="宋体" w:hAnsi="宋体"/>
          <w:color w:val="000000"/>
          <w:kern w:val="0"/>
          <w:sz w:val="28"/>
          <w:highlight w:val="none"/>
        </w:rPr>
        <w:t>易所办理本办法第四十</w:t>
      </w:r>
      <w:r>
        <w:rPr>
          <w:rFonts w:hint="eastAsia" w:ascii="宋体" w:hAnsi="宋体"/>
          <w:color w:val="000000"/>
          <w:kern w:val="0"/>
          <w:sz w:val="28"/>
          <w:highlight w:val="none"/>
          <w:lang w:eastAsia="zh-CN"/>
        </w:rPr>
        <w:t>二</w:t>
      </w:r>
      <w:r>
        <w:rPr>
          <w:rFonts w:hint="eastAsia" w:ascii="宋体" w:hAnsi="宋体"/>
          <w:color w:val="000000"/>
          <w:kern w:val="0"/>
          <w:sz w:val="28"/>
          <w:highlight w:val="none"/>
        </w:rPr>
        <w:t>条规</w:t>
      </w:r>
      <w:r>
        <w:rPr>
          <w:rFonts w:hint="eastAsia" w:ascii="宋体" w:hAnsi="宋体"/>
          <w:color w:val="000000"/>
          <w:kern w:val="0"/>
          <w:sz w:val="28"/>
        </w:rPr>
        <w:t>定的移仓的，可以要求提供移入和移出会员同意移仓的声明书、客户同意移仓的声明书、变更委托结算关系声明书、相关持仓的详细清单等一项或者多项移仓申请材料。</w:t>
      </w:r>
    </w:p>
    <w:p>
      <w:pPr>
        <w:widowControl/>
        <w:suppressAutoHyphens/>
        <w:bidi w:val="0"/>
        <w:snapToGrid/>
        <w:spacing w:line="360" w:lineRule="auto"/>
        <w:ind w:firstLine="560" w:firstLineChars="200"/>
        <w:jc w:val="left"/>
        <w:rPr>
          <w:rFonts w:hint="eastAsia" w:ascii="宋体" w:hAnsi="宋体" w:cs="宋体"/>
          <w:color w:val="000000"/>
          <w:kern w:val="0"/>
          <w:sz w:val="28"/>
          <w:szCs w:val="28"/>
        </w:rPr>
      </w:pPr>
      <w:r>
        <w:rPr>
          <w:rFonts w:hint="eastAsia" w:ascii="宋体" w:hAnsi="宋体"/>
          <w:color w:val="000000"/>
          <w:kern w:val="0"/>
          <w:sz w:val="28"/>
        </w:rPr>
        <w:t>移仓申请经批准后，交易所与会员约定具体的移仓日</w:t>
      </w:r>
      <w:r>
        <w:rPr>
          <w:rFonts w:hint="eastAsia" w:ascii="宋体" w:hAnsi="宋体" w:cs="宋体"/>
          <w:color w:val="000000"/>
          <w:kern w:val="0"/>
          <w:sz w:val="28"/>
          <w:szCs w:val="28"/>
        </w:rPr>
        <w:t>。</w:t>
      </w:r>
    </w:p>
    <w:p>
      <w:pPr>
        <w:widowControl/>
        <w:suppressAutoHyphens/>
        <w:bidi w:val="0"/>
        <w:snapToGrid/>
        <w:spacing w:line="360" w:lineRule="auto"/>
        <w:ind w:firstLine="560" w:firstLineChars="200"/>
        <w:jc w:val="left"/>
        <w:rPr>
          <w:rFonts w:ascii="宋体" w:hAnsi="宋体"/>
          <w:color w:val="000000"/>
          <w:kern w:val="0"/>
          <w:sz w:val="28"/>
        </w:rPr>
      </w:pPr>
      <w:r>
        <w:rPr>
          <w:rFonts w:hint="eastAsia" w:ascii="宋体" w:hAnsi="宋体"/>
          <w:color w:val="000000"/>
          <w:kern w:val="0"/>
          <w:sz w:val="28"/>
        </w:rPr>
        <w:t>移仓日当日结算完成后，交易所为会员实施移仓，并提供移仓前和移仓后的相关结算报表由会员确认。相关会员应当核对并确认相关结算报表，一经确认，不得更改。</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宋体" w:hAnsi="宋体" w:cs="宋体"/>
          <w:color w:val="000000"/>
          <w:kern w:val="0"/>
          <w:sz w:val="28"/>
          <w:szCs w:val="28"/>
        </w:rPr>
        <w:t>移仓内容包括持仓及交易保证金，不包括当日的盈亏、交易手续费、结算准备金等其他款项。</w:t>
      </w:r>
    </w:p>
    <w:p>
      <w:pPr>
        <w:widowControl/>
        <w:suppressAutoHyphens/>
        <w:bidi w:val="0"/>
        <w:spacing w:line="360" w:lineRule="auto"/>
        <w:ind w:firstLine="560" w:firstLineChars="200"/>
        <w:jc w:val="left"/>
        <w:rPr>
          <w:rFonts w:ascii="宋体" w:hAnsi="宋体"/>
          <w:color w:val="000000"/>
          <w:kern w:val="0"/>
          <w:sz w:val="28"/>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四</w:t>
      </w:r>
      <w:r>
        <w:rPr>
          <w:rFonts w:hint="eastAsia" w:ascii="黑体" w:hAnsi="宋体" w:eastAsia="黑体" w:cs="黑体"/>
          <w:color w:val="000000"/>
          <w:kern w:val="0"/>
          <w:sz w:val="28"/>
          <w:szCs w:val="28"/>
        </w:rPr>
        <w:t>条</w:t>
      </w:r>
      <w:r>
        <w:rPr>
          <w:rFonts w:hint="eastAsia" w:ascii="宋体" w:hAnsi="宋体"/>
          <w:color w:val="000000"/>
          <w:kern w:val="0"/>
          <w:sz w:val="28"/>
        </w:rPr>
        <w:t xml:space="preserve">  客户发生下列情形之一的，可以申请移仓：</w:t>
      </w:r>
    </w:p>
    <w:p>
      <w:pPr>
        <w:widowControl/>
        <w:suppressAutoHyphens/>
        <w:bidi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（一）同一客户通过不同期货公司会员从事期货交易的；</w:t>
      </w:r>
    </w:p>
    <w:p>
      <w:pPr>
        <w:widowControl/>
        <w:suppressAutoHyphens/>
        <w:bidi w:val="0"/>
        <w:spacing w:line="360" w:lineRule="auto"/>
        <w:ind w:firstLine="560" w:firstLineChars="200"/>
        <w:jc w:val="left"/>
        <w:rPr>
          <w:rFonts w:hint="eastAsia" w:ascii="宋体" w:hAnsi="宋体"/>
          <w:color w:val="000000"/>
          <w:kern w:val="0"/>
          <w:sz w:val="28"/>
        </w:rPr>
      </w:pPr>
      <w:r>
        <w:rPr>
          <w:rFonts w:hint="eastAsia" w:ascii="宋体" w:hAnsi="宋体"/>
          <w:color w:val="000000"/>
          <w:kern w:val="0"/>
          <w:sz w:val="28"/>
        </w:rPr>
        <w:t>（二）同一客户通过不同境外特殊经纪参与者从事期货交易的；</w:t>
      </w:r>
    </w:p>
    <w:p>
      <w:pPr>
        <w:widowControl/>
        <w:suppressAutoHyphens/>
        <w:bidi w:val="0"/>
        <w:spacing w:line="360" w:lineRule="auto"/>
        <w:ind w:firstLine="560" w:firstLineChars="200"/>
        <w:jc w:val="left"/>
        <w:rPr>
          <w:rFonts w:hint="eastAsia" w:ascii="宋体" w:hAnsi="宋体"/>
          <w:color w:val="000000"/>
          <w:kern w:val="0"/>
          <w:sz w:val="28"/>
        </w:rPr>
      </w:pPr>
      <w:r>
        <w:rPr>
          <w:rFonts w:hint="eastAsia" w:ascii="宋体" w:hAnsi="宋体"/>
          <w:color w:val="000000"/>
          <w:kern w:val="0"/>
          <w:sz w:val="28"/>
        </w:rPr>
        <w:t>（三）同一客户分别通过期货公司会员和境外特殊经纪参与者从事期货交易的；</w:t>
      </w:r>
    </w:p>
    <w:p>
      <w:pPr>
        <w:widowControl/>
        <w:suppressAutoHyphens/>
        <w:bidi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w:t>
      </w:r>
      <w:r>
        <w:rPr>
          <w:rFonts w:hint="eastAsia" w:ascii="宋体" w:hAnsi="宋体"/>
          <w:color w:val="000000"/>
          <w:kern w:val="0"/>
          <w:sz w:val="28"/>
          <w:lang w:eastAsia="zh-CN"/>
        </w:rPr>
        <w:t>四</w:t>
      </w:r>
      <w:r>
        <w:rPr>
          <w:rFonts w:hint="eastAsia" w:ascii="宋体" w:hAnsi="宋体"/>
          <w:color w:val="000000"/>
          <w:kern w:val="0"/>
          <w:sz w:val="28"/>
        </w:rPr>
        <w:t>）交易所认可的其他情形。</w:t>
      </w:r>
    </w:p>
    <w:p>
      <w:pPr>
        <w:widowControl/>
        <w:suppressAutoHyphens/>
        <w:bidi w:val="0"/>
        <w:spacing w:line="360" w:lineRule="auto"/>
        <w:ind w:firstLine="560" w:firstLineChars="200"/>
        <w:rPr>
          <w:rFonts w:ascii="宋体" w:hAnsi="宋体"/>
          <w:color w:val="000000"/>
          <w:kern w:val="0"/>
          <w:sz w:val="28"/>
        </w:rPr>
      </w:pPr>
      <w:r>
        <w:rPr>
          <w:rFonts w:hint="eastAsia" w:ascii="宋体" w:hAnsi="宋体"/>
          <w:color w:val="000000"/>
          <w:kern w:val="0"/>
          <w:sz w:val="28"/>
        </w:rPr>
        <w:t>非期货公司会员或者境外特殊非经纪参与者移仓可以参照本条办理。</w:t>
      </w:r>
    </w:p>
    <w:p>
      <w:pPr>
        <w:widowControl/>
        <w:suppressAutoHyphens/>
        <w:bidi w:val="0"/>
        <w:spacing w:line="360" w:lineRule="auto"/>
        <w:ind w:firstLine="560" w:firstLineChars="200"/>
        <w:jc w:val="left"/>
        <w:rPr>
          <w:rFonts w:ascii="宋体" w:hAnsi="宋体"/>
          <w:color w:val="000000"/>
          <w:kern w:val="0"/>
          <w:sz w:val="28"/>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五</w:t>
      </w:r>
      <w:r>
        <w:rPr>
          <w:rFonts w:hint="eastAsia" w:ascii="黑体" w:hAnsi="宋体" w:eastAsia="黑体" w:cs="黑体"/>
          <w:color w:val="000000"/>
          <w:kern w:val="0"/>
          <w:sz w:val="28"/>
          <w:szCs w:val="28"/>
        </w:rPr>
        <w:t>条</w:t>
      </w:r>
      <w:r>
        <w:rPr>
          <w:rFonts w:hint="eastAsia" w:ascii="宋体" w:hAnsi="宋体"/>
          <w:color w:val="000000"/>
          <w:kern w:val="0"/>
          <w:sz w:val="28"/>
        </w:rPr>
        <w:t xml:space="preserve">  本办法第</w:t>
      </w:r>
      <w:r>
        <w:rPr>
          <w:rFonts w:hint="eastAsia" w:ascii="宋体" w:hAnsi="宋体"/>
          <w:color w:val="000000"/>
          <w:kern w:val="0"/>
          <w:sz w:val="28"/>
          <w:highlight w:val="none"/>
        </w:rPr>
        <w:t>四十</w:t>
      </w:r>
      <w:r>
        <w:rPr>
          <w:rFonts w:hint="eastAsia" w:ascii="宋体" w:hAnsi="宋体"/>
          <w:color w:val="000000"/>
          <w:kern w:val="0"/>
          <w:sz w:val="28"/>
          <w:highlight w:val="none"/>
          <w:lang w:eastAsia="zh-CN"/>
        </w:rPr>
        <w:t>四</w:t>
      </w:r>
      <w:r>
        <w:rPr>
          <w:rFonts w:hint="eastAsia" w:ascii="宋体" w:hAnsi="宋体"/>
          <w:color w:val="000000"/>
          <w:kern w:val="0"/>
          <w:sz w:val="28"/>
          <w:highlight w:val="none"/>
        </w:rPr>
        <w:t>条规定的移仓</w:t>
      </w:r>
      <w:r>
        <w:rPr>
          <w:rFonts w:hint="eastAsia" w:ascii="宋体" w:hAnsi="宋体"/>
          <w:color w:val="000000"/>
          <w:kern w:val="0"/>
          <w:sz w:val="28"/>
        </w:rPr>
        <w:t>由客户、境外特殊非经纪参与者通过移出会员提出申请或者由非期货公司会员自行提出申请，经移入会员确认后提交至交易所。</w:t>
      </w:r>
    </w:p>
    <w:p>
      <w:pPr>
        <w:widowControl/>
        <w:suppressAutoHyphens/>
        <w:bidi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交易所在申请的当日内予以审批，并在当日下午闭市后办理移仓。</w:t>
      </w:r>
    </w:p>
    <w:p>
      <w:pPr>
        <w:widowControl/>
        <w:suppressAutoHyphens/>
        <w:bidi w:val="0"/>
        <w:spacing w:line="360" w:lineRule="auto"/>
        <w:ind w:firstLine="560" w:firstLineChars="200"/>
        <w:jc w:val="left"/>
        <w:rPr>
          <w:rFonts w:ascii="宋体" w:hAnsi="宋体"/>
          <w:color w:val="000000"/>
          <w:kern w:val="0"/>
          <w:sz w:val="28"/>
        </w:rPr>
      </w:pPr>
      <w:r>
        <w:rPr>
          <w:rFonts w:hint="eastAsia" w:ascii="宋体" w:hAnsi="宋体"/>
          <w:color w:val="000000"/>
          <w:kern w:val="0"/>
          <w:sz w:val="28"/>
        </w:rPr>
        <w:t>移仓内容包括客户</w:t>
      </w:r>
      <w:r>
        <w:rPr>
          <w:rFonts w:hint="eastAsia" w:ascii="宋体" w:hAnsi="宋体"/>
          <w:color w:val="000000"/>
          <w:kern w:val="0"/>
          <w:sz w:val="28"/>
          <w:lang w:eastAsia="zh-CN"/>
        </w:rPr>
        <w:t>、</w:t>
      </w:r>
      <w:r>
        <w:rPr>
          <w:rFonts w:hint="eastAsia" w:ascii="宋体" w:hAnsi="宋体"/>
          <w:color w:val="000000"/>
          <w:kern w:val="0"/>
          <w:sz w:val="28"/>
        </w:rPr>
        <w:t>非期货公司会员或者境外特殊非经纪参与者某一合约的持仓和需要转移的保证金。转移的保证金应当为人民币或者外汇资金。</w:t>
      </w:r>
    </w:p>
    <w:p>
      <w:pPr>
        <w:widowControl/>
        <w:suppressAutoHyphens/>
        <w:bidi w:val="0"/>
        <w:spacing w:line="360" w:lineRule="auto"/>
        <w:ind w:firstLine="560" w:firstLineChars="200"/>
        <w:rPr>
          <w:rFonts w:ascii="仿宋" w:hAnsi="仿宋" w:eastAsia="仿宋" w:cs="仿宋"/>
          <w:b/>
          <w:kern w:val="0"/>
          <w:sz w:val="24"/>
          <w:u w:val="single"/>
        </w:rPr>
      </w:pPr>
      <w:r>
        <w:rPr>
          <w:rFonts w:hint="eastAsia" w:ascii="宋体" w:hAnsi="宋体"/>
          <w:color w:val="000000"/>
          <w:kern w:val="0"/>
          <w:sz w:val="28"/>
        </w:rPr>
        <w:t>交易所从移入会员的结算准备金中扣划移仓手续费。移仓手续费标准由交易所另行公布。</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第五章  交割结算</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六</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olor w:val="000000"/>
          <w:kern w:val="0"/>
          <w:sz w:val="28"/>
        </w:rPr>
        <w:t>会员进行交割，应当按规定向交易所交纳交割手续费。具体标准由交易所确定、调整并公布</w:t>
      </w:r>
      <w:r>
        <w:rPr>
          <w:rFonts w:hint="eastAsia" w:ascii="宋体" w:hAnsi="宋体" w:cs="宋体"/>
          <w:color w:val="000000"/>
          <w:kern w:val="0"/>
          <w:sz w:val="28"/>
          <w:szCs w:val="28"/>
        </w:rPr>
        <w:t xml:space="preserve">。 </w:t>
      </w:r>
    </w:p>
    <w:p>
      <w:pPr>
        <w:widowControl/>
        <w:suppressAutoHyphens/>
        <w:bidi w:val="0"/>
        <w:spacing w:line="360" w:lineRule="auto"/>
        <w:ind w:firstLine="560" w:firstLineChars="200"/>
        <w:rPr>
          <w:rFonts w:ascii="宋体" w:hAnsi="宋体" w:cs="Arial"/>
          <w:color w:val="000000"/>
          <w:kern w:val="0"/>
          <w:szCs w:val="21"/>
        </w:rPr>
      </w:pPr>
      <w:r>
        <w:rPr>
          <w:rFonts w:hint="eastAsia" w:ascii="宋体" w:hAnsi="宋体"/>
          <w:color w:val="000000"/>
          <w:kern w:val="0"/>
          <w:sz w:val="28"/>
        </w:rPr>
        <w:t>交割手续费在配对日结算时由交易所直接从会员的结算准备金中扣划</w:t>
      </w:r>
      <w:r>
        <w:rPr>
          <w:rFonts w:hint="eastAsia" w:ascii="宋体" w:hAnsi="宋体" w:cs="宋体"/>
          <w:color w:val="000000"/>
          <w:kern w:val="0"/>
          <w:sz w:val="28"/>
          <w:szCs w:val="28"/>
        </w:rPr>
        <w:t>。</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七</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交割货款结算实行一收一付，同时划转。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第四十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交割结算价的规定见《郑州商品交易所期货交割管理办法》有关规定。交割商品货款以交割结算价为基础，加减相应的升贴水和包装款。升贴水和包装款按交易所公布的标准结算。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四十九</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4"/>
          <w:kern w:val="0"/>
          <w:sz w:val="28"/>
          <w:szCs w:val="28"/>
        </w:rPr>
        <w:t xml:space="preserve">滚动交割配对日以及合约最后交易日结算时，交易所对会员交割月份相应持仓按交割结算价进行结算处理，产生的交割差额计入会员当日盈亏。 </w:t>
      </w:r>
    </w:p>
    <w:p>
      <w:pPr>
        <w:suppressAutoHyphens/>
        <w:bidi w:val="0"/>
        <w:spacing w:line="360" w:lineRule="auto"/>
        <w:jc w:val="center"/>
        <w:outlineLvl w:val="1"/>
        <w:rPr>
          <w:rFonts w:hint="eastAsia" w:ascii="黑体" w:hAnsi="宋体" w:eastAsia="黑体" w:cs="黑体"/>
          <w:bCs/>
          <w:color w:val="000000"/>
          <w:kern w:val="0"/>
          <w:sz w:val="32"/>
          <w:szCs w:val="32"/>
          <w:u w:val="none"/>
        </w:rPr>
      </w:pPr>
      <w:r>
        <w:rPr>
          <w:rFonts w:hint="eastAsia" w:ascii="黑体" w:hAnsi="宋体" w:eastAsia="黑体" w:cs="黑体"/>
          <w:bCs/>
          <w:color w:val="000000"/>
          <w:kern w:val="0"/>
          <w:sz w:val="32"/>
          <w:szCs w:val="32"/>
          <w:u w:val="none"/>
        </w:rPr>
        <w:t>第六章 委托结算</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第五十条</w:t>
      </w:r>
      <w:r>
        <w:rPr>
          <w:rFonts w:hint="eastAsia" w:ascii="宋体" w:hAnsi="宋体" w:eastAsia="宋体" w:cs="宋体"/>
          <w:b w:val="0"/>
          <w:color w:val="000000"/>
          <w:spacing w:val="-4"/>
          <w:kern w:val="0"/>
          <w:sz w:val="28"/>
          <w:szCs w:val="28"/>
          <w:highlight w:val="none"/>
          <w:u w:val="none"/>
        </w:rPr>
        <w:t xml:space="preserve"> 境外中介机构委托境外特殊经纪参与者进行交易结算，或者境外特殊参与者委托期货公司会员进行结算的，应当与其签订委托协议，并应当在办理业务前向交易所备案。</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一</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境外特殊参与者应当且只能委托一家会员进行结算。</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二</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会员与委托其结算的境外特殊参与者应当签署包括下列内容的委托结算的协议：</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（一）结算准备金最低余额和交易保证金收取标准；</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（二）办理作为保证金使用的资产及其费用标准；</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（三）风险管理措施、条件及程序；</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（四）账户类型及管理模式、结算流程，包括结算数据收取、查询和确认的时间和方式；</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（五）手续费标准；</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（六）通知事项、方式及时限；</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（七）不可归责于协议双方当事人所造成损失的情形及其处理方式；</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（八）协议变更和解除；</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（九）违约责任；</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（十）争议处理方式；</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（十一）其他事项。</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三</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具有下列情形之一的，交易所可以为会员和委托其结算的境外特殊参与者办理委托结算关系变更手续：</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（一）委托结算的协议期满后不再续约的；</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（二）委托结算的协议提前解除的；</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（三）会员因故不能为境外特殊参与者进行结算的；</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（四）交易所认定的其他情形。</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四</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具有第五十</w:t>
      </w:r>
      <w:r>
        <w:rPr>
          <w:rFonts w:hint="eastAsia" w:ascii="宋体" w:hAnsi="宋体" w:eastAsia="宋体" w:cs="宋体"/>
          <w:b w:val="0"/>
          <w:color w:val="000000"/>
          <w:spacing w:val="-4"/>
          <w:kern w:val="0"/>
          <w:sz w:val="28"/>
          <w:szCs w:val="28"/>
          <w:highlight w:val="none"/>
          <w:u w:val="none"/>
          <w:lang w:eastAsia="zh-CN"/>
        </w:rPr>
        <w:t>三</w:t>
      </w:r>
      <w:r>
        <w:rPr>
          <w:rFonts w:hint="eastAsia" w:ascii="宋体" w:hAnsi="宋体" w:eastAsia="宋体" w:cs="宋体"/>
          <w:b w:val="0"/>
          <w:color w:val="000000"/>
          <w:spacing w:val="-4"/>
          <w:kern w:val="0"/>
          <w:sz w:val="28"/>
          <w:szCs w:val="28"/>
          <w:highlight w:val="none"/>
          <w:u w:val="none"/>
        </w:rPr>
        <w:t>条第</w:t>
      </w:r>
      <w:r>
        <w:rPr>
          <w:rFonts w:hint="eastAsia" w:ascii="宋体" w:hAnsi="宋体" w:cs="宋体"/>
          <w:b w:val="0"/>
          <w:color w:val="000000"/>
          <w:spacing w:val="-4"/>
          <w:kern w:val="0"/>
          <w:sz w:val="28"/>
          <w:szCs w:val="28"/>
          <w:u w:val="none"/>
          <w:lang w:eastAsia="zh-CN"/>
        </w:rPr>
        <w:t>（</w:t>
      </w:r>
      <w:r>
        <w:rPr>
          <w:rFonts w:hint="eastAsia" w:ascii="宋体" w:hAnsi="宋体" w:eastAsia="宋体" w:cs="宋体"/>
          <w:b w:val="0"/>
          <w:color w:val="000000"/>
          <w:spacing w:val="-4"/>
          <w:kern w:val="0"/>
          <w:sz w:val="28"/>
          <w:szCs w:val="28"/>
          <w:highlight w:val="none"/>
          <w:u w:val="none"/>
        </w:rPr>
        <w:t>一</w:t>
      </w:r>
      <w:r>
        <w:rPr>
          <w:rFonts w:hint="eastAsia" w:ascii="宋体" w:hAnsi="宋体" w:cs="宋体"/>
          <w:b w:val="0"/>
          <w:color w:val="000000"/>
          <w:spacing w:val="-4"/>
          <w:kern w:val="0"/>
          <w:sz w:val="28"/>
          <w:szCs w:val="28"/>
          <w:u w:val="none"/>
          <w:lang w:eastAsia="zh-CN"/>
        </w:rPr>
        <w:t>）</w:t>
      </w:r>
      <w:r>
        <w:rPr>
          <w:rFonts w:hint="eastAsia" w:ascii="宋体" w:hAnsi="宋体" w:eastAsia="宋体" w:cs="宋体"/>
          <w:b w:val="0"/>
          <w:color w:val="000000"/>
          <w:spacing w:val="-4"/>
          <w:kern w:val="0"/>
          <w:sz w:val="28"/>
          <w:szCs w:val="28"/>
          <w:highlight w:val="none"/>
          <w:u w:val="none"/>
        </w:rPr>
        <w:t>项情形的，境外特殊参与者、移入和移出委托结算的会员应当在协议期满前10个交易日内，向交易所提交下列材料办理委托结算关系变更手续：</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（一）变更委托结算关系申请书；</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（二）境外特殊参与者和移入受托结算的会员签订的委托结算的协议；</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（三）交易所规定的其他材料。</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交易所收到完整材料后，在10个交易日内对申请材料进行审核。审核通过的，交易所通知变更委托结算关系的约定结算日。</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五</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具有第五十</w:t>
      </w:r>
      <w:r>
        <w:rPr>
          <w:rFonts w:hint="eastAsia" w:ascii="宋体" w:hAnsi="宋体" w:eastAsia="宋体" w:cs="宋体"/>
          <w:b w:val="0"/>
          <w:color w:val="000000"/>
          <w:spacing w:val="-4"/>
          <w:kern w:val="0"/>
          <w:sz w:val="28"/>
          <w:szCs w:val="28"/>
          <w:highlight w:val="none"/>
          <w:u w:val="none"/>
          <w:lang w:eastAsia="zh-CN"/>
        </w:rPr>
        <w:t>三</w:t>
      </w:r>
      <w:r>
        <w:rPr>
          <w:rFonts w:hint="eastAsia" w:ascii="宋体" w:hAnsi="宋体" w:eastAsia="宋体" w:cs="宋体"/>
          <w:b w:val="0"/>
          <w:color w:val="000000"/>
          <w:spacing w:val="-4"/>
          <w:kern w:val="0"/>
          <w:sz w:val="28"/>
          <w:szCs w:val="28"/>
          <w:highlight w:val="none"/>
          <w:u w:val="none"/>
        </w:rPr>
        <w:t>条第（二）、（三）项情形的，境外特殊参与者、移入和移出委托结算的会员除提交第五十</w:t>
      </w:r>
      <w:r>
        <w:rPr>
          <w:rFonts w:hint="eastAsia" w:ascii="宋体" w:hAnsi="宋体" w:eastAsia="宋体" w:cs="宋体"/>
          <w:b w:val="0"/>
          <w:color w:val="000000"/>
          <w:spacing w:val="-4"/>
          <w:kern w:val="0"/>
          <w:sz w:val="28"/>
          <w:szCs w:val="28"/>
          <w:highlight w:val="none"/>
          <w:u w:val="none"/>
          <w:lang w:eastAsia="zh-CN"/>
        </w:rPr>
        <w:t>四</w:t>
      </w:r>
      <w:r>
        <w:rPr>
          <w:rFonts w:hint="eastAsia" w:ascii="宋体" w:hAnsi="宋体" w:eastAsia="宋体" w:cs="宋体"/>
          <w:b w:val="0"/>
          <w:color w:val="000000"/>
          <w:spacing w:val="-4"/>
          <w:kern w:val="0"/>
          <w:sz w:val="28"/>
          <w:szCs w:val="28"/>
          <w:highlight w:val="none"/>
          <w:u w:val="none"/>
        </w:rPr>
        <w:t>条规定的材料外，还应当提交解除原委托结算关系的协议。交易所收到完整材料后，在10个交易日内对申请材料进行审核。审核通过的，交易所通知变更委托结算关系的约定结算日。</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黑体" w:hAnsi="黑体" w:eastAsia="黑体" w:cs="黑体"/>
          <w:b w:val="0"/>
          <w:color w:val="000000"/>
          <w:spacing w:val="-4"/>
          <w:kern w:val="0"/>
          <w:sz w:val="28"/>
          <w:szCs w:val="28"/>
          <w:highlight w:val="none"/>
          <w:u w:val="none"/>
        </w:rPr>
        <w:t>第五十</w:t>
      </w:r>
      <w:r>
        <w:rPr>
          <w:rFonts w:hint="eastAsia" w:ascii="黑体" w:hAnsi="黑体" w:eastAsia="黑体" w:cs="黑体"/>
          <w:b w:val="0"/>
          <w:color w:val="000000"/>
          <w:spacing w:val="-4"/>
          <w:kern w:val="0"/>
          <w:sz w:val="28"/>
          <w:szCs w:val="28"/>
          <w:highlight w:val="none"/>
          <w:u w:val="none"/>
          <w:lang w:eastAsia="zh-CN"/>
        </w:rPr>
        <w:t>六</w:t>
      </w:r>
      <w:r>
        <w:rPr>
          <w:rFonts w:hint="eastAsia" w:ascii="黑体" w:hAnsi="黑体" w:eastAsia="黑体" w:cs="黑体"/>
          <w:b w:val="0"/>
          <w:color w:val="000000"/>
          <w:spacing w:val="-4"/>
          <w:kern w:val="0"/>
          <w:sz w:val="28"/>
          <w:szCs w:val="28"/>
          <w:highlight w:val="none"/>
          <w:u w:val="none"/>
        </w:rPr>
        <w:t>条</w:t>
      </w:r>
      <w:r>
        <w:rPr>
          <w:rFonts w:hint="eastAsia" w:ascii="宋体" w:hAnsi="宋体" w:eastAsia="宋体" w:cs="宋体"/>
          <w:b w:val="0"/>
          <w:color w:val="000000"/>
          <w:spacing w:val="-4"/>
          <w:kern w:val="0"/>
          <w:sz w:val="28"/>
          <w:szCs w:val="28"/>
          <w:highlight w:val="none"/>
          <w:u w:val="none"/>
        </w:rPr>
        <w:t xml:space="preserve"> 交易所在约定结算日结算后办理委托结算关系变更，对持仓、相应明细账户中的保证金等其他款项进行移转，并提供移转清单。移入和移出受托的会员应当对移转清单核对确认，境外特殊参与者应当委托移入和移出的会员进行确认。</w:t>
      </w:r>
    </w:p>
    <w:p>
      <w:pPr>
        <w:widowControl/>
        <w:spacing w:line="360" w:lineRule="auto"/>
        <w:ind w:firstLine="544" w:firstLineChars="200"/>
        <w:rPr>
          <w:rFonts w:hint="eastAsia" w:ascii="宋体" w:hAnsi="宋体" w:eastAsia="宋体" w:cs="宋体"/>
          <w:b w:val="0"/>
          <w:color w:val="000000"/>
          <w:spacing w:val="-4"/>
          <w:kern w:val="0"/>
          <w:sz w:val="28"/>
          <w:szCs w:val="28"/>
          <w:highlight w:val="none"/>
          <w:u w:val="none"/>
        </w:rPr>
      </w:pPr>
      <w:r>
        <w:rPr>
          <w:rFonts w:hint="eastAsia" w:ascii="宋体" w:hAnsi="宋体" w:eastAsia="宋体" w:cs="宋体"/>
          <w:b w:val="0"/>
          <w:color w:val="000000"/>
          <w:spacing w:val="-4"/>
          <w:kern w:val="0"/>
          <w:sz w:val="28"/>
          <w:szCs w:val="28"/>
          <w:highlight w:val="none"/>
          <w:u w:val="none"/>
        </w:rPr>
        <w:t>在约定结算日结算后，市场出现重大风险或者交易所认定的其他情形的，交易所可以暂停办理委托结算关系变更手续。</w:t>
      </w:r>
    </w:p>
    <w:p>
      <w:pPr>
        <w:widowControl/>
        <w:suppressAutoHyphens/>
        <w:bidi w:val="0"/>
        <w:spacing w:line="360" w:lineRule="auto"/>
        <w:ind w:firstLine="544" w:firstLineChars="200"/>
        <w:jc w:val="left"/>
        <w:outlineLvl w:val="9"/>
        <w:rPr>
          <w:rFonts w:hint="eastAsia" w:ascii="宋体" w:hAnsi="宋体" w:eastAsia="宋体" w:cs="宋体"/>
          <w:bCs w:val="0"/>
          <w:color w:val="000000"/>
          <w:spacing w:val="-4"/>
          <w:kern w:val="0"/>
          <w:sz w:val="28"/>
          <w:szCs w:val="28"/>
          <w:u w:val="none"/>
        </w:rPr>
      </w:pPr>
      <w:r>
        <w:rPr>
          <w:rFonts w:hint="eastAsia" w:ascii="宋体" w:hAnsi="宋体" w:eastAsia="宋体" w:cs="宋体"/>
          <w:b w:val="0"/>
          <w:color w:val="000000"/>
          <w:spacing w:val="-4"/>
          <w:kern w:val="0"/>
          <w:sz w:val="28"/>
          <w:szCs w:val="28"/>
          <w:highlight w:val="none"/>
          <w:u w:val="none"/>
        </w:rPr>
        <w:t>境外特殊参与者、移入和移出委托结算的会员应当配合办理委托结算关系变更手续。在委托结算关系变更完成之前，移出委托结算的会员对其代为结算的持仓负有履约义务。</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w:t>
      </w:r>
      <w:r>
        <w:rPr>
          <w:rFonts w:hint="eastAsia" w:ascii="黑体" w:hAnsi="宋体" w:eastAsia="黑体" w:cs="黑体"/>
          <w:bCs/>
          <w:color w:val="000000"/>
          <w:kern w:val="0"/>
          <w:sz w:val="32"/>
          <w:szCs w:val="32"/>
          <w:lang w:eastAsia="zh-CN"/>
        </w:rPr>
        <w:t>七</w:t>
      </w:r>
      <w:r>
        <w:rPr>
          <w:rFonts w:hint="eastAsia" w:ascii="黑体" w:hAnsi="宋体" w:eastAsia="黑体" w:cs="黑体"/>
          <w:bCs/>
          <w:color w:val="000000"/>
          <w:kern w:val="0"/>
          <w:sz w:val="32"/>
          <w:szCs w:val="32"/>
        </w:rPr>
        <w:t xml:space="preserve">章  </w:t>
      </w:r>
      <w:r>
        <w:rPr>
          <w:rFonts w:ascii="黑体" w:hAnsi="宋体" w:eastAsia="黑体" w:cs="黑体"/>
          <w:bCs/>
          <w:color w:val="000000"/>
          <w:kern w:val="0"/>
          <w:sz w:val="32"/>
          <w:szCs w:val="32"/>
        </w:rPr>
        <w:t>资产作为保证金</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五十七</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客户、境外特殊参与者、境外</w:t>
      </w:r>
      <w:r>
        <w:rPr>
          <w:rFonts w:hint="eastAsia" w:ascii="宋体" w:hAnsi="宋体" w:cs="宋体"/>
          <w:color w:val="000000"/>
          <w:spacing w:val="-6"/>
          <w:kern w:val="0"/>
          <w:sz w:val="28"/>
          <w:szCs w:val="28"/>
          <w:lang w:eastAsia="zh-CN"/>
        </w:rPr>
        <w:t>中介</w:t>
      </w:r>
      <w:r>
        <w:rPr>
          <w:rFonts w:hint="eastAsia" w:ascii="宋体" w:hAnsi="宋体" w:cs="宋体"/>
          <w:color w:val="000000"/>
          <w:spacing w:val="-6"/>
          <w:kern w:val="0"/>
          <w:sz w:val="28"/>
          <w:szCs w:val="28"/>
        </w:rPr>
        <w:t>机构以资产作为保证金的，视为同意期货公司会员将其资产提交交易所作为保证金。</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客户、境外特殊参与者、境外</w:t>
      </w:r>
      <w:r>
        <w:rPr>
          <w:rFonts w:hint="eastAsia" w:ascii="宋体" w:hAnsi="宋体" w:cs="宋体"/>
          <w:color w:val="000000"/>
          <w:spacing w:val="-6"/>
          <w:kern w:val="0"/>
          <w:sz w:val="28"/>
          <w:szCs w:val="28"/>
          <w:lang w:eastAsia="zh-CN"/>
        </w:rPr>
        <w:t>中介</w:t>
      </w:r>
      <w:r>
        <w:rPr>
          <w:rFonts w:hint="eastAsia" w:ascii="宋体" w:hAnsi="宋体" w:cs="宋体"/>
          <w:color w:val="000000"/>
          <w:spacing w:val="-6"/>
          <w:kern w:val="0"/>
          <w:sz w:val="28"/>
          <w:szCs w:val="28"/>
        </w:rPr>
        <w:t>机构、会员以资产作为保证金的，视为授权交易所对相应资产进行划转或者作质押处理。</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宋体" w:eastAsia="黑体" w:cs="黑体"/>
          <w:color w:val="000000"/>
          <w:kern w:val="0"/>
          <w:sz w:val="28"/>
          <w:szCs w:val="28"/>
        </w:rPr>
        <w:t>第五十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 xml:space="preserve">条 </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 xml:space="preserve">经交易所批准，以下资产可以作为保证金： </w:t>
      </w:r>
    </w:p>
    <w:p>
      <w:pPr>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（一）标准仓单；</w:t>
      </w:r>
    </w:p>
    <w:p>
      <w:pPr>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（二）中华人民共和国财政部在境内发行的记账式国债；</w:t>
      </w:r>
    </w:p>
    <w:p>
      <w:pPr>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（三）外汇资金（币种类别、折算方式和适用范围由交易所另行公布）；</w:t>
      </w:r>
    </w:p>
    <w:p>
      <w:pPr>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（四）交易所认定的其他资产。</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作为保证金的有价证券具体由交易所确定并向市场公布。</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黑体" w:hAnsi="黑体" w:eastAsia="黑体" w:cs="宋体"/>
          <w:color w:val="000000"/>
          <w:spacing w:val="-6"/>
          <w:kern w:val="0"/>
          <w:sz w:val="28"/>
          <w:szCs w:val="28"/>
          <w:lang w:val="en-US" w:eastAsia="zh-CN" w:bidi="ar-SA"/>
        </w:rPr>
        <w:t xml:space="preserve">第五十九条 </w:t>
      </w:r>
      <w:r>
        <w:rPr>
          <w:rFonts w:hint="eastAsia" w:ascii="宋体" w:hAnsi="宋体" w:eastAsia="宋体" w:cs="宋体"/>
          <w:color w:val="000000"/>
          <w:spacing w:val="-6"/>
          <w:kern w:val="0"/>
          <w:sz w:val="28"/>
          <w:szCs w:val="28"/>
          <w:lang w:val="en-US" w:eastAsia="zh-CN" w:bidi="ar-SA"/>
        </w:rPr>
        <w:t xml:space="preserve"> 有价证券作为保证金按以下手续办理：</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（一）申请：客户、境外特殊参与者、境外</w:t>
      </w:r>
      <w:r>
        <w:rPr>
          <w:rFonts w:hint="eastAsia" w:ascii="宋体" w:hAnsi="宋体" w:cs="宋体"/>
          <w:color w:val="000000"/>
          <w:spacing w:val="-6"/>
          <w:kern w:val="0"/>
          <w:sz w:val="28"/>
          <w:szCs w:val="28"/>
          <w:lang w:val="en-US" w:eastAsia="zh-CN" w:bidi="ar-SA"/>
        </w:rPr>
        <w:t>中介</w:t>
      </w:r>
      <w:r>
        <w:rPr>
          <w:rFonts w:hint="eastAsia" w:ascii="宋体" w:hAnsi="宋体" w:eastAsia="宋体" w:cs="宋体"/>
          <w:color w:val="000000"/>
          <w:spacing w:val="-6"/>
          <w:kern w:val="0"/>
          <w:sz w:val="28"/>
          <w:szCs w:val="28"/>
          <w:lang w:val="en-US" w:eastAsia="zh-CN" w:bidi="ar-SA"/>
        </w:rPr>
        <w:t>机构应当通过会员办理有价证券作为保证金业务。会员办理有价证券作为保证金业务时，应当向交易所提出申请。</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会员以客户、境外特殊非经纪参与者的标准仓单办理作为保证金业务时，应同时提交经客户、境外特殊非经纪参与者签章的《郑州商品交易所资产所有人专项授权书》，并与交易所签订相关协议。</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（二）验证交存：</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1.会员将标准仓单通过电子仓单系统提交交易所办理交存手续，获交易所批准后，完成标准仓单作为保证金交存业务。</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2.以国债作为保证金的，客户、境外特殊非经纪参与者、非期货公司会员应当确保托管账户中存有数量足够的、无其他权利瑕疵的国债。交易所按照会员的申请委托托管机构进行国债划转或者质押登记，托管机构对国债进行划转或者质押登记后视为办理完成。</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3.其他有价证券的验证交存应当符合交易所的规定。</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ascii="黑体" w:hAnsi="黑体" w:eastAsia="黑体" w:cs="宋体"/>
          <w:color w:val="000000"/>
          <w:spacing w:val="-6"/>
          <w:kern w:val="0"/>
          <w:sz w:val="28"/>
          <w:szCs w:val="28"/>
          <w:lang w:val="en-US" w:eastAsia="zh-CN" w:bidi="ar-SA"/>
        </w:rPr>
        <w:t>第</w:t>
      </w:r>
      <w:r>
        <w:rPr>
          <w:rFonts w:hint="eastAsia" w:ascii="黑体" w:hAnsi="黑体" w:eastAsia="黑体" w:cs="宋体"/>
          <w:color w:val="000000"/>
          <w:spacing w:val="-6"/>
          <w:kern w:val="0"/>
          <w:sz w:val="28"/>
          <w:szCs w:val="28"/>
          <w:lang w:val="en-US" w:eastAsia="zh-CN" w:bidi="ar-SA"/>
        </w:rPr>
        <w:t xml:space="preserve">六十条 </w:t>
      </w:r>
      <w:r>
        <w:rPr>
          <w:rFonts w:hint="eastAsia" w:ascii="宋体" w:hAnsi="宋体" w:eastAsia="宋体" w:cs="宋体"/>
          <w:color w:val="000000"/>
          <w:spacing w:val="-6"/>
          <w:kern w:val="0"/>
          <w:sz w:val="28"/>
          <w:szCs w:val="28"/>
          <w:lang w:val="en-US" w:eastAsia="zh-CN" w:bidi="ar-SA"/>
        </w:rPr>
        <w:t xml:space="preserve"> 以标准仓单作为保证金的，作为保证金的金额单笔不得低于10万元人民币。</w:t>
      </w:r>
    </w:p>
    <w:p>
      <w:pPr>
        <w:widowControl/>
        <w:shd w:val="clear" w:color="auto" w:fill="FFFFFF"/>
        <w:spacing w:before="0" w:beforeAutospacing="0" w:after="0" w:afterAutospacing="0" w:line="360" w:lineRule="auto"/>
        <w:ind w:firstLine="533" w:firstLineChars="199"/>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以国债作为保证金的，每次提交的国债面值不得低于100万元人民币。</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六十一</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黑体" w:hAnsi="宋体" w:eastAsia="黑体" w:cs="黑体"/>
          <w:color w:val="000000"/>
          <w:kern w:val="0"/>
          <w:sz w:val="28"/>
          <w:szCs w:val="28"/>
        </w:rPr>
        <w:t xml:space="preserve"> </w:t>
      </w:r>
      <w:r>
        <w:rPr>
          <w:rFonts w:ascii="宋体" w:hAnsi="宋体" w:cs="宋体"/>
          <w:color w:val="000000"/>
          <w:spacing w:val="-6"/>
          <w:kern w:val="0"/>
          <w:sz w:val="28"/>
          <w:szCs w:val="28"/>
        </w:rPr>
        <w:t>作为</w:t>
      </w:r>
      <w:r>
        <w:rPr>
          <w:rFonts w:hint="eastAsia" w:ascii="宋体" w:hAnsi="宋体" w:cs="宋体"/>
          <w:color w:val="000000"/>
          <w:spacing w:val="-6"/>
          <w:kern w:val="0"/>
          <w:sz w:val="28"/>
          <w:szCs w:val="28"/>
        </w:rPr>
        <w:t>保证金的资产市值按以下方法计算：</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（一）标准仓单</w:t>
      </w:r>
      <w:r>
        <w:rPr>
          <w:rFonts w:ascii="宋体" w:hAnsi="宋体" w:cs="宋体"/>
          <w:color w:val="000000"/>
          <w:spacing w:val="-6"/>
          <w:kern w:val="0"/>
          <w:sz w:val="28"/>
          <w:szCs w:val="28"/>
        </w:rPr>
        <w:t>作为</w:t>
      </w:r>
      <w:r>
        <w:rPr>
          <w:rFonts w:hint="eastAsia" w:ascii="宋体" w:hAnsi="宋体" w:cs="宋体"/>
          <w:color w:val="000000"/>
          <w:spacing w:val="-6"/>
          <w:kern w:val="0"/>
          <w:sz w:val="28"/>
          <w:szCs w:val="28"/>
        </w:rPr>
        <w:t>保证金的，每日结算时，交易所以该标准仓单对应品种最近交割月份期货合约的当日结算价为基准价计算其市值。当日闭市前，先以前一交易日该标准仓单对应品种最近交割月份期货合约的结算价为基准价计算其市值。</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（二）国债作为保证金的，国债的基准价取托管机构估值数据的较小值，交易所每日结算时以前一交易日该国债基准价的净价确定其市值。交易所有权对国债的基准价进行调整。</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（三）其他资产作为保证金的，其市值计算的基准价由交易所核定。</w:t>
      </w:r>
    </w:p>
    <w:p>
      <w:pPr>
        <w:suppressAutoHyphens/>
        <w:bidi w:val="0"/>
        <w:spacing w:line="360" w:lineRule="auto"/>
        <w:ind w:firstLine="525" w:firstLineChars="196"/>
        <w:rPr>
          <w:rFonts w:ascii="宋体" w:hAnsi="宋体" w:cs="宋体"/>
          <w:color w:val="000000"/>
          <w:spacing w:val="-6"/>
          <w:kern w:val="0"/>
          <w:sz w:val="28"/>
          <w:szCs w:val="28"/>
        </w:rPr>
      </w:pPr>
      <w:r>
        <w:rPr>
          <w:rFonts w:hint="eastAsia" w:ascii="黑体" w:hAnsi="黑体" w:eastAsia="黑体" w:cs="宋体"/>
          <w:color w:val="000000"/>
          <w:spacing w:val="-6"/>
          <w:kern w:val="0"/>
          <w:sz w:val="28"/>
          <w:szCs w:val="28"/>
        </w:rPr>
        <w:t>第</w:t>
      </w:r>
      <w:r>
        <w:rPr>
          <w:rFonts w:hint="eastAsia" w:ascii="黑体" w:hAnsi="黑体" w:eastAsia="黑体" w:cs="宋体"/>
          <w:color w:val="000000"/>
          <w:spacing w:val="-6"/>
          <w:kern w:val="0"/>
          <w:sz w:val="28"/>
          <w:szCs w:val="28"/>
          <w:lang w:eastAsia="zh-CN"/>
        </w:rPr>
        <w:t>六十二</w:t>
      </w:r>
      <w:r>
        <w:rPr>
          <w:rFonts w:hint="eastAsia" w:ascii="黑体" w:hAnsi="黑体" w:eastAsia="黑体" w:cs="宋体"/>
          <w:color w:val="000000"/>
          <w:spacing w:val="-6"/>
          <w:kern w:val="0"/>
          <w:sz w:val="28"/>
          <w:szCs w:val="28"/>
        </w:rPr>
        <w:t>条</w:t>
      </w:r>
      <w:r>
        <w:rPr>
          <w:rFonts w:hint="eastAsia" w:ascii="宋体" w:hAnsi="宋体" w:cs="宋体"/>
          <w:color w:val="000000"/>
          <w:spacing w:val="-6"/>
          <w:kern w:val="0"/>
          <w:sz w:val="28"/>
          <w:szCs w:val="28"/>
        </w:rPr>
        <w:t xml:space="preserve">  作为保证金的资产的市值按照折扣比率计算后的金额称为折后金额。具体的折扣比率由交易所确定、调整并公布，其中标准仓单、国债等有价证券的折后金额不高于其市值的80%。</w:t>
      </w:r>
    </w:p>
    <w:p>
      <w:pPr>
        <w:suppressAutoHyphens/>
        <w:bidi w:val="0"/>
        <w:spacing w:line="360" w:lineRule="auto"/>
        <w:ind w:firstLine="525" w:firstLineChars="196"/>
        <w:rPr>
          <w:rFonts w:ascii="宋体" w:hAnsi="宋体" w:cs="宋体"/>
          <w:color w:val="000000"/>
          <w:spacing w:val="-6"/>
          <w:kern w:val="0"/>
          <w:sz w:val="28"/>
          <w:szCs w:val="28"/>
        </w:rPr>
      </w:pPr>
      <w:r>
        <w:rPr>
          <w:rFonts w:hint="eastAsia" w:ascii="宋体" w:hAnsi="宋体" w:cs="宋体"/>
          <w:color w:val="000000"/>
          <w:spacing w:val="-6"/>
          <w:kern w:val="0"/>
          <w:sz w:val="28"/>
          <w:szCs w:val="28"/>
        </w:rPr>
        <w:t>交易所每日结算时，按规定的基准价调整作为保证金的资产市值和折后金额。</w:t>
      </w:r>
    </w:p>
    <w:p>
      <w:pPr>
        <w:suppressAutoHyphens/>
        <w:bidi w:val="0"/>
        <w:spacing w:line="360" w:lineRule="auto"/>
        <w:ind w:firstLine="548" w:firstLineChars="196"/>
        <w:rPr>
          <w:rFonts w:ascii="宋体" w:hAnsi="宋体" w:cs="宋体"/>
          <w:color w:val="000000"/>
          <w:spacing w:val="-6"/>
          <w:kern w:val="0"/>
          <w:sz w:val="28"/>
          <w:szCs w:val="28"/>
        </w:rPr>
      </w:pPr>
      <w:r>
        <w:rPr>
          <w:rFonts w:hint="eastAsia" w:ascii="黑体" w:hAnsi="黑体" w:eastAsia="黑体" w:cs="黑体"/>
          <w:color w:val="000000"/>
          <w:kern w:val="0"/>
          <w:sz w:val="28"/>
          <w:szCs w:val="28"/>
        </w:rPr>
        <w:t>第</w:t>
      </w:r>
      <w:r>
        <w:rPr>
          <w:rFonts w:hint="eastAsia" w:ascii="黑体" w:hAnsi="黑体" w:eastAsia="黑体" w:cs="黑体"/>
          <w:color w:val="000000"/>
          <w:kern w:val="0"/>
          <w:sz w:val="28"/>
          <w:szCs w:val="28"/>
          <w:lang w:eastAsia="zh-CN"/>
        </w:rPr>
        <w:t>六十三</w:t>
      </w:r>
      <w:r>
        <w:rPr>
          <w:rFonts w:hint="eastAsia" w:ascii="黑体" w:hAnsi="黑体" w:eastAsia="黑体" w:cs="黑体"/>
          <w:color w:val="000000"/>
          <w:kern w:val="0"/>
          <w:sz w:val="28"/>
          <w:szCs w:val="28"/>
        </w:rPr>
        <w:t>条</w:t>
      </w:r>
      <w:r>
        <w:rPr>
          <w:rFonts w:hint="eastAsia" w:ascii="黑体" w:hAnsi="黑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交易所按照会员在交易所任一内部明细账户中的实有货币资金的4倍（配比乘数）确定会员有价证券作为保证金的最大配比金额。</w:t>
      </w:r>
    </w:p>
    <w:p>
      <w:pPr>
        <w:suppressAutoHyphens/>
        <w:bidi w:val="0"/>
        <w:spacing w:line="360" w:lineRule="auto"/>
        <w:ind w:firstLine="525" w:firstLineChars="196"/>
        <w:rPr>
          <w:rFonts w:ascii="宋体" w:hAnsi="宋体" w:cs="宋体"/>
          <w:color w:val="000000"/>
          <w:spacing w:val="-6"/>
          <w:kern w:val="0"/>
          <w:sz w:val="28"/>
          <w:szCs w:val="28"/>
        </w:rPr>
      </w:pPr>
      <w:r>
        <w:rPr>
          <w:rFonts w:hint="eastAsia" w:ascii="宋体" w:hAnsi="宋体" w:cs="宋体"/>
          <w:color w:val="000000"/>
          <w:spacing w:val="-6"/>
          <w:kern w:val="0"/>
          <w:sz w:val="28"/>
          <w:szCs w:val="28"/>
        </w:rPr>
        <w:t>交易所按照有价证券的折后金额和最大配比金额中的较低金额作为会员有价证券作为保证金的实际可用金额。会员办妥作为保证金使用的有价证券交存手续后，交易所将该笔有价证券的实际可用金额计入会员结算准备金。</w:t>
      </w:r>
    </w:p>
    <w:p>
      <w:pPr>
        <w:suppressAutoHyphens/>
        <w:bidi w:val="0"/>
        <w:spacing w:line="360" w:lineRule="auto"/>
        <w:ind w:firstLine="525" w:firstLineChars="196"/>
        <w:rPr>
          <w:rFonts w:ascii="宋体" w:hAnsi="宋体" w:cs="宋体"/>
          <w:color w:val="000000"/>
          <w:spacing w:val="-6"/>
          <w:kern w:val="0"/>
          <w:sz w:val="28"/>
          <w:szCs w:val="28"/>
        </w:rPr>
      </w:pPr>
      <w:r>
        <w:rPr>
          <w:rFonts w:hint="eastAsia" w:ascii="宋体" w:hAnsi="宋体" w:cs="宋体"/>
          <w:color w:val="000000"/>
          <w:spacing w:val="-6"/>
          <w:kern w:val="0"/>
          <w:sz w:val="28"/>
          <w:szCs w:val="28"/>
        </w:rPr>
        <w:t>交易所在每日结算时，根据以上原则自动调整会员有价证券作为保证金的实际可用金额。</w:t>
      </w:r>
    </w:p>
    <w:p>
      <w:pPr>
        <w:widowControl/>
        <w:suppressAutoHyphens/>
        <w:bidi w:val="0"/>
        <w:spacing w:line="360" w:lineRule="auto"/>
        <w:ind w:firstLine="560" w:firstLineChars="200"/>
        <w:rPr>
          <w:rFonts w:ascii="宋体" w:hAnsi="宋体"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六十四</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黑体" w:hAnsi="宋体" w:eastAsia="黑体" w:cs="黑体"/>
          <w:color w:val="000000"/>
          <w:kern w:val="0"/>
          <w:sz w:val="28"/>
          <w:szCs w:val="28"/>
        </w:rPr>
        <w:t xml:space="preserve"> </w:t>
      </w:r>
      <w:r>
        <w:rPr>
          <w:rFonts w:ascii="宋体" w:hAnsi="宋体" w:cs="宋体"/>
          <w:color w:val="000000"/>
          <w:spacing w:val="-6"/>
          <w:kern w:val="0"/>
          <w:sz w:val="28"/>
          <w:szCs w:val="28"/>
        </w:rPr>
        <w:t>资产作为保证金业务生效当日，交易所结算部门按照资产作为保证金的金额进行账务核算，同时按照资产作为保证金的实际可用金额增加会员保证金。</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黑体" w:eastAsia="黑体"/>
          <w:color w:val="000000"/>
          <w:kern w:val="0"/>
          <w:sz w:val="28"/>
        </w:rPr>
        <w:t>第</w:t>
      </w:r>
      <w:r>
        <w:rPr>
          <w:rFonts w:hint="eastAsia" w:ascii="黑体" w:hAnsi="黑体" w:eastAsia="黑体"/>
          <w:color w:val="000000"/>
          <w:kern w:val="0"/>
          <w:sz w:val="28"/>
          <w:lang w:eastAsia="zh-CN"/>
        </w:rPr>
        <w:t>六十五</w:t>
      </w:r>
      <w:r>
        <w:rPr>
          <w:rFonts w:hint="eastAsia" w:ascii="黑体" w:hAnsi="黑体" w:eastAsia="黑体"/>
          <w:color w:val="000000"/>
          <w:kern w:val="0"/>
          <w:sz w:val="28"/>
        </w:rPr>
        <w:t xml:space="preserve">条  </w:t>
      </w:r>
      <w:r>
        <w:rPr>
          <w:rFonts w:ascii="宋体" w:hAnsi="宋体" w:cs="宋体"/>
          <w:color w:val="000000"/>
          <w:spacing w:val="-6"/>
          <w:kern w:val="0"/>
          <w:sz w:val="28"/>
          <w:szCs w:val="28"/>
        </w:rPr>
        <w:t>资产作为保证金期限内，会员用于配比的货币资金不足时，交易所按照资产作为保证金配比规定及时对该会员的实际可用资产作为保证金的金额作相应调减；会员增加货币资金时，交易所按照资产作为保证金配比规定及时调增其实际可用资产作为保证金的金额。</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黑体" w:eastAsia="黑体" w:cs="Times New Roman"/>
          <w:color w:val="000000"/>
          <w:spacing w:val="0"/>
          <w:kern w:val="0"/>
          <w:sz w:val="28"/>
          <w:szCs w:val="24"/>
        </w:rPr>
        <w:t>第六十六条</w:t>
      </w:r>
      <w:r>
        <w:rPr>
          <w:rFonts w:hint="eastAsia" w:ascii="宋体" w:hAnsi="宋体" w:cs="宋体"/>
          <w:color w:val="000000"/>
          <w:spacing w:val="-6"/>
          <w:kern w:val="0"/>
          <w:sz w:val="28"/>
          <w:szCs w:val="28"/>
        </w:rPr>
        <w:t xml:space="preserve"> 交易所有权根据市场状况调整资产作为保证金的基准价、折扣比率、配比乘数，并由交易所另行通知。</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黑体" w:hAnsi="黑体" w:eastAsia="黑体" w:cs="宋体"/>
          <w:color w:val="000000"/>
          <w:spacing w:val="-6"/>
          <w:kern w:val="0"/>
          <w:sz w:val="28"/>
          <w:szCs w:val="28"/>
        </w:rPr>
        <w:t>第</w:t>
      </w:r>
      <w:r>
        <w:rPr>
          <w:rFonts w:hint="eastAsia" w:ascii="黑体" w:hAnsi="黑体" w:eastAsia="黑体" w:cs="宋体"/>
          <w:color w:val="000000"/>
          <w:spacing w:val="-6"/>
          <w:kern w:val="0"/>
          <w:sz w:val="28"/>
          <w:szCs w:val="28"/>
          <w:lang w:eastAsia="zh-CN"/>
        </w:rPr>
        <w:t>六十七</w:t>
      </w:r>
      <w:r>
        <w:rPr>
          <w:rFonts w:hint="eastAsia" w:ascii="黑体" w:hAnsi="黑体" w:eastAsia="黑体" w:cs="宋体"/>
          <w:color w:val="000000"/>
          <w:spacing w:val="-6"/>
          <w:kern w:val="0"/>
          <w:sz w:val="28"/>
          <w:szCs w:val="28"/>
        </w:rPr>
        <w:t>条</w:t>
      </w:r>
      <w:r>
        <w:rPr>
          <w:rFonts w:hint="eastAsia" w:ascii="宋体" w:hAnsi="宋体" w:cs="宋体"/>
          <w:color w:val="000000"/>
          <w:spacing w:val="-6"/>
          <w:kern w:val="0"/>
          <w:sz w:val="28"/>
          <w:szCs w:val="28"/>
        </w:rPr>
        <w:t xml:space="preserve">  国债作为保证金期间发生兑息的，利息归国债所有人所有，并按照托管机构有关规定办理。</w:t>
      </w:r>
    </w:p>
    <w:p>
      <w:pPr>
        <w:suppressAutoHyphens/>
        <w:bidi w:val="0"/>
        <w:spacing w:line="360" w:lineRule="auto"/>
        <w:ind w:firstLine="536" w:firstLineChars="200"/>
        <w:rPr>
          <w:rFonts w:ascii="宋体" w:hAnsi="宋体" w:cs="宋体"/>
          <w:color w:val="000000"/>
          <w:spacing w:val="-6"/>
          <w:kern w:val="0"/>
          <w:sz w:val="28"/>
          <w:szCs w:val="28"/>
        </w:rPr>
      </w:pPr>
      <w:r>
        <w:rPr>
          <w:rFonts w:hint="eastAsia" w:ascii="黑体" w:hAnsi="黑体" w:eastAsia="黑体" w:cs="宋体"/>
          <w:color w:val="000000"/>
          <w:spacing w:val="-6"/>
          <w:kern w:val="0"/>
          <w:sz w:val="28"/>
          <w:szCs w:val="28"/>
        </w:rPr>
        <w:t>第六十</w:t>
      </w:r>
      <w:r>
        <w:rPr>
          <w:rFonts w:hint="eastAsia" w:ascii="黑体" w:hAnsi="黑体" w:eastAsia="黑体" w:cs="宋体"/>
          <w:color w:val="000000"/>
          <w:spacing w:val="-6"/>
          <w:kern w:val="0"/>
          <w:sz w:val="28"/>
          <w:szCs w:val="28"/>
          <w:lang w:eastAsia="zh-CN"/>
        </w:rPr>
        <w:t>八</w:t>
      </w:r>
      <w:r>
        <w:rPr>
          <w:rFonts w:hint="eastAsia" w:ascii="黑体" w:hAnsi="黑体" w:eastAsia="黑体" w:cs="宋体"/>
          <w:color w:val="000000"/>
          <w:spacing w:val="-6"/>
          <w:kern w:val="0"/>
          <w:sz w:val="28"/>
          <w:szCs w:val="28"/>
        </w:rPr>
        <w:t>条</w:t>
      </w:r>
      <w:r>
        <w:rPr>
          <w:rFonts w:hint="eastAsia" w:ascii="宋体" w:hAnsi="宋体" w:cs="宋体"/>
          <w:color w:val="000000"/>
          <w:spacing w:val="-6"/>
          <w:kern w:val="0"/>
          <w:sz w:val="28"/>
          <w:szCs w:val="28"/>
        </w:rPr>
        <w:t xml:space="preserve">  有价证券作为保证金的，期限不得超过该有价证券的有效期。</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国债作为保证金的，国债到期日前一个月的第一个交易日结算时起，交易所不再将该国债计入实际可用金额计算。会员应当在国债到期日之前办理提取或者解除质押手续。</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宋体" w:eastAsia="黑体" w:cs="黑体"/>
          <w:color w:val="000000"/>
          <w:kern w:val="0"/>
          <w:sz w:val="28"/>
          <w:szCs w:val="28"/>
        </w:rPr>
        <w:t>第六十</w:t>
      </w:r>
      <w:r>
        <w:rPr>
          <w:rFonts w:hint="eastAsia" w:ascii="黑体" w:hAnsi="宋体" w:eastAsia="黑体" w:cs="黑体"/>
          <w:color w:val="000000"/>
          <w:kern w:val="0"/>
          <w:sz w:val="28"/>
          <w:szCs w:val="28"/>
          <w:lang w:eastAsia="zh-CN"/>
        </w:rPr>
        <w:t>九</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出现下列情况之一的，交易所可以取消有关会员资产作为保证金的额度：</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（一）</w:t>
      </w:r>
      <w:r>
        <w:rPr>
          <w:rFonts w:ascii="宋体" w:hAnsi="宋体" w:cs="宋体"/>
          <w:color w:val="000000"/>
          <w:spacing w:val="-6"/>
          <w:kern w:val="0"/>
          <w:sz w:val="28"/>
          <w:szCs w:val="28"/>
        </w:rPr>
        <w:t>使用资产作为保证金的会员</w:t>
      </w:r>
      <w:r>
        <w:rPr>
          <w:rFonts w:hint="eastAsia" w:ascii="宋体" w:hAnsi="宋体" w:cs="宋体"/>
          <w:color w:val="000000"/>
          <w:spacing w:val="-6"/>
          <w:kern w:val="0"/>
          <w:sz w:val="28"/>
          <w:szCs w:val="28"/>
        </w:rPr>
        <w:t>、</w:t>
      </w:r>
      <w:r>
        <w:rPr>
          <w:rFonts w:hint="eastAsia" w:ascii="宋体" w:hAnsi="宋体" w:eastAsia="宋体" w:cs="宋体"/>
          <w:b w:val="0"/>
          <w:color w:val="000000"/>
          <w:spacing w:val="-6"/>
          <w:kern w:val="0"/>
          <w:sz w:val="28"/>
          <w:szCs w:val="28"/>
          <w:highlight w:val="none"/>
          <w:u w:val="none"/>
        </w:rPr>
        <w:t>境外特殊参与者、</w:t>
      </w:r>
      <w:r>
        <w:rPr>
          <w:rFonts w:hint="eastAsia" w:ascii="宋体" w:hAnsi="宋体" w:cs="宋体"/>
          <w:color w:val="000000"/>
          <w:spacing w:val="-6"/>
          <w:kern w:val="0"/>
          <w:sz w:val="28"/>
          <w:szCs w:val="28"/>
        </w:rPr>
        <w:t>境外</w:t>
      </w:r>
      <w:r>
        <w:rPr>
          <w:rFonts w:hint="eastAsia" w:ascii="宋体" w:hAnsi="宋体" w:cs="宋体"/>
          <w:color w:val="000000"/>
          <w:spacing w:val="-6"/>
          <w:kern w:val="0"/>
          <w:sz w:val="28"/>
          <w:szCs w:val="28"/>
          <w:lang w:eastAsia="zh-CN"/>
        </w:rPr>
        <w:t>中介</w:t>
      </w:r>
      <w:r>
        <w:rPr>
          <w:rFonts w:hint="eastAsia" w:ascii="宋体" w:hAnsi="宋体" w:cs="宋体"/>
          <w:color w:val="000000"/>
          <w:spacing w:val="-6"/>
          <w:kern w:val="0"/>
          <w:sz w:val="28"/>
          <w:szCs w:val="28"/>
        </w:rPr>
        <w:t>机构运用资金出现较大风险并有可能危及交易所合法权益的；</w:t>
      </w:r>
    </w:p>
    <w:p>
      <w:pPr>
        <w:widowControl/>
        <w:shd w:val="clear" w:color="auto" w:fill="FFFFFF"/>
        <w:spacing w:before="0" w:beforeAutospacing="0" w:after="0" w:afterAutospacing="0" w:line="360" w:lineRule="auto"/>
        <w:ind w:firstLine="525" w:firstLineChars="196"/>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 xml:space="preserve">（二）作为保证金的资产出现瑕疵或者发生重大风险的； </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（三）交易所认为必要的其他情形。</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交易所取消会员资产作为保证金的额度后，会员保证金不足的，会员应当补足。</w:t>
      </w:r>
    </w:p>
    <w:p>
      <w:pPr>
        <w:widowControl/>
        <w:suppressAutoHyphens/>
        <w:bidi w:val="0"/>
        <w:spacing w:line="360" w:lineRule="auto"/>
        <w:ind w:firstLine="560" w:firstLineChars="200"/>
        <w:rPr>
          <w:rFonts w:hint="eastAsia" w:ascii="宋体" w:hAnsi="宋体" w:cs="宋体"/>
          <w:color w:val="000000"/>
          <w:spacing w:val="-6"/>
          <w:kern w:val="0"/>
          <w:sz w:val="28"/>
          <w:szCs w:val="28"/>
          <w:lang w:val="en-US" w:eastAsia="zh-CN"/>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七十</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lang w:val="en-US" w:eastAsia="zh-CN"/>
        </w:rPr>
        <w:t>当会员不履行或不能完全履行交易保证金债务和相关债务时，交易所有权处置作为保证金的资产，从所得的款项中优先受偿交易保证金债务和相关债务。会员应当承担处置作为保证金的资产时产生的损失及费用。</w:t>
      </w:r>
    </w:p>
    <w:p>
      <w:pPr>
        <w:widowControl/>
        <w:suppressAutoHyphens/>
        <w:bidi w:val="0"/>
        <w:spacing w:line="360" w:lineRule="auto"/>
        <w:ind w:firstLine="560" w:firstLineChars="200"/>
        <w:rPr>
          <w:rFonts w:hint="eastAsia" w:ascii="宋体" w:hAnsi="宋体" w:cs="宋体"/>
          <w:color w:val="000000"/>
          <w:spacing w:val="-6"/>
          <w:kern w:val="0"/>
          <w:sz w:val="28"/>
          <w:szCs w:val="28"/>
          <w:lang w:val="en-US" w:eastAsia="zh-CN"/>
        </w:rPr>
      </w:pPr>
      <w:r>
        <w:rPr>
          <w:rFonts w:hint="eastAsia" w:ascii="黑体" w:hAnsi="宋体" w:eastAsia="黑体" w:cs="黑体"/>
          <w:color w:val="000000"/>
          <w:kern w:val="0"/>
          <w:sz w:val="28"/>
          <w:szCs w:val="28"/>
          <w:lang w:val="en-US" w:eastAsia="zh-CN"/>
        </w:rPr>
        <w:t>第七十一条</w:t>
      </w:r>
      <w:r>
        <w:rPr>
          <w:rFonts w:hint="eastAsia" w:ascii="宋体" w:hAnsi="宋体" w:cs="宋体"/>
          <w:color w:val="000000"/>
          <w:spacing w:val="-6"/>
          <w:kern w:val="0"/>
          <w:sz w:val="28"/>
          <w:szCs w:val="28"/>
          <w:lang w:val="en-US" w:eastAsia="zh-CN"/>
        </w:rPr>
        <w:t xml:space="preserve">  交易所处置作为保证金的有价证券时，综合考虑会员债务和资产状况等因素，可以允许会员向交易所申报所需处置的有价证券，也可以直接按照有价证券的市场流动性、有效期限、处置效率等选择需要处置的有价证券。</w:t>
      </w:r>
    </w:p>
    <w:p>
      <w:pPr>
        <w:widowControl/>
        <w:suppressAutoHyphens/>
        <w:bidi w:val="0"/>
        <w:spacing w:line="360" w:lineRule="auto"/>
        <w:ind w:firstLine="536" w:firstLineChars="200"/>
        <w:rPr>
          <w:rFonts w:hint="eastAsia" w:ascii="宋体" w:hAnsi="宋体" w:cs="宋体"/>
          <w:color w:val="000000"/>
          <w:spacing w:val="-6"/>
          <w:kern w:val="0"/>
          <w:sz w:val="28"/>
          <w:szCs w:val="28"/>
          <w:lang w:val="en-US" w:eastAsia="zh-CN"/>
        </w:rPr>
      </w:pPr>
      <w:r>
        <w:rPr>
          <w:rFonts w:hint="eastAsia" w:ascii="宋体" w:hAnsi="宋体" w:cs="宋体"/>
          <w:color w:val="000000"/>
          <w:spacing w:val="-6"/>
          <w:kern w:val="0"/>
          <w:sz w:val="28"/>
          <w:szCs w:val="28"/>
          <w:lang w:val="en-US" w:eastAsia="zh-CN"/>
        </w:rPr>
        <w:t>有价证券的处置方式为拍卖、变卖和协议折价等，交易所可以根据情况确定处置方式，具体处置由交易所自行办理或者委托托管机构按有关规定办理。采用拍卖、变卖等公开处置方式的，交易所可以公布会员交存至交易所的全部有价证券，由市场参与者根据公布的有价证券提交申购意向。</w:t>
      </w:r>
    </w:p>
    <w:p>
      <w:pPr>
        <w:widowControl/>
        <w:shd w:val="clear" w:color="auto" w:fill="FFFFFF"/>
        <w:spacing w:before="0" w:beforeAutospacing="0" w:after="0" w:afterAutospacing="0" w:line="360" w:lineRule="auto"/>
        <w:ind w:firstLine="560" w:firstLineChars="200"/>
        <w:jc w:val="left"/>
        <w:rPr>
          <w:rFonts w:ascii="仿宋" w:hAnsi="仿宋" w:eastAsia="仿宋" w:cs="Times New Roman"/>
          <w:kern w:val="0"/>
          <w:sz w:val="32"/>
          <w:szCs w:val="32"/>
          <w:lang w:val="en-US" w:eastAsia="zh-CN" w:bidi="ar-SA"/>
        </w:rPr>
      </w:pPr>
      <w:r>
        <w:rPr>
          <w:rFonts w:hint="eastAsia" w:ascii="黑体" w:hAnsi="宋体" w:eastAsia="黑体" w:cs="黑体"/>
          <w:color w:val="000000"/>
          <w:kern w:val="0"/>
          <w:sz w:val="28"/>
          <w:szCs w:val="28"/>
          <w:lang w:val="en-US" w:eastAsia="zh-CN" w:bidi="ar-SA"/>
        </w:rPr>
        <w:t xml:space="preserve">第七十二条  </w:t>
      </w:r>
      <w:r>
        <w:rPr>
          <w:rFonts w:hint="eastAsia" w:ascii="宋体" w:hAnsi="宋体" w:eastAsia="宋体" w:cs="宋体"/>
          <w:color w:val="000000"/>
          <w:spacing w:val="-6"/>
          <w:kern w:val="0"/>
          <w:sz w:val="28"/>
          <w:szCs w:val="28"/>
          <w:lang w:val="en-US" w:eastAsia="zh-CN" w:bidi="ar-SA"/>
        </w:rPr>
        <w:t>会员办理资产提取或者解除质押的，应当弥补相应的保证金。</w:t>
      </w:r>
    </w:p>
    <w:p>
      <w:pPr>
        <w:widowControl/>
        <w:shd w:val="clear" w:color="auto" w:fill="FFFFFF"/>
        <w:spacing w:before="0" w:beforeAutospacing="0" w:after="0" w:afterAutospacing="0" w:line="360" w:lineRule="auto"/>
        <w:ind w:firstLine="560" w:firstLineChars="200"/>
        <w:jc w:val="left"/>
        <w:rPr>
          <w:rFonts w:ascii="仿宋" w:hAnsi="仿宋" w:eastAsia="仿宋" w:cs="Times New Roman"/>
          <w:kern w:val="0"/>
          <w:sz w:val="32"/>
          <w:szCs w:val="32"/>
          <w:lang w:val="en-US" w:eastAsia="zh-CN" w:bidi="ar-SA"/>
        </w:rPr>
      </w:pPr>
      <w:r>
        <w:rPr>
          <w:rFonts w:hint="eastAsia" w:ascii="黑体" w:hAnsi="宋体" w:eastAsia="黑体" w:cs="黑体"/>
          <w:color w:val="000000"/>
          <w:kern w:val="0"/>
          <w:sz w:val="28"/>
          <w:szCs w:val="28"/>
          <w:lang w:val="en-US" w:eastAsia="zh-CN" w:bidi="ar-SA"/>
        </w:rPr>
        <w:t xml:space="preserve">第七十三条  </w:t>
      </w:r>
      <w:r>
        <w:rPr>
          <w:rFonts w:ascii="宋体" w:hAnsi="宋体" w:eastAsia="宋体" w:cs="宋体"/>
          <w:color w:val="000000"/>
          <w:spacing w:val="-6"/>
          <w:kern w:val="0"/>
          <w:sz w:val="28"/>
          <w:szCs w:val="28"/>
          <w:lang w:val="en-US" w:eastAsia="zh-CN" w:bidi="ar-SA"/>
        </w:rPr>
        <w:t>资产作为保证金不能全额及时清偿时，交易所有权将作为保证金的资产按市场价兑现或者变现，用于清偿其作为保证金</w:t>
      </w:r>
      <w:r>
        <w:rPr>
          <w:rFonts w:hint="eastAsia" w:ascii="宋体" w:hAnsi="宋体" w:eastAsia="宋体" w:cs="宋体"/>
          <w:color w:val="000000"/>
          <w:spacing w:val="-6"/>
          <w:kern w:val="0"/>
          <w:sz w:val="28"/>
          <w:szCs w:val="28"/>
          <w:lang w:val="en-US" w:eastAsia="zh-CN" w:bidi="ar-SA"/>
        </w:rPr>
        <w:t>的金额</w:t>
      </w:r>
      <w:r>
        <w:rPr>
          <w:rFonts w:ascii="宋体" w:hAnsi="宋体" w:eastAsia="宋体" w:cs="宋体"/>
          <w:color w:val="000000"/>
          <w:spacing w:val="-6"/>
          <w:kern w:val="0"/>
          <w:sz w:val="28"/>
          <w:szCs w:val="28"/>
          <w:lang w:val="en-US" w:eastAsia="zh-CN" w:bidi="ar-SA"/>
        </w:rPr>
        <w:t>和相关债务。清偿后有余额的，将余额部分退还会员；兑现或者变现金额不足以清偿其作为保证金的金额和相关债务的，交易所有权向会员追索。</w:t>
      </w:r>
    </w:p>
    <w:p>
      <w:pPr>
        <w:widowControl/>
        <w:shd w:val="clear" w:color="auto" w:fill="FFFFFF"/>
        <w:spacing w:before="0" w:beforeAutospacing="0" w:after="0" w:afterAutospacing="0" w:line="360" w:lineRule="auto"/>
        <w:ind w:firstLine="536" w:firstLineChars="200"/>
        <w:jc w:val="left"/>
        <w:rPr>
          <w:rFonts w:ascii="仿宋" w:hAnsi="仿宋" w:eastAsia="仿宋" w:cs="Times New Roman"/>
          <w:kern w:val="0"/>
          <w:sz w:val="32"/>
          <w:szCs w:val="32"/>
          <w:lang w:val="en-US" w:eastAsia="zh-CN" w:bidi="ar-SA"/>
        </w:rPr>
      </w:pPr>
      <w:r>
        <w:rPr>
          <w:rFonts w:ascii="宋体" w:hAnsi="宋体" w:eastAsia="宋体" w:cs="宋体"/>
          <w:color w:val="000000"/>
          <w:spacing w:val="-6"/>
          <w:kern w:val="0"/>
          <w:sz w:val="28"/>
          <w:szCs w:val="28"/>
          <w:lang w:val="en-US" w:eastAsia="zh-CN" w:bidi="ar-SA"/>
        </w:rPr>
        <w:t>兑现或者变现时，资产可以分割的，按其不能清偿的保证金数额、资产作为保证金的费用、兑现或者变现费用以及相关费用等的合计数额进行分割兑现或者变现；资产不能分割的，全部兑现或者变现。</w:t>
      </w:r>
    </w:p>
    <w:p>
      <w:pPr>
        <w:widowControl/>
        <w:shd w:val="clear" w:color="auto" w:fill="FFFFFF"/>
        <w:spacing w:before="0" w:beforeAutospacing="0" w:after="0" w:afterAutospacing="0" w:line="360" w:lineRule="auto"/>
        <w:ind w:firstLine="560" w:firstLineChars="200"/>
        <w:jc w:val="left"/>
        <w:rPr>
          <w:rFonts w:ascii="宋体" w:hAnsi="宋体" w:eastAsia="宋体" w:cs="宋体"/>
          <w:color w:val="000000"/>
          <w:spacing w:val="-6"/>
          <w:kern w:val="0"/>
          <w:sz w:val="28"/>
          <w:szCs w:val="28"/>
          <w:lang w:val="en-US" w:eastAsia="zh-CN" w:bidi="ar-SA"/>
        </w:rPr>
      </w:pPr>
      <w:r>
        <w:rPr>
          <w:rFonts w:hint="eastAsia" w:ascii="黑体" w:hAnsi="宋体" w:eastAsia="黑体" w:cs="黑体"/>
          <w:color w:val="000000"/>
          <w:kern w:val="0"/>
          <w:sz w:val="28"/>
          <w:szCs w:val="28"/>
          <w:lang w:val="en-US" w:eastAsia="zh-CN" w:bidi="ar-SA"/>
        </w:rPr>
        <w:t xml:space="preserve">第七十四条  </w:t>
      </w:r>
      <w:r>
        <w:rPr>
          <w:rFonts w:hint="eastAsia" w:ascii="宋体" w:hAnsi="宋体" w:eastAsia="宋体" w:cs="宋体"/>
          <w:color w:val="000000"/>
          <w:spacing w:val="-6"/>
          <w:kern w:val="0"/>
          <w:sz w:val="28"/>
          <w:szCs w:val="28"/>
          <w:lang w:val="en-US" w:eastAsia="zh-CN" w:bidi="ar-SA"/>
        </w:rPr>
        <w:t>办理资产作为保证金的会员应当向交易所交纳手续费。手续费由交易所按不高于中国人民银行公布的同期贷款利率计算收取。具体计费金额和收费标准由交易所确定、调整并公布。</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资产在作为保证金期内发生的仓储费等其他费用按有关规定交纳。</w:t>
      </w:r>
    </w:p>
    <w:p>
      <w:pPr>
        <w:widowControl/>
        <w:shd w:val="clear" w:color="auto" w:fill="FFFFFF"/>
        <w:spacing w:before="0" w:beforeAutospacing="0" w:after="0" w:afterAutospacing="0" w:line="360" w:lineRule="auto"/>
        <w:ind w:firstLine="536" w:firstLineChars="200"/>
        <w:jc w:val="left"/>
        <w:rPr>
          <w:rFonts w:ascii="宋体" w:hAnsi="宋体" w:eastAsia="宋体" w:cs="宋体"/>
          <w:color w:val="000000"/>
          <w:spacing w:val="-6"/>
          <w:kern w:val="0"/>
          <w:sz w:val="28"/>
          <w:szCs w:val="28"/>
          <w:lang w:val="en-US" w:eastAsia="zh-CN" w:bidi="ar-SA"/>
        </w:rPr>
      </w:pPr>
      <w:r>
        <w:rPr>
          <w:rFonts w:hint="eastAsia" w:ascii="宋体" w:hAnsi="宋体" w:eastAsia="宋体" w:cs="宋体"/>
          <w:color w:val="000000"/>
          <w:spacing w:val="-6"/>
          <w:kern w:val="0"/>
          <w:sz w:val="28"/>
          <w:szCs w:val="28"/>
          <w:lang w:val="en-US" w:eastAsia="zh-CN" w:bidi="ar-SA"/>
        </w:rPr>
        <w:t>有价证券作为保证金业务中托管机构收取的有关费用，按照托管机构的有关规定执行。</w:t>
      </w:r>
    </w:p>
    <w:p>
      <w:pPr>
        <w:widowControl/>
        <w:suppressAutoHyphens/>
        <w:bidi w:val="0"/>
        <w:spacing w:line="360" w:lineRule="auto"/>
        <w:ind w:firstLine="560" w:firstLineChars="200"/>
        <w:rPr>
          <w:rFonts w:ascii="仿宋" w:hAnsi="仿宋" w:eastAsia="仿宋"/>
          <w:sz w:val="32"/>
          <w:szCs w:val="32"/>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七十五</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交易所应当建立资产作为保证金业务相关资料的保管制度，完善相关手续。资产作为保证金业务的相关资料保管期限与会计档案相同。</w:t>
      </w:r>
    </w:p>
    <w:p>
      <w:pPr>
        <w:widowControl/>
        <w:suppressAutoHyphens/>
        <w:bidi w:val="0"/>
        <w:spacing w:line="360" w:lineRule="auto"/>
        <w:jc w:val="center"/>
        <w:rPr>
          <w:rFonts w:ascii="Arial" w:hAnsi="Arial" w:cs="Arial"/>
          <w:color w:val="000000"/>
          <w:kern w:val="0"/>
          <w:sz w:val="32"/>
          <w:szCs w:val="32"/>
        </w:rPr>
      </w:pPr>
      <w:r>
        <w:rPr>
          <w:rFonts w:hint="eastAsia" w:ascii="黑体" w:hAnsi="宋体" w:eastAsia="黑体" w:cs="黑体"/>
          <w:bCs/>
          <w:color w:val="000000"/>
          <w:kern w:val="0"/>
          <w:sz w:val="32"/>
          <w:szCs w:val="32"/>
        </w:rPr>
        <w:t>第</w:t>
      </w:r>
      <w:r>
        <w:rPr>
          <w:rFonts w:hint="eastAsia" w:ascii="黑体" w:hAnsi="宋体" w:eastAsia="黑体" w:cs="黑体"/>
          <w:bCs/>
          <w:color w:val="000000"/>
          <w:kern w:val="0"/>
          <w:sz w:val="32"/>
          <w:szCs w:val="32"/>
          <w:lang w:eastAsia="zh-CN"/>
        </w:rPr>
        <w:t>八</w:t>
      </w:r>
      <w:r>
        <w:rPr>
          <w:rFonts w:hint="eastAsia" w:ascii="黑体" w:hAnsi="宋体" w:eastAsia="黑体" w:cs="黑体"/>
          <w:bCs/>
          <w:color w:val="000000"/>
          <w:kern w:val="0"/>
          <w:sz w:val="32"/>
          <w:szCs w:val="32"/>
        </w:rPr>
        <w:t>章  风险与责任</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七十六</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olor w:val="000000"/>
          <w:kern w:val="0"/>
          <w:sz w:val="28"/>
        </w:rPr>
        <w:t>期货交易风险防范实行分级负责制度。交易所防范会员风险，会员防范其结算交割委托人的风险，境外特殊经纪参与者、境外</w:t>
      </w:r>
      <w:r>
        <w:rPr>
          <w:rFonts w:hint="eastAsia" w:ascii="宋体" w:hAnsi="宋体"/>
          <w:color w:val="000000"/>
          <w:kern w:val="0"/>
          <w:sz w:val="28"/>
          <w:lang w:eastAsia="zh-CN"/>
        </w:rPr>
        <w:t>中介</w:t>
      </w:r>
      <w:r>
        <w:rPr>
          <w:rFonts w:hint="eastAsia" w:ascii="宋体" w:hAnsi="宋体"/>
          <w:color w:val="000000"/>
          <w:kern w:val="0"/>
          <w:sz w:val="28"/>
        </w:rPr>
        <w:t>机构防范其客户的风险</w:t>
      </w:r>
      <w:r>
        <w:rPr>
          <w:rFonts w:hint="eastAsia" w:ascii="宋体" w:hAnsi="宋体" w:cs="宋体"/>
          <w:color w:val="000000"/>
          <w:kern w:val="0"/>
          <w:sz w:val="28"/>
          <w:szCs w:val="28"/>
        </w:rPr>
        <w:t>。</w:t>
      </w:r>
    </w:p>
    <w:p>
      <w:pPr>
        <w:widowControl/>
        <w:suppressAutoHyphens/>
        <w:bidi w:val="0"/>
        <w:spacing w:line="360" w:lineRule="auto"/>
        <w:ind w:firstLine="560" w:firstLineChars="200"/>
        <w:rPr>
          <w:rFonts w:ascii="宋体" w:hAnsi="宋体" w:cs="宋体"/>
          <w:color w:val="000000"/>
          <w:spacing w:val="-6"/>
          <w:kern w:val="0"/>
          <w:sz w:val="28"/>
          <w:szCs w:val="28"/>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七十七</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color w:val="000000"/>
          <w:spacing w:val="-6"/>
          <w:kern w:val="0"/>
          <w:sz w:val="28"/>
          <w:szCs w:val="28"/>
        </w:rPr>
        <w:t>会员对其在交易所成交的合约负有承担风险的责任。</w:t>
      </w:r>
    </w:p>
    <w:p>
      <w:pPr>
        <w:widowControl/>
        <w:suppressAutoHyphens/>
        <w:bidi w:val="0"/>
        <w:spacing w:line="360" w:lineRule="auto"/>
        <w:ind w:firstLine="536" w:firstLineChars="200"/>
        <w:rPr>
          <w:rFonts w:ascii="宋体" w:hAnsi="宋体" w:cs="宋体"/>
          <w:color w:val="000000"/>
          <w:spacing w:val="-6"/>
          <w:kern w:val="0"/>
          <w:sz w:val="28"/>
          <w:szCs w:val="28"/>
        </w:rPr>
      </w:pPr>
      <w:r>
        <w:rPr>
          <w:rFonts w:ascii="宋体" w:hAnsi="宋体" w:cs="宋体"/>
          <w:color w:val="000000"/>
          <w:spacing w:val="-6"/>
          <w:kern w:val="0"/>
          <w:sz w:val="28"/>
          <w:szCs w:val="28"/>
        </w:rPr>
        <w:t>交易所组织期货交易，已经成交的交易指令、了结的期货交易持仓、收取的保证金、已经划转或者完成质押处理的作为保证金的资产、配对完成的标准仓单等交易、结算和交割行为或者财产的法律属性，以及采取的违约处理措施，不因会员进入破产程序而使得相关行为或者财产的法律属性被撤销或者无效</w:t>
      </w:r>
      <w:r>
        <w:rPr>
          <w:rFonts w:hint="eastAsia" w:ascii="宋体" w:hAnsi="宋体" w:cs="宋体"/>
          <w:color w:val="000000"/>
          <w:spacing w:val="-6"/>
          <w:kern w:val="0"/>
          <w:sz w:val="28"/>
          <w:szCs w:val="28"/>
        </w:rPr>
        <w:t>。</w:t>
      </w:r>
    </w:p>
    <w:p>
      <w:pPr>
        <w:widowControl/>
        <w:suppressAutoHyphens/>
        <w:bidi w:val="0"/>
        <w:spacing w:line="360" w:lineRule="auto"/>
        <w:ind w:firstLine="536" w:firstLineChars="200"/>
        <w:rPr>
          <w:rFonts w:ascii="Arial" w:hAnsi="Arial" w:cs="Arial"/>
          <w:color w:val="000000"/>
          <w:kern w:val="0"/>
          <w:szCs w:val="21"/>
        </w:rPr>
      </w:pPr>
      <w:r>
        <w:rPr>
          <w:rFonts w:hint="eastAsia" w:ascii="宋体" w:hAnsi="宋体" w:cs="宋体"/>
          <w:color w:val="000000"/>
          <w:spacing w:val="-6"/>
          <w:kern w:val="0"/>
          <w:sz w:val="28"/>
          <w:szCs w:val="28"/>
        </w:rPr>
        <w:t>会员进入破产程序，交易所仍可以按照交易规则及其实施细则，对该会员未了结的合约进行净额结算。</w:t>
      </w:r>
    </w:p>
    <w:p>
      <w:pPr>
        <w:widowControl/>
        <w:suppressAutoHyphens/>
        <w:bidi w:val="0"/>
        <w:spacing w:line="360" w:lineRule="auto"/>
        <w:ind w:firstLine="560" w:firstLineChars="200"/>
        <w:rPr>
          <w:rFonts w:ascii="黑体" w:hAnsi="宋体" w:eastAsia="黑体" w:cs="黑体"/>
          <w:color w:val="000000"/>
          <w:kern w:val="0"/>
          <w:sz w:val="28"/>
          <w:szCs w:val="28"/>
        </w:rPr>
      </w:pPr>
      <w:r>
        <w:rPr>
          <w:rFonts w:hint="eastAsia" w:ascii="黑体" w:hAnsi="宋体" w:eastAsia="黑体" w:cs="黑体"/>
          <w:color w:val="000000"/>
          <w:kern w:val="0"/>
          <w:sz w:val="28"/>
          <w:szCs w:val="28"/>
        </w:rPr>
        <w:t>第七十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 xml:space="preserve">条  </w:t>
      </w:r>
      <w:r>
        <w:rPr>
          <w:rFonts w:hint="eastAsia" w:ascii="宋体" w:hAnsi="宋体"/>
          <w:color w:val="000000"/>
          <w:kern w:val="0"/>
          <w:sz w:val="28"/>
        </w:rPr>
        <w:t>存管银行发生破产或者其他债权债务纠纷的，保证金不属于其破产财产，不属于冻结或者划拨的财产范围。</w:t>
      </w:r>
    </w:p>
    <w:p>
      <w:pPr>
        <w:widowControl/>
        <w:suppressAutoHyphens/>
        <w:bidi w:val="0"/>
        <w:spacing w:line="360" w:lineRule="auto"/>
        <w:ind w:firstLine="560" w:firstLineChars="200"/>
        <w:rPr>
          <w:rFonts w:ascii="宋体" w:hAnsi="宋体" w:cs="黑体"/>
          <w:color w:val="000000"/>
          <w:kern w:val="0"/>
          <w:sz w:val="28"/>
          <w:szCs w:val="28"/>
        </w:rPr>
      </w:pPr>
      <w:r>
        <w:rPr>
          <w:rFonts w:hint="eastAsia" w:ascii="黑体" w:hAnsi="宋体" w:eastAsia="黑体" w:cs="黑体"/>
          <w:color w:val="000000"/>
          <w:kern w:val="0"/>
          <w:sz w:val="28"/>
          <w:szCs w:val="28"/>
        </w:rPr>
        <w:t>第七十</w:t>
      </w:r>
      <w:r>
        <w:rPr>
          <w:rFonts w:hint="eastAsia" w:ascii="黑体" w:hAnsi="宋体" w:eastAsia="黑体" w:cs="黑体"/>
          <w:color w:val="000000"/>
          <w:kern w:val="0"/>
          <w:sz w:val="28"/>
          <w:szCs w:val="28"/>
          <w:lang w:eastAsia="zh-CN"/>
        </w:rPr>
        <w:t>九</w:t>
      </w:r>
      <w:r>
        <w:rPr>
          <w:rFonts w:hint="eastAsia" w:ascii="黑体" w:hAnsi="宋体" w:eastAsia="黑体" w:cs="黑体"/>
          <w:color w:val="000000"/>
          <w:kern w:val="0"/>
          <w:sz w:val="28"/>
          <w:szCs w:val="28"/>
        </w:rPr>
        <w:t xml:space="preserve">条  </w:t>
      </w:r>
      <w:r>
        <w:rPr>
          <w:rFonts w:hint="eastAsia" w:ascii="宋体" w:hAnsi="宋体" w:cs="黑体"/>
          <w:color w:val="000000"/>
          <w:kern w:val="0"/>
          <w:sz w:val="28"/>
          <w:szCs w:val="28"/>
        </w:rPr>
        <w:t>交割仓库发生破产或者其他债权债务纠纷的，期货市场参与者存放的非交割仓库所有的期货商品，不属于交割仓库的破产财产和查封、扣押的财产范围。</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会员不能履行合约义务时，交易所有权对其采取下列保障措施:</w:t>
      </w:r>
    </w:p>
    <w:p>
      <w:pPr>
        <w:widowControl/>
        <w:suppressAutoHyphens/>
        <w:bidi w:val="0"/>
        <w:spacing w:line="360" w:lineRule="auto"/>
        <w:ind w:firstLine="536" w:firstLineChars="200"/>
        <w:rPr>
          <w:rFonts w:ascii="Arial" w:hAnsi="Arial" w:cs="Arial"/>
          <w:color w:val="000000"/>
          <w:kern w:val="0"/>
          <w:szCs w:val="21"/>
        </w:rPr>
      </w:pPr>
      <w:r>
        <w:rPr>
          <w:rFonts w:hint="eastAsia" w:ascii="宋体" w:hAnsi="宋体" w:cs="宋体"/>
          <w:color w:val="000000"/>
          <w:spacing w:val="-6"/>
          <w:kern w:val="0"/>
          <w:sz w:val="28"/>
          <w:szCs w:val="28"/>
        </w:rPr>
        <w:t xml:space="preserve">（一）动用会员的结算准备金； </w:t>
      </w:r>
    </w:p>
    <w:p>
      <w:pPr>
        <w:widowControl/>
        <w:suppressAutoHyphens/>
        <w:bidi w:val="0"/>
        <w:spacing w:line="360" w:lineRule="auto"/>
        <w:ind w:firstLine="536" w:firstLineChars="200"/>
        <w:rPr>
          <w:rFonts w:ascii="Arial" w:hAnsi="Arial" w:cs="Arial"/>
          <w:color w:val="000000"/>
          <w:kern w:val="0"/>
          <w:szCs w:val="21"/>
        </w:rPr>
      </w:pPr>
      <w:r>
        <w:rPr>
          <w:rFonts w:hint="eastAsia" w:ascii="宋体" w:hAnsi="宋体" w:cs="宋体"/>
          <w:color w:val="000000"/>
          <w:spacing w:val="-6"/>
          <w:kern w:val="0"/>
          <w:sz w:val="28"/>
          <w:szCs w:val="28"/>
        </w:rPr>
        <w:t xml:space="preserve">（二）暂停开仓交易； </w:t>
      </w:r>
    </w:p>
    <w:p>
      <w:pPr>
        <w:widowControl/>
        <w:suppressAutoHyphens/>
        <w:bidi w:val="0"/>
        <w:spacing w:line="360" w:lineRule="auto"/>
        <w:ind w:firstLine="536" w:firstLineChars="200"/>
        <w:jc w:val="center"/>
        <w:rPr>
          <w:rFonts w:ascii="Arial" w:hAnsi="Arial" w:cs="Arial"/>
          <w:color w:val="000000"/>
          <w:kern w:val="0"/>
          <w:szCs w:val="21"/>
        </w:rPr>
      </w:pPr>
      <w:r>
        <w:rPr>
          <w:rFonts w:hint="eastAsia" w:ascii="宋体" w:hAnsi="宋体" w:cs="宋体"/>
          <w:color w:val="000000"/>
          <w:spacing w:val="-6"/>
          <w:kern w:val="0"/>
          <w:sz w:val="28"/>
          <w:szCs w:val="28"/>
        </w:rPr>
        <w:t xml:space="preserve">（三）按规定强行平仓，直至用平仓后释放的保证金能够履约为止； </w:t>
      </w:r>
    </w:p>
    <w:p>
      <w:pPr>
        <w:widowControl/>
        <w:suppressAutoHyphens/>
        <w:bidi w:val="0"/>
        <w:spacing w:line="360" w:lineRule="auto"/>
        <w:ind w:firstLine="536" w:firstLineChars="200"/>
        <w:rPr>
          <w:rFonts w:ascii="宋体" w:hAnsi="宋体" w:cs="宋体"/>
          <w:color w:val="000000"/>
          <w:spacing w:val="-6"/>
          <w:kern w:val="0"/>
          <w:sz w:val="28"/>
          <w:szCs w:val="28"/>
        </w:rPr>
      </w:pPr>
      <w:r>
        <w:rPr>
          <w:rFonts w:hint="eastAsia" w:ascii="宋体" w:hAnsi="宋体" w:cs="宋体"/>
          <w:color w:val="000000"/>
          <w:spacing w:val="-6"/>
          <w:kern w:val="0"/>
          <w:sz w:val="28"/>
          <w:szCs w:val="28"/>
        </w:rPr>
        <w:t xml:space="preserve">（四）将作为保证金的资产变现，用变现所得履约赔偿。 </w:t>
      </w:r>
    </w:p>
    <w:p>
      <w:pPr>
        <w:widowControl/>
        <w:suppressAutoHyphens/>
        <w:bidi w:val="0"/>
        <w:spacing w:line="360" w:lineRule="auto"/>
        <w:ind w:firstLine="560" w:firstLineChars="200"/>
        <w:rPr>
          <w:rFonts w:hint="eastAsia" w:ascii="宋体" w:hAnsi="宋体" w:cs="宋体"/>
          <w:color w:val="000000"/>
          <w:kern w:val="0"/>
          <w:sz w:val="28"/>
          <w:szCs w:val="28"/>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八十一</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采取前条措施后会员仍不能清偿债务的，交易所可采取以下清偿措施： </w:t>
      </w:r>
    </w:p>
    <w:p>
      <w:pPr>
        <w:widowControl/>
        <w:suppressAutoHyphens/>
        <w:bidi w:val="0"/>
        <w:spacing w:line="360" w:lineRule="auto"/>
        <w:ind w:firstLine="560" w:firstLineChars="200"/>
        <w:rPr>
          <w:rFonts w:hint="eastAsia" w:ascii="宋体" w:hAnsi="宋体" w:cs="宋体"/>
          <w:color w:val="000000"/>
          <w:kern w:val="0"/>
          <w:sz w:val="28"/>
          <w:szCs w:val="28"/>
          <w:lang w:eastAsia="zh-CN"/>
        </w:rPr>
      </w:pPr>
      <w:r>
        <w:rPr>
          <w:rFonts w:hint="eastAsia" w:ascii="宋体" w:hAnsi="宋体" w:cs="宋体"/>
          <w:color w:val="000000"/>
          <w:kern w:val="0"/>
          <w:sz w:val="28"/>
          <w:szCs w:val="28"/>
          <w:lang w:eastAsia="zh-CN"/>
        </w:rPr>
        <w:t>（一）转让会员资格，用转让所得抵偿；</w:t>
      </w:r>
    </w:p>
    <w:p>
      <w:pPr>
        <w:widowControl/>
        <w:suppressAutoHyphens/>
        <w:bidi w:val="0"/>
        <w:spacing w:line="360" w:lineRule="auto"/>
        <w:ind w:firstLine="560" w:firstLineChars="200"/>
        <w:rPr>
          <w:rFonts w:hint="eastAsia" w:ascii="宋体" w:hAnsi="宋体" w:cs="宋体"/>
          <w:color w:val="000000"/>
          <w:kern w:val="0"/>
          <w:sz w:val="28"/>
          <w:szCs w:val="28"/>
          <w:lang w:eastAsia="zh-CN"/>
        </w:rPr>
      </w:pPr>
      <w:r>
        <w:rPr>
          <w:rFonts w:hint="eastAsia" w:ascii="宋体" w:hAnsi="宋体" w:cs="宋体"/>
          <w:color w:val="000000"/>
          <w:kern w:val="0"/>
          <w:sz w:val="28"/>
          <w:szCs w:val="28"/>
          <w:lang w:eastAsia="zh-CN"/>
        </w:rPr>
        <w:t>（二）经理事会批准，动用风险准备金进行履约赔偿；</w:t>
      </w:r>
    </w:p>
    <w:p>
      <w:pPr>
        <w:widowControl/>
        <w:suppressAutoHyphens/>
        <w:bidi w:val="0"/>
        <w:spacing w:line="360" w:lineRule="auto"/>
        <w:ind w:firstLine="560" w:firstLineChars="200"/>
        <w:rPr>
          <w:rFonts w:hint="eastAsia" w:ascii="宋体" w:hAnsi="宋体" w:cs="宋体"/>
          <w:color w:val="000000"/>
          <w:kern w:val="0"/>
          <w:sz w:val="28"/>
          <w:szCs w:val="28"/>
          <w:lang w:eastAsia="zh-CN"/>
        </w:rPr>
      </w:pPr>
      <w:r>
        <w:rPr>
          <w:rFonts w:hint="eastAsia" w:ascii="宋体" w:hAnsi="宋体" w:cs="宋体"/>
          <w:color w:val="000000"/>
          <w:kern w:val="0"/>
          <w:sz w:val="28"/>
          <w:szCs w:val="28"/>
          <w:lang w:eastAsia="zh-CN"/>
        </w:rPr>
        <w:t>（三）动用交易所的自有资产进行履约赔偿。</w:t>
      </w:r>
    </w:p>
    <w:p>
      <w:pPr>
        <w:widowControl/>
        <w:suppressAutoHyphens/>
        <w:bidi w:val="0"/>
        <w:spacing w:line="360" w:lineRule="auto"/>
        <w:ind w:firstLine="560" w:firstLineChars="200"/>
        <w:rPr>
          <w:rFonts w:hint="eastAsia" w:ascii="宋体" w:hAnsi="宋体" w:cs="宋体"/>
          <w:color w:val="000000"/>
          <w:kern w:val="0"/>
          <w:sz w:val="28"/>
          <w:szCs w:val="28"/>
          <w:lang w:eastAsia="zh-CN"/>
        </w:rPr>
      </w:pPr>
      <w:r>
        <w:rPr>
          <w:rFonts w:hint="eastAsia" w:ascii="宋体" w:hAnsi="宋体" w:cs="宋体"/>
          <w:color w:val="000000"/>
          <w:kern w:val="0"/>
          <w:sz w:val="28"/>
          <w:szCs w:val="28"/>
          <w:lang w:eastAsia="zh-CN"/>
        </w:rPr>
        <w:t>交易所采取上述措施履行合约相关义务和责任的，有权通过法律程序对会员追偿。</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八十二</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交易所实行风险准备金制度。风险准备金由交易所设立，用于维护期货市场正常运转提供财务担保和弥补交易所难以控制的风险带来的亏损。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八十三</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风险准备金的来源：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（一）交易所按手续费收入20% 的比例提取； </w:t>
      </w:r>
    </w:p>
    <w:p>
      <w:pPr>
        <w:widowControl/>
        <w:suppressAutoHyphens/>
        <w:bidi w:val="0"/>
        <w:spacing w:line="360" w:lineRule="auto"/>
        <w:ind w:firstLine="560" w:firstLineChars="200"/>
        <w:rPr>
          <w:rFonts w:ascii="Arial" w:hAnsi="Arial" w:cs="Arial"/>
          <w:color w:val="000000"/>
          <w:kern w:val="0"/>
          <w:szCs w:val="21"/>
        </w:rPr>
      </w:pPr>
      <w:r>
        <w:rPr>
          <w:rFonts w:hint="eastAsia" w:ascii="宋体" w:hAnsi="宋体" w:cs="宋体"/>
          <w:color w:val="000000"/>
          <w:kern w:val="0"/>
          <w:sz w:val="28"/>
          <w:szCs w:val="28"/>
        </w:rPr>
        <w:t xml:space="preserve">（二）符合国家财政政策规定的其他收入。 </w:t>
      </w:r>
    </w:p>
    <w:p>
      <w:pPr>
        <w:widowControl/>
        <w:suppressAutoHyphens/>
        <w:bidi w:val="0"/>
        <w:spacing w:line="360" w:lineRule="auto"/>
        <w:ind w:firstLine="528" w:firstLineChars="200"/>
        <w:rPr>
          <w:rFonts w:ascii="Arial" w:hAnsi="Arial" w:cs="Arial"/>
          <w:color w:val="000000"/>
          <w:kern w:val="0"/>
          <w:szCs w:val="21"/>
        </w:rPr>
      </w:pPr>
      <w:r>
        <w:rPr>
          <w:rFonts w:hint="eastAsia" w:ascii="宋体" w:hAnsi="宋体" w:cs="宋体"/>
          <w:color w:val="000000"/>
          <w:spacing w:val="-8"/>
          <w:kern w:val="0"/>
          <w:sz w:val="28"/>
          <w:szCs w:val="28"/>
        </w:rPr>
        <w:t xml:space="preserve">当风险准备金余额达到一定规模时，经中国证监会批准可不再提取。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八十四</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风险准备金必须单独核算，专户存储。 </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八十五</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风险准备金的动用必须经交易所理事会批准，并报告中国证监会。 </w:t>
      </w:r>
    </w:p>
    <w:p>
      <w:pPr>
        <w:suppressAutoHyphens/>
        <w:bidi w:val="0"/>
        <w:spacing w:line="360" w:lineRule="auto"/>
        <w:jc w:val="center"/>
        <w:outlineLvl w:val="1"/>
        <w:rPr>
          <w:rFonts w:ascii="Arial" w:hAnsi="Arial" w:cs="Arial"/>
          <w:color w:val="000000"/>
          <w:kern w:val="0"/>
          <w:sz w:val="32"/>
          <w:szCs w:val="32"/>
        </w:rPr>
      </w:pPr>
      <w:r>
        <w:rPr>
          <w:rFonts w:hint="eastAsia" w:ascii="黑体" w:hAnsi="宋体" w:eastAsia="黑体" w:cs="黑体"/>
          <w:bCs/>
          <w:color w:val="000000"/>
          <w:kern w:val="0"/>
          <w:sz w:val="32"/>
          <w:szCs w:val="32"/>
        </w:rPr>
        <w:t>第</w:t>
      </w:r>
      <w:r>
        <w:rPr>
          <w:rFonts w:hint="eastAsia" w:ascii="黑体" w:hAnsi="宋体" w:eastAsia="黑体" w:cs="黑体"/>
          <w:bCs/>
          <w:color w:val="000000"/>
          <w:kern w:val="0"/>
          <w:sz w:val="32"/>
          <w:szCs w:val="32"/>
          <w:lang w:eastAsia="zh-CN"/>
        </w:rPr>
        <w:t>九</w:t>
      </w:r>
      <w:r>
        <w:rPr>
          <w:rFonts w:hint="eastAsia" w:ascii="黑体" w:hAnsi="宋体" w:eastAsia="黑体" w:cs="黑体"/>
          <w:bCs/>
          <w:color w:val="000000"/>
          <w:kern w:val="0"/>
          <w:sz w:val="32"/>
          <w:szCs w:val="32"/>
        </w:rPr>
        <w:t>章  附 则</w:t>
      </w:r>
    </w:p>
    <w:p>
      <w:pPr>
        <w:widowControl/>
        <w:suppressAutoHyphens/>
        <w:bidi w:val="0"/>
        <w:spacing w:line="360" w:lineRule="auto"/>
        <w:ind w:firstLine="560" w:firstLineChars="200"/>
        <w:rPr>
          <w:rFonts w:ascii="宋体" w:hAnsi="宋体" w:cs="宋体"/>
          <w:color w:val="000000"/>
          <w:kern w:val="0"/>
          <w:sz w:val="28"/>
          <w:szCs w:val="28"/>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八十六</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违反本办法规定的，交易所按照《郑州商品交易所违规处理办法》有关规定处理。</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w:t>
      </w:r>
      <w:r>
        <w:rPr>
          <w:rFonts w:hint="eastAsia" w:ascii="黑体" w:hAnsi="宋体" w:eastAsia="黑体" w:cs="黑体"/>
          <w:color w:val="000000"/>
          <w:kern w:val="0"/>
          <w:sz w:val="28"/>
          <w:szCs w:val="28"/>
          <w:lang w:eastAsia="zh-CN"/>
        </w:rPr>
        <w:t>八十七</w:t>
      </w:r>
      <w:r>
        <w:rPr>
          <w:rFonts w:hint="eastAsia" w:ascii="黑体" w:hAnsi="宋体" w:eastAsia="黑体" w:cs="黑体"/>
          <w:color w:val="000000"/>
          <w:kern w:val="0"/>
          <w:sz w:val="28"/>
          <w:szCs w:val="28"/>
        </w:rPr>
        <w:t>条</w:t>
      </w:r>
      <w:r>
        <w:rPr>
          <w:rFonts w:hint="eastAsia" w:ascii="宋体" w:hAnsi="宋体" w:cs="宋体"/>
          <w:color w:val="000000"/>
          <w:kern w:val="0"/>
          <w:sz w:val="28"/>
          <w:szCs w:val="28"/>
        </w:rPr>
        <w:t xml:space="preserve">  本办法解释权属于郑州商品交易所。</w:t>
      </w:r>
    </w:p>
    <w:p>
      <w:pPr>
        <w:widowControl/>
        <w:suppressAutoHyphens/>
        <w:bidi w:val="0"/>
        <w:spacing w:line="360" w:lineRule="auto"/>
        <w:ind w:firstLine="560" w:firstLineChars="200"/>
        <w:rPr>
          <w:rFonts w:ascii="Arial" w:hAnsi="Arial" w:cs="Arial"/>
          <w:color w:val="000000"/>
          <w:kern w:val="0"/>
          <w:szCs w:val="21"/>
        </w:rPr>
      </w:pPr>
      <w:r>
        <w:rPr>
          <w:rFonts w:hint="eastAsia" w:ascii="黑体" w:hAnsi="宋体" w:eastAsia="黑体" w:cs="黑体"/>
          <w:color w:val="000000"/>
          <w:kern w:val="0"/>
          <w:sz w:val="28"/>
          <w:szCs w:val="28"/>
        </w:rPr>
        <w:t>第八十</w:t>
      </w:r>
      <w:r>
        <w:rPr>
          <w:rFonts w:hint="eastAsia" w:ascii="黑体" w:hAnsi="宋体" w:eastAsia="黑体" w:cs="黑体"/>
          <w:color w:val="000000"/>
          <w:kern w:val="0"/>
          <w:sz w:val="28"/>
          <w:szCs w:val="28"/>
          <w:lang w:eastAsia="zh-CN"/>
        </w:rPr>
        <w:t>八</w:t>
      </w:r>
      <w:r>
        <w:rPr>
          <w:rFonts w:hint="eastAsia" w:ascii="黑体" w:hAnsi="宋体" w:eastAsia="黑体" w:cs="黑体"/>
          <w:color w:val="000000"/>
          <w:kern w:val="0"/>
          <w:sz w:val="28"/>
          <w:szCs w:val="28"/>
        </w:rPr>
        <w:t>条</w:t>
      </w:r>
      <w:r>
        <w:rPr>
          <w:rFonts w:hint="eastAsia" w:ascii="黑体" w:hAnsi="宋体" w:eastAsia="黑体" w:cs="黑体"/>
          <w:color w:val="000000"/>
          <w:kern w:val="0"/>
          <w:sz w:val="28"/>
          <w:szCs w:val="28"/>
          <w:lang w:val="en-US" w:eastAsia="zh-CN"/>
        </w:rPr>
        <w:t xml:space="preserve">  </w:t>
      </w:r>
      <w:r>
        <w:rPr>
          <w:rFonts w:hint="eastAsia" w:ascii="宋体" w:hAnsi="宋体" w:cs="宋体"/>
          <w:kern w:val="0"/>
          <w:sz w:val="28"/>
          <w:szCs w:val="28"/>
          <w:highlight w:val="none"/>
        </w:rPr>
        <w:t>本办法自</w:t>
      </w:r>
      <w:r>
        <w:rPr>
          <w:rFonts w:ascii="宋体" w:hAnsi="宋体" w:cs="宋体"/>
          <w:kern w:val="0"/>
          <w:sz w:val="28"/>
          <w:szCs w:val="28"/>
          <w:highlight w:val="none"/>
        </w:rPr>
        <w:t>202</w:t>
      </w:r>
      <w:r>
        <w:rPr>
          <w:rFonts w:hint="eastAsia" w:ascii="宋体" w:hAnsi="宋体" w:cs="宋体"/>
          <w:kern w:val="0"/>
          <w:sz w:val="28"/>
          <w:szCs w:val="28"/>
          <w:highlight w:val="none"/>
          <w:lang w:val="en-US" w:eastAsia="zh-CN"/>
        </w:rPr>
        <w:t>6</w:t>
      </w:r>
      <w:r>
        <w:rPr>
          <w:rFonts w:hint="eastAsia" w:ascii="宋体" w:hAnsi="宋体" w:cs="宋体"/>
          <w:kern w:val="0"/>
          <w:sz w:val="28"/>
          <w:szCs w:val="28"/>
          <w:highlight w:val="none"/>
        </w:rPr>
        <w:t>年</w:t>
      </w:r>
      <w:r>
        <w:rPr>
          <w:rFonts w:hint="eastAsia" w:ascii="宋体" w:hAnsi="宋体" w:cs="宋体"/>
          <w:kern w:val="0"/>
          <w:sz w:val="28"/>
          <w:szCs w:val="28"/>
          <w:highlight w:val="none"/>
          <w:lang w:val="en-US" w:eastAsia="zh-CN"/>
        </w:rPr>
        <w:t>9</w:t>
      </w:r>
      <w:r>
        <w:rPr>
          <w:rFonts w:hint="eastAsia" w:ascii="宋体" w:hAnsi="宋体" w:cs="宋体"/>
          <w:kern w:val="0"/>
          <w:sz w:val="28"/>
          <w:szCs w:val="28"/>
          <w:highlight w:val="none"/>
        </w:rPr>
        <w:t>月</w:t>
      </w:r>
      <w:r>
        <w:rPr>
          <w:rFonts w:hint="eastAsia" w:ascii="宋体" w:hAnsi="宋体" w:cs="宋体"/>
          <w:kern w:val="0"/>
          <w:sz w:val="28"/>
          <w:szCs w:val="28"/>
          <w:highlight w:val="none"/>
          <w:lang w:val="en-US" w:eastAsia="zh-CN"/>
        </w:rPr>
        <w:t>11</w:t>
      </w:r>
      <w:r>
        <w:rPr>
          <w:rFonts w:hint="eastAsia" w:ascii="宋体" w:hAnsi="宋体" w:cs="宋体"/>
          <w:kern w:val="0"/>
          <w:sz w:val="28"/>
          <w:szCs w:val="28"/>
          <w:highlight w:val="none"/>
        </w:rPr>
        <w:t>日施行。</w:t>
      </w:r>
    </w:p>
    <w:p>
      <w:pPr>
        <w:ind w:firstLine="648"/>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rPr>
          <w:rFonts w:ascii="仿宋" w:hAnsi="仿宋" w:eastAsia="仿宋"/>
          <w:sz w:val="32"/>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sz w:val="28"/>
      </w:rPr>
    </w:pPr>
    <w:r>
      <w:rPr>
        <w:rFonts w:hint="eastAsia"/>
        <w:sz w:val="28"/>
      </w:rPr>
      <w:t>—</w:t>
    </w:r>
    <w:r>
      <w:rPr>
        <w:rStyle w:val="8"/>
        <w:sz w:val="28"/>
      </w:rPr>
      <w:fldChar w:fldCharType="begin"/>
    </w:r>
    <w:r>
      <w:rPr>
        <w:rStyle w:val="8"/>
        <w:sz w:val="28"/>
      </w:rPr>
      <w:instrText xml:space="preserve"> PAGE </w:instrText>
    </w:r>
    <w:r>
      <w:rPr>
        <w:rStyle w:val="8"/>
        <w:sz w:val="28"/>
      </w:rPr>
      <w:fldChar w:fldCharType="separate"/>
    </w:r>
    <w:r>
      <w:rPr>
        <w:rStyle w:val="8"/>
        <w:sz w:val="28"/>
      </w:rPr>
      <w:t>1</w:t>
    </w:r>
    <w:r>
      <w:rPr>
        <w:rStyle w:val="8"/>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sz w:val="28"/>
      </w:rPr>
    </w:pPr>
    <w:r>
      <w:rPr>
        <w:rFonts w:hint="eastAsia"/>
        <w:sz w:val="28"/>
      </w:rPr>
      <w:t>—</w:t>
    </w:r>
    <w:r>
      <w:rPr>
        <w:rStyle w:val="8"/>
        <w:sz w:val="28"/>
      </w:rPr>
      <w:fldChar w:fldCharType="begin"/>
    </w:r>
    <w:r>
      <w:rPr>
        <w:rStyle w:val="8"/>
        <w:sz w:val="28"/>
      </w:rPr>
      <w:instrText xml:space="preserve"> PAGE </w:instrText>
    </w:r>
    <w:r>
      <w:rPr>
        <w:rStyle w:val="8"/>
        <w:sz w:val="28"/>
      </w:rPr>
      <w:fldChar w:fldCharType="separate"/>
    </w:r>
    <w:r>
      <w:rPr>
        <w:rStyle w:val="8"/>
        <w:sz w:val="28"/>
      </w:rPr>
      <w:t>4</w:t>
    </w:r>
    <w:r>
      <w:rPr>
        <w:rStyle w:val="8"/>
        <w:sz w:val="28"/>
      </w:rPr>
      <w:fldChar w:fldCharType="end"/>
    </w:r>
    <w:r>
      <w:rPr>
        <w:rFonts w:hint="eastAsia"/>
        <w:sz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0E8A"/>
    <w:rsid w:val="000001F5"/>
    <w:rsid w:val="000003DC"/>
    <w:rsid w:val="000014F8"/>
    <w:rsid w:val="00002A40"/>
    <w:rsid w:val="00002BEB"/>
    <w:rsid w:val="00002E26"/>
    <w:rsid w:val="00004296"/>
    <w:rsid w:val="00004C6F"/>
    <w:rsid w:val="00004EB1"/>
    <w:rsid w:val="00005702"/>
    <w:rsid w:val="000073AA"/>
    <w:rsid w:val="00010417"/>
    <w:rsid w:val="00011183"/>
    <w:rsid w:val="00012607"/>
    <w:rsid w:val="0001260C"/>
    <w:rsid w:val="00014A55"/>
    <w:rsid w:val="000169B4"/>
    <w:rsid w:val="0002049C"/>
    <w:rsid w:val="000242DE"/>
    <w:rsid w:val="0002676C"/>
    <w:rsid w:val="00026C87"/>
    <w:rsid w:val="00027299"/>
    <w:rsid w:val="00030567"/>
    <w:rsid w:val="000329D1"/>
    <w:rsid w:val="0003324C"/>
    <w:rsid w:val="00034F86"/>
    <w:rsid w:val="00036407"/>
    <w:rsid w:val="00044139"/>
    <w:rsid w:val="0005173D"/>
    <w:rsid w:val="0005205B"/>
    <w:rsid w:val="00052C5E"/>
    <w:rsid w:val="0005492E"/>
    <w:rsid w:val="00056C26"/>
    <w:rsid w:val="00060795"/>
    <w:rsid w:val="000608B0"/>
    <w:rsid w:val="000617CC"/>
    <w:rsid w:val="00061A4A"/>
    <w:rsid w:val="0006518A"/>
    <w:rsid w:val="0006663E"/>
    <w:rsid w:val="00067B6F"/>
    <w:rsid w:val="00067BE9"/>
    <w:rsid w:val="00074328"/>
    <w:rsid w:val="00074E4B"/>
    <w:rsid w:val="000754DD"/>
    <w:rsid w:val="00081302"/>
    <w:rsid w:val="000820C9"/>
    <w:rsid w:val="00082102"/>
    <w:rsid w:val="00082D2E"/>
    <w:rsid w:val="0008334C"/>
    <w:rsid w:val="0008416A"/>
    <w:rsid w:val="00085DE8"/>
    <w:rsid w:val="000900EC"/>
    <w:rsid w:val="000901D1"/>
    <w:rsid w:val="00094CFF"/>
    <w:rsid w:val="000967AC"/>
    <w:rsid w:val="00097D09"/>
    <w:rsid w:val="000A140C"/>
    <w:rsid w:val="000A5168"/>
    <w:rsid w:val="000A5A3D"/>
    <w:rsid w:val="000B1E3C"/>
    <w:rsid w:val="000B31FF"/>
    <w:rsid w:val="000B3E74"/>
    <w:rsid w:val="000B5091"/>
    <w:rsid w:val="000B5688"/>
    <w:rsid w:val="000B7916"/>
    <w:rsid w:val="000C172F"/>
    <w:rsid w:val="000C17CA"/>
    <w:rsid w:val="000C3315"/>
    <w:rsid w:val="000C356C"/>
    <w:rsid w:val="000C4C59"/>
    <w:rsid w:val="000C7636"/>
    <w:rsid w:val="000D0540"/>
    <w:rsid w:val="000D606B"/>
    <w:rsid w:val="000D7306"/>
    <w:rsid w:val="000D762C"/>
    <w:rsid w:val="000E0627"/>
    <w:rsid w:val="000E06FA"/>
    <w:rsid w:val="000E5475"/>
    <w:rsid w:val="000E76FB"/>
    <w:rsid w:val="000F23E7"/>
    <w:rsid w:val="000F29FC"/>
    <w:rsid w:val="000F2DBF"/>
    <w:rsid w:val="000F40AA"/>
    <w:rsid w:val="001033A4"/>
    <w:rsid w:val="001062DA"/>
    <w:rsid w:val="001065BE"/>
    <w:rsid w:val="00110A8C"/>
    <w:rsid w:val="00110E85"/>
    <w:rsid w:val="00110E86"/>
    <w:rsid w:val="001213D3"/>
    <w:rsid w:val="0012151D"/>
    <w:rsid w:val="001228B3"/>
    <w:rsid w:val="00124271"/>
    <w:rsid w:val="00125339"/>
    <w:rsid w:val="0012557A"/>
    <w:rsid w:val="001314E3"/>
    <w:rsid w:val="00133D3D"/>
    <w:rsid w:val="00134BCD"/>
    <w:rsid w:val="00134E02"/>
    <w:rsid w:val="001356A6"/>
    <w:rsid w:val="00136D74"/>
    <w:rsid w:val="00137D11"/>
    <w:rsid w:val="00140916"/>
    <w:rsid w:val="001409DF"/>
    <w:rsid w:val="001433B9"/>
    <w:rsid w:val="00143967"/>
    <w:rsid w:val="00143D92"/>
    <w:rsid w:val="001441F0"/>
    <w:rsid w:val="001441F8"/>
    <w:rsid w:val="001447A0"/>
    <w:rsid w:val="0014593B"/>
    <w:rsid w:val="0014676B"/>
    <w:rsid w:val="00147675"/>
    <w:rsid w:val="00151823"/>
    <w:rsid w:val="00153C74"/>
    <w:rsid w:val="00154105"/>
    <w:rsid w:val="00156318"/>
    <w:rsid w:val="00156457"/>
    <w:rsid w:val="00162E48"/>
    <w:rsid w:val="00163388"/>
    <w:rsid w:val="00163ECE"/>
    <w:rsid w:val="00164038"/>
    <w:rsid w:val="00164B62"/>
    <w:rsid w:val="00164F46"/>
    <w:rsid w:val="001706AC"/>
    <w:rsid w:val="00171E7C"/>
    <w:rsid w:val="00171F06"/>
    <w:rsid w:val="0017384B"/>
    <w:rsid w:val="00176367"/>
    <w:rsid w:val="00180471"/>
    <w:rsid w:val="00181992"/>
    <w:rsid w:val="00181DFD"/>
    <w:rsid w:val="0018239C"/>
    <w:rsid w:val="001861A4"/>
    <w:rsid w:val="001862D9"/>
    <w:rsid w:val="00190997"/>
    <w:rsid w:val="00191680"/>
    <w:rsid w:val="00192AD1"/>
    <w:rsid w:val="00194106"/>
    <w:rsid w:val="001A0003"/>
    <w:rsid w:val="001A0DA0"/>
    <w:rsid w:val="001A356C"/>
    <w:rsid w:val="001A52B1"/>
    <w:rsid w:val="001A7B8A"/>
    <w:rsid w:val="001B2208"/>
    <w:rsid w:val="001B3392"/>
    <w:rsid w:val="001B3B4A"/>
    <w:rsid w:val="001B616B"/>
    <w:rsid w:val="001B6997"/>
    <w:rsid w:val="001B6D33"/>
    <w:rsid w:val="001B6EF1"/>
    <w:rsid w:val="001C0D37"/>
    <w:rsid w:val="001C1EBD"/>
    <w:rsid w:val="001C2DA1"/>
    <w:rsid w:val="001C4BA8"/>
    <w:rsid w:val="001C4E7B"/>
    <w:rsid w:val="001C5CE6"/>
    <w:rsid w:val="001C7403"/>
    <w:rsid w:val="001D2C75"/>
    <w:rsid w:val="001D3188"/>
    <w:rsid w:val="001D33B7"/>
    <w:rsid w:val="001D6F9A"/>
    <w:rsid w:val="001E18EE"/>
    <w:rsid w:val="001E18F9"/>
    <w:rsid w:val="001E366C"/>
    <w:rsid w:val="001E4DE0"/>
    <w:rsid w:val="001E4FD8"/>
    <w:rsid w:val="001E66F0"/>
    <w:rsid w:val="001F04EB"/>
    <w:rsid w:val="001F261A"/>
    <w:rsid w:val="001F3D02"/>
    <w:rsid w:val="001F4C5C"/>
    <w:rsid w:val="001F52D8"/>
    <w:rsid w:val="001F5336"/>
    <w:rsid w:val="001F7336"/>
    <w:rsid w:val="001F7DEE"/>
    <w:rsid w:val="002027A7"/>
    <w:rsid w:val="002030EA"/>
    <w:rsid w:val="002064B3"/>
    <w:rsid w:val="0021318F"/>
    <w:rsid w:val="00213A1D"/>
    <w:rsid w:val="0021433B"/>
    <w:rsid w:val="00215DED"/>
    <w:rsid w:val="002203D1"/>
    <w:rsid w:val="002205AB"/>
    <w:rsid w:val="0022195F"/>
    <w:rsid w:val="0022333C"/>
    <w:rsid w:val="00223499"/>
    <w:rsid w:val="0022466A"/>
    <w:rsid w:val="002265F2"/>
    <w:rsid w:val="00227684"/>
    <w:rsid w:val="002308AD"/>
    <w:rsid w:val="00230BBB"/>
    <w:rsid w:val="0023113C"/>
    <w:rsid w:val="002339F9"/>
    <w:rsid w:val="00233A04"/>
    <w:rsid w:val="00233AA1"/>
    <w:rsid w:val="002342EC"/>
    <w:rsid w:val="00236543"/>
    <w:rsid w:val="00236A42"/>
    <w:rsid w:val="002373CA"/>
    <w:rsid w:val="00237510"/>
    <w:rsid w:val="002411B9"/>
    <w:rsid w:val="00241BA8"/>
    <w:rsid w:val="002425E4"/>
    <w:rsid w:val="00242C8C"/>
    <w:rsid w:val="00244C30"/>
    <w:rsid w:val="002465C0"/>
    <w:rsid w:val="00247137"/>
    <w:rsid w:val="00251A65"/>
    <w:rsid w:val="002520CF"/>
    <w:rsid w:val="0025352C"/>
    <w:rsid w:val="00253770"/>
    <w:rsid w:val="002548CD"/>
    <w:rsid w:val="00257D88"/>
    <w:rsid w:val="0026069B"/>
    <w:rsid w:val="002658FB"/>
    <w:rsid w:val="002669A1"/>
    <w:rsid w:val="00267DAA"/>
    <w:rsid w:val="00270700"/>
    <w:rsid w:val="00270AE1"/>
    <w:rsid w:val="002719A7"/>
    <w:rsid w:val="002735CC"/>
    <w:rsid w:val="0027432D"/>
    <w:rsid w:val="0028016B"/>
    <w:rsid w:val="00280F80"/>
    <w:rsid w:val="00281DBB"/>
    <w:rsid w:val="002829F2"/>
    <w:rsid w:val="0028462F"/>
    <w:rsid w:val="00286088"/>
    <w:rsid w:val="00287836"/>
    <w:rsid w:val="00287BED"/>
    <w:rsid w:val="00291BA0"/>
    <w:rsid w:val="00291DD3"/>
    <w:rsid w:val="00291E6A"/>
    <w:rsid w:val="002953EA"/>
    <w:rsid w:val="00295707"/>
    <w:rsid w:val="00297E3F"/>
    <w:rsid w:val="002A08CD"/>
    <w:rsid w:val="002A0A8F"/>
    <w:rsid w:val="002A2D8E"/>
    <w:rsid w:val="002A3208"/>
    <w:rsid w:val="002B18F5"/>
    <w:rsid w:val="002B1977"/>
    <w:rsid w:val="002B21D8"/>
    <w:rsid w:val="002B53B4"/>
    <w:rsid w:val="002B5E5D"/>
    <w:rsid w:val="002B79A7"/>
    <w:rsid w:val="002C067B"/>
    <w:rsid w:val="002C2288"/>
    <w:rsid w:val="002C2AD8"/>
    <w:rsid w:val="002C401D"/>
    <w:rsid w:val="002C49BB"/>
    <w:rsid w:val="002C545C"/>
    <w:rsid w:val="002C54DF"/>
    <w:rsid w:val="002C66E0"/>
    <w:rsid w:val="002D4C09"/>
    <w:rsid w:val="002D5C89"/>
    <w:rsid w:val="002D6773"/>
    <w:rsid w:val="002E1A35"/>
    <w:rsid w:val="002E25FB"/>
    <w:rsid w:val="002E3400"/>
    <w:rsid w:val="002E39C3"/>
    <w:rsid w:val="002E39F5"/>
    <w:rsid w:val="002E481D"/>
    <w:rsid w:val="002E7A81"/>
    <w:rsid w:val="002F1A51"/>
    <w:rsid w:val="002F4C97"/>
    <w:rsid w:val="002F5419"/>
    <w:rsid w:val="0030292D"/>
    <w:rsid w:val="00306EBE"/>
    <w:rsid w:val="0031001B"/>
    <w:rsid w:val="00312BA8"/>
    <w:rsid w:val="003149DA"/>
    <w:rsid w:val="00317E1B"/>
    <w:rsid w:val="00321B8F"/>
    <w:rsid w:val="00321C8E"/>
    <w:rsid w:val="003223F2"/>
    <w:rsid w:val="003226A6"/>
    <w:rsid w:val="003231B1"/>
    <w:rsid w:val="0032481B"/>
    <w:rsid w:val="003301BB"/>
    <w:rsid w:val="0033099F"/>
    <w:rsid w:val="003314C9"/>
    <w:rsid w:val="00333080"/>
    <w:rsid w:val="00336655"/>
    <w:rsid w:val="0033681A"/>
    <w:rsid w:val="00340820"/>
    <w:rsid w:val="00344236"/>
    <w:rsid w:val="00344F8F"/>
    <w:rsid w:val="003461AD"/>
    <w:rsid w:val="00347FB0"/>
    <w:rsid w:val="00350091"/>
    <w:rsid w:val="00352A3F"/>
    <w:rsid w:val="003561DD"/>
    <w:rsid w:val="003602CA"/>
    <w:rsid w:val="0036356D"/>
    <w:rsid w:val="00364976"/>
    <w:rsid w:val="00365F05"/>
    <w:rsid w:val="0037359E"/>
    <w:rsid w:val="0037586C"/>
    <w:rsid w:val="0037605A"/>
    <w:rsid w:val="00377265"/>
    <w:rsid w:val="003801B1"/>
    <w:rsid w:val="00382171"/>
    <w:rsid w:val="00382985"/>
    <w:rsid w:val="003849B5"/>
    <w:rsid w:val="00384FA8"/>
    <w:rsid w:val="00386551"/>
    <w:rsid w:val="00387FA7"/>
    <w:rsid w:val="00390ABB"/>
    <w:rsid w:val="003913E8"/>
    <w:rsid w:val="00392985"/>
    <w:rsid w:val="003930F1"/>
    <w:rsid w:val="0039314B"/>
    <w:rsid w:val="00393181"/>
    <w:rsid w:val="00395343"/>
    <w:rsid w:val="003967D5"/>
    <w:rsid w:val="003A107E"/>
    <w:rsid w:val="003A133D"/>
    <w:rsid w:val="003A7001"/>
    <w:rsid w:val="003A748A"/>
    <w:rsid w:val="003A7807"/>
    <w:rsid w:val="003A7D1E"/>
    <w:rsid w:val="003B01E2"/>
    <w:rsid w:val="003B51C1"/>
    <w:rsid w:val="003B7506"/>
    <w:rsid w:val="003B7561"/>
    <w:rsid w:val="003B75E3"/>
    <w:rsid w:val="003B75EE"/>
    <w:rsid w:val="003C051B"/>
    <w:rsid w:val="003C151A"/>
    <w:rsid w:val="003C1A4A"/>
    <w:rsid w:val="003C2638"/>
    <w:rsid w:val="003C3470"/>
    <w:rsid w:val="003C4245"/>
    <w:rsid w:val="003C5A99"/>
    <w:rsid w:val="003D0613"/>
    <w:rsid w:val="003D0967"/>
    <w:rsid w:val="003D19D2"/>
    <w:rsid w:val="003D556B"/>
    <w:rsid w:val="003D7F73"/>
    <w:rsid w:val="003E0362"/>
    <w:rsid w:val="003E1029"/>
    <w:rsid w:val="003E2FE4"/>
    <w:rsid w:val="003E4471"/>
    <w:rsid w:val="003E6C9F"/>
    <w:rsid w:val="003E73A5"/>
    <w:rsid w:val="003E7595"/>
    <w:rsid w:val="003E787F"/>
    <w:rsid w:val="003F01B2"/>
    <w:rsid w:val="003F0D09"/>
    <w:rsid w:val="003F4183"/>
    <w:rsid w:val="003F6309"/>
    <w:rsid w:val="003F6ED2"/>
    <w:rsid w:val="003F769A"/>
    <w:rsid w:val="003F7EF5"/>
    <w:rsid w:val="0040148C"/>
    <w:rsid w:val="004018D9"/>
    <w:rsid w:val="00403A9B"/>
    <w:rsid w:val="00404591"/>
    <w:rsid w:val="00405FD8"/>
    <w:rsid w:val="00406F84"/>
    <w:rsid w:val="00407062"/>
    <w:rsid w:val="00410188"/>
    <w:rsid w:val="00410991"/>
    <w:rsid w:val="00411DB1"/>
    <w:rsid w:val="004126B3"/>
    <w:rsid w:val="00416877"/>
    <w:rsid w:val="00420EDB"/>
    <w:rsid w:val="00423645"/>
    <w:rsid w:val="00423667"/>
    <w:rsid w:val="00425A35"/>
    <w:rsid w:val="004269A5"/>
    <w:rsid w:val="00426A35"/>
    <w:rsid w:val="0043178A"/>
    <w:rsid w:val="00433114"/>
    <w:rsid w:val="00433274"/>
    <w:rsid w:val="00433B15"/>
    <w:rsid w:val="004374B5"/>
    <w:rsid w:val="004408B1"/>
    <w:rsid w:val="00440D54"/>
    <w:rsid w:val="00440F13"/>
    <w:rsid w:val="004414FB"/>
    <w:rsid w:val="00442279"/>
    <w:rsid w:val="00444D7A"/>
    <w:rsid w:val="00446281"/>
    <w:rsid w:val="00446447"/>
    <w:rsid w:val="00446938"/>
    <w:rsid w:val="004473BE"/>
    <w:rsid w:val="0045364B"/>
    <w:rsid w:val="0046210E"/>
    <w:rsid w:val="00462A8C"/>
    <w:rsid w:val="00466AFC"/>
    <w:rsid w:val="00470443"/>
    <w:rsid w:val="00470D46"/>
    <w:rsid w:val="0047312A"/>
    <w:rsid w:val="00473ED2"/>
    <w:rsid w:val="00474229"/>
    <w:rsid w:val="00480E20"/>
    <w:rsid w:val="004821A8"/>
    <w:rsid w:val="004829A0"/>
    <w:rsid w:val="00484774"/>
    <w:rsid w:val="00485652"/>
    <w:rsid w:val="00486416"/>
    <w:rsid w:val="00490F3B"/>
    <w:rsid w:val="004921FC"/>
    <w:rsid w:val="00492DE1"/>
    <w:rsid w:val="0049421E"/>
    <w:rsid w:val="0049451D"/>
    <w:rsid w:val="00496FBD"/>
    <w:rsid w:val="00497FC8"/>
    <w:rsid w:val="004A089A"/>
    <w:rsid w:val="004A0F82"/>
    <w:rsid w:val="004A5508"/>
    <w:rsid w:val="004A59DC"/>
    <w:rsid w:val="004A627A"/>
    <w:rsid w:val="004B0CDC"/>
    <w:rsid w:val="004B2684"/>
    <w:rsid w:val="004B39FE"/>
    <w:rsid w:val="004B4495"/>
    <w:rsid w:val="004B63B0"/>
    <w:rsid w:val="004C14F0"/>
    <w:rsid w:val="004C1BB7"/>
    <w:rsid w:val="004C23D2"/>
    <w:rsid w:val="004C3FD8"/>
    <w:rsid w:val="004C47BC"/>
    <w:rsid w:val="004C7DC3"/>
    <w:rsid w:val="004D0874"/>
    <w:rsid w:val="004D0C9D"/>
    <w:rsid w:val="004D0D5C"/>
    <w:rsid w:val="004D1EE3"/>
    <w:rsid w:val="004D2CD1"/>
    <w:rsid w:val="004D57D3"/>
    <w:rsid w:val="004D7963"/>
    <w:rsid w:val="004E1889"/>
    <w:rsid w:val="004E390F"/>
    <w:rsid w:val="004E5897"/>
    <w:rsid w:val="004E683C"/>
    <w:rsid w:val="004E7E37"/>
    <w:rsid w:val="004E7F35"/>
    <w:rsid w:val="004F0AD2"/>
    <w:rsid w:val="004F3A0C"/>
    <w:rsid w:val="004F49CC"/>
    <w:rsid w:val="004F5AB1"/>
    <w:rsid w:val="005001D1"/>
    <w:rsid w:val="00500FB7"/>
    <w:rsid w:val="0050160E"/>
    <w:rsid w:val="00501C80"/>
    <w:rsid w:val="00503228"/>
    <w:rsid w:val="005046CA"/>
    <w:rsid w:val="005048F5"/>
    <w:rsid w:val="00505011"/>
    <w:rsid w:val="00505EDB"/>
    <w:rsid w:val="00507749"/>
    <w:rsid w:val="00507CE6"/>
    <w:rsid w:val="00514116"/>
    <w:rsid w:val="005153FE"/>
    <w:rsid w:val="0052702A"/>
    <w:rsid w:val="00527C0C"/>
    <w:rsid w:val="00527D39"/>
    <w:rsid w:val="00535129"/>
    <w:rsid w:val="005379F1"/>
    <w:rsid w:val="00540AA8"/>
    <w:rsid w:val="00541262"/>
    <w:rsid w:val="00541F96"/>
    <w:rsid w:val="00542C13"/>
    <w:rsid w:val="00545CBA"/>
    <w:rsid w:val="00546229"/>
    <w:rsid w:val="00546406"/>
    <w:rsid w:val="00551A87"/>
    <w:rsid w:val="00551C0C"/>
    <w:rsid w:val="00554132"/>
    <w:rsid w:val="0055488E"/>
    <w:rsid w:val="00554FF2"/>
    <w:rsid w:val="0055541A"/>
    <w:rsid w:val="00555939"/>
    <w:rsid w:val="00556447"/>
    <w:rsid w:val="005621AA"/>
    <w:rsid w:val="005628BD"/>
    <w:rsid w:val="00564AE3"/>
    <w:rsid w:val="00564C50"/>
    <w:rsid w:val="005668E5"/>
    <w:rsid w:val="00566CC1"/>
    <w:rsid w:val="00567284"/>
    <w:rsid w:val="00571B6C"/>
    <w:rsid w:val="005729DA"/>
    <w:rsid w:val="005738F5"/>
    <w:rsid w:val="00574D60"/>
    <w:rsid w:val="00575806"/>
    <w:rsid w:val="005819FD"/>
    <w:rsid w:val="00581D48"/>
    <w:rsid w:val="00582539"/>
    <w:rsid w:val="00583F73"/>
    <w:rsid w:val="005846F6"/>
    <w:rsid w:val="0058594A"/>
    <w:rsid w:val="00590D0A"/>
    <w:rsid w:val="0059177F"/>
    <w:rsid w:val="00592AEE"/>
    <w:rsid w:val="00592EA1"/>
    <w:rsid w:val="00593014"/>
    <w:rsid w:val="0059455E"/>
    <w:rsid w:val="0059464C"/>
    <w:rsid w:val="00595D4E"/>
    <w:rsid w:val="005A1D09"/>
    <w:rsid w:val="005A3192"/>
    <w:rsid w:val="005A50CF"/>
    <w:rsid w:val="005A6A99"/>
    <w:rsid w:val="005B0920"/>
    <w:rsid w:val="005B2CFA"/>
    <w:rsid w:val="005B3EB0"/>
    <w:rsid w:val="005B4FEC"/>
    <w:rsid w:val="005B5660"/>
    <w:rsid w:val="005B59CF"/>
    <w:rsid w:val="005B6DD9"/>
    <w:rsid w:val="005C02E0"/>
    <w:rsid w:val="005C04FC"/>
    <w:rsid w:val="005C0873"/>
    <w:rsid w:val="005C1FB9"/>
    <w:rsid w:val="005C2E57"/>
    <w:rsid w:val="005C5072"/>
    <w:rsid w:val="005D1EB0"/>
    <w:rsid w:val="005D3662"/>
    <w:rsid w:val="005D514A"/>
    <w:rsid w:val="005D5928"/>
    <w:rsid w:val="005D592A"/>
    <w:rsid w:val="005D6191"/>
    <w:rsid w:val="005D6E7E"/>
    <w:rsid w:val="005D7939"/>
    <w:rsid w:val="005E0426"/>
    <w:rsid w:val="005E0D26"/>
    <w:rsid w:val="005E1791"/>
    <w:rsid w:val="005E3374"/>
    <w:rsid w:val="005E3E96"/>
    <w:rsid w:val="005E555F"/>
    <w:rsid w:val="005E5956"/>
    <w:rsid w:val="005E5BC9"/>
    <w:rsid w:val="005F12E8"/>
    <w:rsid w:val="005F21B2"/>
    <w:rsid w:val="005F4FB5"/>
    <w:rsid w:val="005F6138"/>
    <w:rsid w:val="005F713B"/>
    <w:rsid w:val="005F7E81"/>
    <w:rsid w:val="00601454"/>
    <w:rsid w:val="00602ADC"/>
    <w:rsid w:val="006037EF"/>
    <w:rsid w:val="00603D6E"/>
    <w:rsid w:val="00606801"/>
    <w:rsid w:val="00607C2B"/>
    <w:rsid w:val="00607DBD"/>
    <w:rsid w:val="00610591"/>
    <w:rsid w:val="00613D08"/>
    <w:rsid w:val="0061555B"/>
    <w:rsid w:val="00617CB2"/>
    <w:rsid w:val="00620DF9"/>
    <w:rsid w:val="00621317"/>
    <w:rsid w:val="00623308"/>
    <w:rsid w:val="006248CD"/>
    <w:rsid w:val="00624A63"/>
    <w:rsid w:val="00625B3C"/>
    <w:rsid w:val="0062699B"/>
    <w:rsid w:val="00630498"/>
    <w:rsid w:val="006314E1"/>
    <w:rsid w:val="006328C3"/>
    <w:rsid w:val="00632F5E"/>
    <w:rsid w:val="00633E7F"/>
    <w:rsid w:val="00635785"/>
    <w:rsid w:val="0063717C"/>
    <w:rsid w:val="00640929"/>
    <w:rsid w:val="00641386"/>
    <w:rsid w:val="00641C5C"/>
    <w:rsid w:val="00644D4D"/>
    <w:rsid w:val="00645213"/>
    <w:rsid w:val="006474F9"/>
    <w:rsid w:val="0065129A"/>
    <w:rsid w:val="00651AEC"/>
    <w:rsid w:val="00651D9C"/>
    <w:rsid w:val="00652D9B"/>
    <w:rsid w:val="006537A3"/>
    <w:rsid w:val="00653B1E"/>
    <w:rsid w:val="00653EDC"/>
    <w:rsid w:val="00654E70"/>
    <w:rsid w:val="00655591"/>
    <w:rsid w:val="006562F6"/>
    <w:rsid w:val="0066079D"/>
    <w:rsid w:val="00660A2F"/>
    <w:rsid w:val="00660B6E"/>
    <w:rsid w:val="006627B1"/>
    <w:rsid w:val="00663022"/>
    <w:rsid w:val="0066351A"/>
    <w:rsid w:val="00665C44"/>
    <w:rsid w:val="00665DDA"/>
    <w:rsid w:val="00670F02"/>
    <w:rsid w:val="0067102D"/>
    <w:rsid w:val="0067266B"/>
    <w:rsid w:val="00673F4C"/>
    <w:rsid w:val="006742EA"/>
    <w:rsid w:val="00674913"/>
    <w:rsid w:val="00674E39"/>
    <w:rsid w:val="00677267"/>
    <w:rsid w:val="0068138E"/>
    <w:rsid w:val="00684780"/>
    <w:rsid w:val="00686E1A"/>
    <w:rsid w:val="0069003D"/>
    <w:rsid w:val="0069003F"/>
    <w:rsid w:val="00692E94"/>
    <w:rsid w:val="006969B9"/>
    <w:rsid w:val="006A0F09"/>
    <w:rsid w:val="006A1AEA"/>
    <w:rsid w:val="006A2176"/>
    <w:rsid w:val="006A2184"/>
    <w:rsid w:val="006A3A0A"/>
    <w:rsid w:val="006A5DA6"/>
    <w:rsid w:val="006A6DE3"/>
    <w:rsid w:val="006A7851"/>
    <w:rsid w:val="006A7EA8"/>
    <w:rsid w:val="006B0ACE"/>
    <w:rsid w:val="006B2BDD"/>
    <w:rsid w:val="006B4965"/>
    <w:rsid w:val="006B4980"/>
    <w:rsid w:val="006C02A5"/>
    <w:rsid w:val="006C0447"/>
    <w:rsid w:val="006C129D"/>
    <w:rsid w:val="006C203E"/>
    <w:rsid w:val="006C38A4"/>
    <w:rsid w:val="006C49FD"/>
    <w:rsid w:val="006C4B97"/>
    <w:rsid w:val="006C50CD"/>
    <w:rsid w:val="006C6454"/>
    <w:rsid w:val="006C7AC8"/>
    <w:rsid w:val="006D149C"/>
    <w:rsid w:val="006D3857"/>
    <w:rsid w:val="006D4925"/>
    <w:rsid w:val="006D569A"/>
    <w:rsid w:val="006E31D8"/>
    <w:rsid w:val="006E6A2A"/>
    <w:rsid w:val="006F0484"/>
    <w:rsid w:val="006F080C"/>
    <w:rsid w:val="006F1359"/>
    <w:rsid w:val="006F158B"/>
    <w:rsid w:val="006F1E58"/>
    <w:rsid w:val="006F23CB"/>
    <w:rsid w:val="006F48E3"/>
    <w:rsid w:val="006F50AC"/>
    <w:rsid w:val="006F74A2"/>
    <w:rsid w:val="00700211"/>
    <w:rsid w:val="007011FA"/>
    <w:rsid w:val="00703268"/>
    <w:rsid w:val="0070466B"/>
    <w:rsid w:val="00704C41"/>
    <w:rsid w:val="00705B6C"/>
    <w:rsid w:val="0071126F"/>
    <w:rsid w:val="00716716"/>
    <w:rsid w:val="007174FB"/>
    <w:rsid w:val="0072193C"/>
    <w:rsid w:val="00722195"/>
    <w:rsid w:val="00722DF3"/>
    <w:rsid w:val="0072337C"/>
    <w:rsid w:val="007248DD"/>
    <w:rsid w:val="00725DC9"/>
    <w:rsid w:val="007353B7"/>
    <w:rsid w:val="007401A6"/>
    <w:rsid w:val="007411E7"/>
    <w:rsid w:val="007421F7"/>
    <w:rsid w:val="00743992"/>
    <w:rsid w:val="00746E50"/>
    <w:rsid w:val="00753B62"/>
    <w:rsid w:val="00756541"/>
    <w:rsid w:val="007577C1"/>
    <w:rsid w:val="00762951"/>
    <w:rsid w:val="00762D59"/>
    <w:rsid w:val="007645DA"/>
    <w:rsid w:val="00764E4E"/>
    <w:rsid w:val="00767AB0"/>
    <w:rsid w:val="00767CFD"/>
    <w:rsid w:val="00767F64"/>
    <w:rsid w:val="00770547"/>
    <w:rsid w:val="00770D97"/>
    <w:rsid w:val="00774CBB"/>
    <w:rsid w:val="00776102"/>
    <w:rsid w:val="00776C9C"/>
    <w:rsid w:val="00777225"/>
    <w:rsid w:val="00782F7F"/>
    <w:rsid w:val="00782FB3"/>
    <w:rsid w:val="00785516"/>
    <w:rsid w:val="00786FDC"/>
    <w:rsid w:val="007870B5"/>
    <w:rsid w:val="00787A85"/>
    <w:rsid w:val="00791FF4"/>
    <w:rsid w:val="00793217"/>
    <w:rsid w:val="007934D7"/>
    <w:rsid w:val="007936C6"/>
    <w:rsid w:val="007945EC"/>
    <w:rsid w:val="0079609E"/>
    <w:rsid w:val="00797651"/>
    <w:rsid w:val="007A0D07"/>
    <w:rsid w:val="007A1C3A"/>
    <w:rsid w:val="007A7856"/>
    <w:rsid w:val="007B045B"/>
    <w:rsid w:val="007B0F2F"/>
    <w:rsid w:val="007B225A"/>
    <w:rsid w:val="007B3428"/>
    <w:rsid w:val="007B3443"/>
    <w:rsid w:val="007B74D2"/>
    <w:rsid w:val="007C0A55"/>
    <w:rsid w:val="007C1F4B"/>
    <w:rsid w:val="007C406F"/>
    <w:rsid w:val="007C41F5"/>
    <w:rsid w:val="007C44FF"/>
    <w:rsid w:val="007D117D"/>
    <w:rsid w:val="007D50B2"/>
    <w:rsid w:val="007E1202"/>
    <w:rsid w:val="007E1648"/>
    <w:rsid w:val="007E1CF4"/>
    <w:rsid w:val="007E4F5C"/>
    <w:rsid w:val="007F0B9C"/>
    <w:rsid w:val="007F12DF"/>
    <w:rsid w:val="007F25BD"/>
    <w:rsid w:val="007F47CF"/>
    <w:rsid w:val="007F5054"/>
    <w:rsid w:val="00801CD4"/>
    <w:rsid w:val="008041DD"/>
    <w:rsid w:val="0080452C"/>
    <w:rsid w:val="00805924"/>
    <w:rsid w:val="008079BF"/>
    <w:rsid w:val="00807B60"/>
    <w:rsid w:val="00807BD8"/>
    <w:rsid w:val="00807C11"/>
    <w:rsid w:val="008105F4"/>
    <w:rsid w:val="008119D8"/>
    <w:rsid w:val="00811E93"/>
    <w:rsid w:val="008125CE"/>
    <w:rsid w:val="008146E6"/>
    <w:rsid w:val="00814C5F"/>
    <w:rsid w:val="008332E6"/>
    <w:rsid w:val="0083409E"/>
    <w:rsid w:val="008347C5"/>
    <w:rsid w:val="008353DC"/>
    <w:rsid w:val="00835DF3"/>
    <w:rsid w:val="008402AB"/>
    <w:rsid w:val="00840C50"/>
    <w:rsid w:val="00842221"/>
    <w:rsid w:val="00843C4D"/>
    <w:rsid w:val="008455D2"/>
    <w:rsid w:val="0085280D"/>
    <w:rsid w:val="00854C4A"/>
    <w:rsid w:val="00855939"/>
    <w:rsid w:val="00855A48"/>
    <w:rsid w:val="00857098"/>
    <w:rsid w:val="00857D9B"/>
    <w:rsid w:val="00860824"/>
    <w:rsid w:val="0086088F"/>
    <w:rsid w:val="00860F09"/>
    <w:rsid w:val="00862247"/>
    <w:rsid w:val="0086374F"/>
    <w:rsid w:val="0086458C"/>
    <w:rsid w:val="00865982"/>
    <w:rsid w:val="008677F8"/>
    <w:rsid w:val="00867CBC"/>
    <w:rsid w:val="0087311C"/>
    <w:rsid w:val="0087312B"/>
    <w:rsid w:val="00877623"/>
    <w:rsid w:val="00880FE3"/>
    <w:rsid w:val="00885AF3"/>
    <w:rsid w:val="008861DB"/>
    <w:rsid w:val="00886B5B"/>
    <w:rsid w:val="00887BC0"/>
    <w:rsid w:val="00890E4E"/>
    <w:rsid w:val="00892CEA"/>
    <w:rsid w:val="00893FA5"/>
    <w:rsid w:val="00895ED3"/>
    <w:rsid w:val="00896A7D"/>
    <w:rsid w:val="00896D80"/>
    <w:rsid w:val="00896F45"/>
    <w:rsid w:val="008975C2"/>
    <w:rsid w:val="00897F0A"/>
    <w:rsid w:val="008A29C6"/>
    <w:rsid w:val="008A3724"/>
    <w:rsid w:val="008A37A0"/>
    <w:rsid w:val="008A3D86"/>
    <w:rsid w:val="008A4369"/>
    <w:rsid w:val="008A6A41"/>
    <w:rsid w:val="008A7137"/>
    <w:rsid w:val="008A73A6"/>
    <w:rsid w:val="008A752D"/>
    <w:rsid w:val="008B0BEF"/>
    <w:rsid w:val="008B108E"/>
    <w:rsid w:val="008B4109"/>
    <w:rsid w:val="008B44D1"/>
    <w:rsid w:val="008B58D3"/>
    <w:rsid w:val="008B666D"/>
    <w:rsid w:val="008B726D"/>
    <w:rsid w:val="008C4D65"/>
    <w:rsid w:val="008C5808"/>
    <w:rsid w:val="008C6277"/>
    <w:rsid w:val="008C686F"/>
    <w:rsid w:val="008C69E6"/>
    <w:rsid w:val="008C791C"/>
    <w:rsid w:val="008C79E3"/>
    <w:rsid w:val="008C7A2C"/>
    <w:rsid w:val="008D1F8C"/>
    <w:rsid w:val="008D43F0"/>
    <w:rsid w:val="008D6A30"/>
    <w:rsid w:val="008D70A1"/>
    <w:rsid w:val="008D7E6C"/>
    <w:rsid w:val="008D7F8E"/>
    <w:rsid w:val="008E1CF1"/>
    <w:rsid w:val="008E4600"/>
    <w:rsid w:val="008E4864"/>
    <w:rsid w:val="008E5280"/>
    <w:rsid w:val="008F194F"/>
    <w:rsid w:val="008F23BA"/>
    <w:rsid w:val="008F707F"/>
    <w:rsid w:val="008F7AF0"/>
    <w:rsid w:val="0090427D"/>
    <w:rsid w:val="009049B0"/>
    <w:rsid w:val="00907630"/>
    <w:rsid w:val="00907746"/>
    <w:rsid w:val="00912290"/>
    <w:rsid w:val="009179C7"/>
    <w:rsid w:val="009213DC"/>
    <w:rsid w:val="00922713"/>
    <w:rsid w:val="0092514C"/>
    <w:rsid w:val="00925743"/>
    <w:rsid w:val="00926249"/>
    <w:rsid w:val="00927B12"/>
    <w:rsid w:val="00927DD5"/>
    <w:rsid w:val="00933314"/>
    <w:rsid w:val="00936376"/>
    <w:rsid w:val="00936625"/>
    <w:rsid w:val="00936727"/>
    <w:rsid w:val="0094190F"/>
    <w:rsid w:val="00941D9D"/>
    <w:rsid w:val="00941E8C"/>
    <w:rsid w:val="00942036"/>
    <w:rsid w:val="009435D7"/>
    <w:rsid w:val="00945CAD"/>
    <w:rsid w:val="00946101"/>
    <w:rsid w:val="009471A6"/>
    <w:rsid w:val="00950339"/>
    <w:rsid w:val="0095072D"/>
    <w:rsid w:val="009516B9"/>
    <w:rsid w:val="00951E05"/>
    <w:rsid w:val="00953FE9"/>
    <w:rsid w:val="00967314"/>
    <w:rsid w:val="00967401"/>
    <w:rsid w:val="00967C83"/>
    <w:rsid w:val="009735A6"/>
    <w:rsid w:val="00975B60"/>
    <w:rsid w:val="009773DF"/>
    <w:rsid w:val="00977777"/>
    <w:rsid w:val="00977B4E"/>
    <w:rsid w:val="00981747"/>
    <w:rsid w:val="00983412"/>
    <w:rsid w:val="00985E9D"/>
    <w:rsid w:val="0099036A"/>
    <w:rsid w:val="00990981"/>
    <w:rsid w:val="00991648"/>
    <w:rsid w:val="00992245"/>
    <w:rsid w:val="009A2431"/>
    <w:rsid w:val="009A3D9F"/>
    <w:rsid w:val="009A6D15"/>
    <w:rsid w:val="009A707D"/>
    <w:rsid w:val="009A79B7"/>
    <w:rsid w:val="009B0EFA"/>
    <w:rsid w:val="009B1069"/>
    <w:rsid w:val="009B1625"/>
    <w:rsid w:val="009B35A4"/>
    <w:rsid w:val="009B414D"/>
    <w:rsid w:val="009B6E50"/>
    <w:rsid w:val="009C19F3"/>
    <w:rsid w:val="009C1C67"/>
    <w:rsid w:val="009C5B82"/>
    <w:rsid w:val="009C787A"/>
    <w:rsid w:val="009D1570"/>
    <w:rsid w:val="009D3D00"/>
    <w:rsid w:val="009D433B"/>
    <w:rsid w:val="009E0A2C"/>
    <w:rsid w:val="009E1A47"/>
    <w:rsid w:val="009E4DFE"/>
    <w:rsid w:val="009F1B63"/>
    <w:rsid w:val="009F2AD7"/>
    <w:rsid w:val="009F42EE"/>
    <w:rsid w:val="009F6A61"/>
    <w:rsid w:val="009F7DA6"/>
    <w:rsid w:val="00A01A63"/>
    <w:rsid w:val="00A02121"/>
    <w:rsid w:val="00A03706"/>
    <w:rsid w:val="00A03D5B"/>
    <w:rsid w:val="00A05EE7"/>
    <w:rsid w:val="00A10A72"/>
    <w:rsid w:val="00A1115B"/>
    <w:rsid w:val="00A1204A"/>
    <w:rsid w:val="00A152FF"/>
    <w:rsid w:val="00A16314"/>
    <w:rsid w:val="00A216CB"/>
    <w:rsid w:val="00A220C3"/>
    <w:rsid w:val="00A22A2E"/>
    <w:rsid w:val="00A22BFF"/>
    <w:rsid w:val="00A232D8"/>
    <w:rsid w:val="00A2404E"/>
    <w:rsid w:val="00A26387"/>
    <w:rsid w:val="00A26689"/>
    <w:rsid w:val="00A31713"/>
    <w:rsid w:val="00A3235F"/>
    <w:rsid w:val="00A3251B"/>
    <w:rsid w:val="00A33E65"/>
    <w:rsid w:val="00A34BCB"/>
    <w:rsid w:val="00A3589C"/>
    <w:rsid w:val="00A3634C"/>
    <w:rsid w:val="00A36DA0"/>
    <w:rsid w:val="00A40684"/>
    <w:rsid w:val="00A411AF"/>
    <w:rsid w:val="00A41A0E"/>
    <w:rsid w:val="00A44164"/>
    <w:rsid w:val="00A44806"/>
    <w:rsid w:val="00A47B8F"/>
    <w:rsid w:val="00A50223"/>
    <w:rsid w:val="00A50A42"/>
    <w:rsid w:val="00A524D8"/>
    <w:rsid w:val="00A52DC2"/>
    <w:rsid w:val="00A543BD"/>
    <w:rsid w:val="00A54BC9"/>
    <w:rsid w:val="00A5671D"/>
    <w:rsid w:val="00A56F8A"/>
    <w:rsid w:val="00A57C25"/>
    <w:rsid w:val="00A66558"/>
    <w:rsid w:val="00A66F48"/>
    <w:rsid w:val="00A71A45"/>
    <w:rsid w:val="00A7556B"/>
    <w:rsid w:val="00A770CF"/>
    <w:rsid w:val="00A8210C"/>
    <w:rsid w:val="00A822DA"/>
    <w:rsid w:val="00A8355C"/>
    <w:rsid w:val="00A84C24"/>
    <w:rsid w:val="00A85B0F"/>
    <w:rsid w:val="00A87534"/>
    <w:rsid w:val="00A87A28"/>
    <w:rsid w:val="00A920DF"/>
    <w:rsid w:val="00A931F6"/>
    <w:rsid w:val="00A94938"/>
    <w:rsid w:val="00A955A8"/>
    <w:rsid w:val="00A956C6"/>
    <w:rsid w:val="00A97BCB"/>
    <w:rsid w:val="00AA1721"/>
    <w:rsid w:val="00AA1DCD"/>
    <w:rsid w:val="00AA373A"/>
    <w:rsid w:val="00AA5413"/>
    <w:rsid w:val="00AA580A"/>
    <w:rsid w:val="00AA732E"/>
    <w:rsid w:val="00AB2140"/>
    <w:rsid w:val="00AB2BBF"/>
    <w:rsid w:val="00AB5BDE"/>
    <w:rsid w:val="00AB645B"/>
    <w:rsid w:val="00AC00D7"/>
    <w:rsid w:val="00AC00DD"/>
    <w:rsid w:val="00AC0732"/>
    <w:rsid w:val="00AC08AE"/>
    <w:rsid w:val="00AC0F0D"/>
    <w:rsid w:val="00AC132D"/>
    <w:rsid w:val="00AC3B0A"/>
    <w:rsid w:val="00AC4733"/>
    <w:rsid w:val="00AC5236"/>
    <w:rsid w:val="00AC548F"/>
    <w:rsid w:val="00AC54B8"/>
    <w:rsid w:val="00AD0753"/>
    <w:rsid w:val="00AD0E8A"/>
    <w:rsid w:val="00AD43D3"/>
    <w:rsid w:val="00AD5279"/>
    <w:rsid w:val="00AD5DCE"/>
    <w:rsid w:val="00AD605C"/>
    <w:rsid w:val="00AD6FB9"/>
    <w:rsid w:val="00AD7588"/>
    <w:rsid w:val="00AE08E3"/>
    <w:rsid w:val="00AE128D"/>
    <w:rsid w:val="00AE1488"/>
    <w:rsid w:val="00AE1950"/>
    <w:rsid w:val="00AE1B03"/>
    <w:rsid w:val="00AE25F4"/>
    <w:rsid w:val="00AE405E"/>
    <w:rsid w:val="00AF1CFB"/>
    <w:rsid w:val="00AF1FEB"/>
    <w:rsid w:val="00AF6012"/>
    <w:rsid w:val="00AF7B07"/>
    <w:rsid w:val="00B01C55"/>
    <w:rsid w:val="00B02B5E"/>
    <w:rsid w:val="00B0344D"/>
    <w:rsid w:val="00B0592E"/>
    <w:rsid w:val="00B07113"/>
    <w:rsid w:val="00B075B3"/>
    <w:rsid w:val="00B10D5F"/>
    <w:rsid w:val="00B125C2"/>
    <w:rsid w:val="00B12B1A"/>
    <w:rsid w:val="00B1688C"/>
    <w:rsid w:val="00B20BDE"/>
    <w:rsid w:val="00B2177E"/>
    <w:rsid w:val="00B2248F"/>
    <w:rsid w:val="00B24AAA"/>
    <w:rsid w:val="00B262BF"/>
    <w:rsid w:val="00B3031F"/>
    <w:rsid w:val="00B30673"/>
    <w:rsid w:val="00B30C4E"/>
    <w:rsid w:val="00B31238"/>
    <w:rsid w:val="00B31809"/>
    <w:rsid w:val="00B326CD"/>
    <w:rsid w:val="00B32834"/>
    <w:rsid w:val="00B35C50"/>
    <w:rsid w:val="00B41B36"/>
    <w:rsid w:val="00B420D2"/>
    <w:rsid w:val="00B42745"/>
    <w:rsid w:val="00B42EDD"/>
    <w:rsid w:val="00B43346"/>
    <w:rsid w:val="00B45D4B"/>
    <w:rsid w:val="00B51218"/>
    <w:rsid w:val="00B52268"/>
    <w:rsid w:val="00B53A27"/>
    <w:rsid w:val="00B557E9"/>
    <w:rsid w:val="00B60C4C"/>
    <w:rsid w:val="00B60CFD"/>
    <w:rsid w:val="00B625B9"/>
    <w:rsid w:val="00B62BF8"/>
    <w:rsid w:val="00B63310"/>
    <w:rsid w:val="00B63BFD"/>
    <w:rsid w:val="00B63DF9"/>
    <w:rsid w:val="00B6597B"/>
    <w:rsid w:val="00B6620F"/>
    <w:rsid w:val="00B66D88"/>
    <w:rsid w:val="00B67F6B"/>
    <w:rsid w:val="00B71633"/>
    <w:rsid w:val="00B7236C"/>
    <w:rsid w:val="00B73B63"/>
    <w:rsid w:val="00B73E52"/>
    <w:rsid w:val="00B81214"/>
    <w:rsid w:val="00B826C1"/>
    <w:rsid w:val="00B8273B"/>
    <w:rsid w:val="00B837C8"/>
    <w:rsid w:val="00B84910"/>
    <w:rsid w:val="00B85465"/>
    <w:rsid w:val="00B85F9F"/>
    <w:rsid w:val="00B90F81"/>
    <w:rsid w:val="00B91B20"/>
    <w:rsid w:val="00B92FD6"/>
    <w:rsid w:val="00B9322D"/>
    <w:rsid w:val="00B95329"/>
    <w:rsid w:val="00B9569C"/>
    <w:rsid w:val="00B96591"/>
    <w:rsid w:val="00B969DE"/>
    <w:rsid w:val="00B97D6F"/>
    <w:rsid w:val="00BA0BB5"/>
    <w:rsid w:val="00BA17B5"/>
    <w:rsid w:val="00BA27DC"/>
    <w:rsid w:val="00BA2DF8"/>
    <w:rsid w:val="00BA30DE"/>
    <w:rsid w:val="00BA3AC8"/>
    <w:rsid w:val="00BA3E0A"/>
    <w:rsid w:val="00BA4043"/>
    <w:rsid w:val="00BA5D6D"/>
    <w:rsid w:val="00BA6545"/>
    <w:rsid w:val="00BB0C65"/>
    <w:rsid w:val="00BB5446"/>
    <w:rsid w:val="00BB5B0C"/>
    <w:rsid w:val="00BB6BA7"/>
    <w:rsid w:val="00BC3A1E"/>
    <w:rsid w:val="00BC4949"/>
    <w:rsid w:val="00BC5690"/>
    <w:rsid w:val="00BC68FA"/>
    <w:rsid w:val="00BC77C9"/>
    <w:rsid w:val="00BC77D9"/>
    <w:rsid w:val="00BC7BB8"/>
    <w:rsid w:val="00BD138D"/>
    <w:rsid w:val="00BD273D"/>
    <w:rsid w:val="00BD28CC"/>
    <w:rsid w:val="00BD3161"/>
    <w:rsid w:val="00BD6F69"/>
    <w:rsid w:val="00BE1424"/>
    <w:rsid w:val="00BE266D"/>
    <w:rsid w:val="00BE6073"/>
    <w:rsid w:val="00BE657A"/>
    <w:rsid w:val="00BF36E1"/>
    <w:rsid w:val="00BF57C4"/>
    <w:rsid w:val="00BF5CAF"/>
    <w:rsid w:val="00BF656E"/>
    <w:rsid w:val="00C03FB7"/>
    <w:rsid w:val="00C04796"/>
    <w:rsid w:val="00C057E6"/>
    <w:rsid w:val="00C057F1"/>
    <w:rsid w:val="00C16987"/>
    <w:rsid w:val="00C16CAA"/>
    <w:rsid w:val="00C16EDA"/>
    <w:rsid w:val="00C22034"/>
    <w:rsid w:val="00C26D02"/>
    <w:rsid w:val="00C2777A"/>
    <w:rsid w:val="00C319D0"/>
    <w:rsid w:val="00C31F46"/>
    <w:rsid w:val="00C334F9"/>
    <w:rsid w:val="00C34053"/>
    <w:rsid w:val="00C3430E"/>
    <w:rsid w:val="00C34358"/>
    <w:rsid w:val="00C34E4D"/>
    <w:rsid w:val="00C354CE"/>
    <w:rsid w:val="00C40113"/>
    <w:rsid w:val="00C4072E"/>
    <w:rsid w:val="00C44513"/>
    <w:rsid w:val="00C44699"/>
    <w:rsid w:val="00C46773"/>
    <w:rsid w:val="00C467D2"/>
    <w:rsid w:val="00C5075D"/>
    <w:rsid w:val="00C51E91"/>
    <w:rsid w:val="00C521E6"/>
    <w:rsid w:val="00C56E47"/>
    <w:rsid w:val="00C57F87"/>
    <w:rsid w:val="00C6089B"/>
    <w:rsid w:val="00C61940"/>
    <w:rsid w:val="00C6457F"/>
    <w:rsid w:val="00C65F24"/>
    <w:rsid w:val="00C671DF"/>
    <w:rsid w:val="00C6751D"/>
    <w:rsid w:val="00C7285A"/>
    <w:rsid w:val="00C73465"/>
    <w:rsid w:val="00C759AB"/>
    <w:rsid w:val="00C7624B"/>
    <w:rsid w:val="00C76DF2"/>
    <w:rsid w:val="00C7788C"/>
    <w:rsid w:val="00C816F5"/>
    <w:rsid w:val="00C8258D"/>
    <w:rsid w:val="00C8457F"/>
    <w:rsid w:val="00C865CE"/>
    <w:rsid w:val="00C87D41"/>
    <w:rsid w:val="00C87E64"/>
    <w:rsid w:val="00C91B1B"/>
    <w:rsid w:val="00C9256C"/>
    <w:rsid w:val="00C926BF"/>
    <w:rsid w:val="00C93EB9"/>
    <w:rsid w:val="00C94270"/>
    <w:rsid w:val="00C94BE9"/>
    <w:rsid w:val="00C954D7"/>
    <w:rsid w:val="00C971CB"/>
    <w:rsid w:val="00CA101C"/>
    <w:rsid w:val="00CA5E1E"/>
    <w:rsid w:val="00CA61B9"/>
    <w:rsid w:val="00CA6973"/>
    <w:rsid w:val="00CB66D6"/>
    <w:rsid w:val="00CB6838"/>
    <w:rsid w:val="00CB6DB2"/>
    <w:rsid w:val="00CC0D3F"/>
    <w:rsid w:val="00CC12B2"/>
    <w:rsid w:val="00CC3C71"/>
    <w:rsid w:val="00CC50C2"/>
    <w:rsid w:val="00CC7A55"/>
    <w:rsid w:val="00CC7D3F"/>
    <w:rsid w:val="00CD1B9E"/>
    <w:rsid w:val="00CD2FD2"/>
    <w:rsid w:val="00CD3E50"/>
    <w:rsid w:val="00CD5582"/>
    <w:rsid w:val="00CE111A"/>
    <w:rsid w:val="00CE4367"/>
    <w:rsid w:val="00CE49CB"/>
    <w:rsid w:val="00CE5871"/>
    <w:rsid w:val="00CE6592"/>
    <w:rsid w:val="00CF1BAD"/>
    <w:rsid w:val="00CF459F"/>
    <w:rsid w:val="00D017C8"/>
    <w:rsid w:val="00D02A71"/>
    <w:rsid w:val="00D0503D"/>
    <w:rsid w:val="00D05D75"/>
    <w:rsid w:val="00D0728C"/>
    <w:rsid w:val="00D07899"/>
    <w:rsid w:val="00D13784"/>
    <w:rsid w:val="00D16388"/>
    <w:rsid w:val="00D16D22"/>
    <w:rsid w:val="00D17AFD"/>
    <w:rsid w:val="00D22A9E"/>
    <w:rsid w:val="00D23EC7"/>
    <w:rsid w:val="00D24FFA"/>
    <w:rsid w:val="00D25AAA"/>
    <w:rsid w:val="00D27253"/>
    <w:rsid w:val="00D27B17"/>
    <w:rsid w:val="00D30048"/>
    <w:rsid w:val="00D30B36"/>
    <w:rsid w:val="00D32169"/>
    <w:rsid w:val="00D325C0"/>
    <w:rsid w:val="00D333CC"/>
    <w:rsid w:val="00D34A40"/>
    <w:rsid w:val="00D36BD5"/>
    <w:rsid w:val="00D37E81"/>
    <w:rsid w:val="00D40B67"/>
    <w:rsid w:val="00D42869"/>
    <w:rsid w:val="00D42F81"/>
    <w:rsid w:val="00D438D0"/>
    <w:rsid w:val="00D55253"/>
    <w:rsid w:val="00D554AB"/>
    <w:rsid w:val="00D56841"/>
    <w:rsid w:val="00D56A40"/>
    <w:rsid w:val="00D56A5F"/>
    <w:rsid w:val="00D611B6"/>
    <w:rsid w:val="00D6277B"/>
    <w:rsid w:val="00D63127"/>
    <w:rsid w:val="00D63DB4"/>
    <w:rsid w:val="00D661DB"/>
    <w:rsid w:val="00D71F45"/>
    <w:rsid w:val="00D74831"/>
    <w:rsid w:val="00D76B2B"/>
    <w:rsid w:val="00D80904"/>
    <w:rsid w:val="00D828F6"/>
    <w:rsid w:val="00D84693"/>
    <w:rsid w:val="00D854E4"/>
    <w:rsid w:val="00D85EC0"/>
    <w:rsid w:val="00D87152"/>
    <w:rsid w:val="00D90FBC"/>
    <w:rsid w:val="00D91B97"/>
    <w:rsid w:val="00D97723"/>
    <w:rsid w:val="00DA7D9A"/>
    <w:rsid w:val="00DB0A3F"/>
    <w:rsid w:val="00DB27EE"/>
    <w:rsid w:val="00DB28FB"/>
    <w:rsid w:val="00DB6A3E"/>
    <w:rsid w:val="00DC0EC3"/>
    <w:rsid w:val="00DC0F65"/>
    <w:rsid w:val="00DC1048"/>
    <w:rsid w:val="00DC237F"/>
    <w:rsid w:val="00DC2CA0"/>
    <w:rsid w:val="00DC2D08"/>
    <w:rsid w:val="00DC3F93"/>
    <w:rsid w:val="00DC45CF"/>
    <w:rsid w:val="00DC4E72"/>
    <w:rsid w:val="00DC50F4"/>
    <w:rsid w:val="00DC656A"/>
    <w:rsid w:val="00DC7131"/>
    <w:rsid w:val="00DD11B5"/>
    <w:rsid w:val="00DD3C7B"/>
    <w:rsid w:val="00DD6356"/>
    <w:rsid w:val="00DE01DB"/>
    <w:rsid w:val="00DE581F"/>
    <w:rsid w:val="00DE66A3"/>
    <w:rsid w:val="00DE6E79"/>
    <w:rsid w:val="00DE7EBD"/>
    <w:rsid w:val="00DF039A"/>
    <w:rsid w:val="00DF06E0"/>
    <w:rsid w:val="00DF0D55"/>
    <w:rsid w:val="00DF18BA"/>
    <w:rsid w:val="00DF2301"/>
    <w:rsid w:val="00DF490F"/>
    <w:rsid w:val="00E0314A"/>
    <w:rsid w:val="00E07B73"/>
    <w:rsid w:val="00E10ABD"/>
    <w:rsid w:val="00E117BE"/>
    <w:rsid w:val="00E13A77"/>
    <w:rsid w:val="00E15966"/>
    <w:rsid w:val="00E15CBE"/>
    <w:rsid w:val="00E20FDD"/>
    <w:rsid w:val="00E22645"/>
    <w:rsid w:val="00E23AA0"/>
    <w:rsid w:val="00E25DE9"/>
    <w:rsid w:val="00E26B5D"/>
    <w:rsid w:val="00E30159"/>
    <w:rsid w:val="00E31982"/>
    <w:rsid w:val="00E33F76"/>
    <w:rsid w:val="00E3428A"/>
    <w:rsid w:val="00E37A09"/>
    <w:rsid w:val="00E4318A"/>
    <w:rsid w:val="00E438F0"/>
    <w:rsid w:val="00E44BA8"/>
    <w:rsid w:val="00E44F2E"/>
    <w:rsid w:val="00E457B5"/>
    <w:rsid w:val="00E50580"/>
    <w:rsid w:val="00E5193F"/>
    <w:rsid w:val="00E52078"/>
    <w:rsid w:val="00E52940"/>
    <w:rsid w:val="00E52D2C"/>
    <w:rsid w:val="00E542DA"/>
    <w:rsid w:val="00E5507C"/>
    <w:rsid w:val="00E56712"/>
    <w:rsid w:val="00E579A9"/>
    <w:rsid w:val="00E57F04"/>
    <w:rsid w:val="00E605A7"/>
    <w:rsid w:val="00E613CC"/>
    <w:rsid w:val="00E624F9"/>
    <w:rsid w:val="00E705F0"/>
    <w:rsid w:val="00E71885"/>
    <w:rsid w:val="00E72DC6"/>
    <w:rsid w:val="00E73D09"/>
    <w:rsid w:val="00E75E31"/>
    <w:rsid w:val="00E774AF"/>
    <w:rsid w:val="00E77787"/>
    <w:rsid w:val="00E77D87"/>
    <w:rsid w:val="00E812C0"/>
    <w:rsid w:val="00E8444A"/>
    <w:rsid w:val="00E86DB5"/>
    <w:rsid w:val="00E9023A"/>
    <w:rsid w:val="00E916E4"/>
    <w:rsid w:val="00E926A5"/>
    <w:rsid w:val="00E93037"/>
    <w:rsid w:val="00E9470E"/>
    <w:rsid w:val="00E962B4"/>
    <w:rsid w:val="00EA389E"/>
    <w:rsid w:val="00EA3A24"/>
    <w:rsid w:val="00EA4385"/>
    <w:rsid w:val="00EA62C4"/>
    <w:rsid w:val="00EA6740"/>
    <w:rsid w:val="00EB00FF"/>
    <w:rsid w:val="00EB0312"/>
    <w:rsid w:val="00EB05EC"/>
    <w:rsid w:val="00EB2878"/>
    <w:rsid w:val="00EB51FE"/>
    <w:rsid w:val="00EB5A15"/>
    <w:rsid w:val="00EB61A8"/>
    <w:rsid w:val="00EB76C8"/>
    <w:rsid w:val="00EB7708"/>
    <w:rsid w:val="00EC11CA"/>
    <w:rsid w:val="00EC289D"/>
    <w:rsid w:val="00EC41E0"/>
    <w:rsid w:val="00EC5520"/>
    <w:rsid w:val="00EC56F0"/>
    <w:rsid w:val="00ED1888"/>
    <w:rsid w:val="00ED19E6"/>
    <w:rsid w:val="00ED1CD1"/>
    <w:rsid w:val="00ED41AF"/>
    <w:rsid w:val="00ED4592"/>
    <w:rsid w:val="00ED74FD"/>
    <w:rsid w:val="00ED7A8A"/>
    <w:rsid w:val="00EE4C55"/>
    <w:rsid w:val="00EF1C85"/>
    <w:rsid w:val="00EF3011"/>
    <w:rsid w:val="00EF3C4E"/>
    <w:rsid w:val="00EF3F81"/>
    <w:rsid w:val="00EF49E7"/>
    <w:rsid w:val="00EF5BF2"/>
    <w:rsid w:val="00EF5E91"/>
    <w:rsid w:val="00EF75F0"/>
    <w:rsid w:val="00F0020D"/>
    <w:rsid w:val="00F037BD"/>
    <w:rsid w:val="00F03F1E"/>
    <w:rsid w:val="00F06094"/>
    <w:rsid w:val="00F06297"/>
    <w:rsid w:val="00F07D40"/>
    <w:rsid w:val="00F1363D"/>
    <w:rsid w:val="00F153E2"/>
    <w:rsid w:val="00F20FCF"/>
    <w:rsid w:val="00F237A4"/>
    <w:rsid w:val="00F24C2E"/>
    <w:rsid w:val="00F27A37"/>
    <w:rsid w:val="00F30847"/>
    <w:rsid w:val="00F30E5D"/>
    <w:rsid w:val="00F36148"/>
    <w:rsid w:val="00F3675D"/>
    <w:rsid w:val="00F41B17"/>
    <w:rsid w:val="00F41B27"/>
    <w:rsid w:val="00F41E71"/>
    <w:rsid w:val="00F443A4"/>
    <w:rsid w:val="00F44819"/>
    <w:rsid w:val="00F45324"/>
    <w:rsid w:val="00F45DE1"/>
    <w:rsid w:val="00F46CBE"/>
    <w:rsid w:val="00F472D4"/>
    <w:rsid w:val="00F51E7E"/>
    <w:rsid w:val="00F52C63"/>
    <w:rsid w:val="00F545E4"/>
    <w:rsid w:val="00F62151"/>
    <w:rsid w:val="00F7341A"/>
    <w:rsid w:val="00F80200"/>
    <w:rsid w:val="00F81575"/>
    <w:rsid w:val="00F81B18"/>
    <w:rsid w:val="00F872E6"/>
    <w:rsid w:val="00F903F5"/>
    <w:rsid w:val="00F9247A"/>
    <w:rsid w:val="00F93C3A"/>
    <w:rsid w:val="00F9469C"/>
    <w:rsid w:val="00F95ED5"/>
    <w:rsid w:val="00FA191F"/>
    <w:rsid w:val="00FA4AC7"/>
    <w:rsid w:val="00FA4D77"/>
    <w:rsid w:val="00FA5181"/>
    <w:rsid w:val="00FA6F6F"/>
    <w:rsid w:val="00FB579E"/>
    <w:rsid w:val="00FB607C"/>
    <w:rsid w:val="00FC00C1"/>
    <w:rsid w:val="00FC1394"/>
    <w:rsid w:val="00FC159E"/>
    <w:rsid w:val="00FC1BF1"/>
    <w:rsid w:val="00FC2AC2"/>
    <w:rsid w:val="00FC589E"/>
    <w:rsid w:val="00FC5C38"/>
    <w:rsid w:val="00FC64CD"/>
    <w:rsid w:val="00FC66E3"/>
    <w:rsid w:val="00FD0366"/>
    <w:rsid w:val="00FD118A"/>
    <w:rsid w:val="00FD21FE"/>
    <w:rsid w:val="00FD3356"/>
    <w:rsid w:val="00FD48B1"/>
    <w:rsid w:val="00FE1D7F"/>
    <w:rsid w:val="00FE2329"/>
    <w:rsid w:val="00FE3003"/>
    <w:rsid w:val="00FE4E25"/>
    <w:rsid w:val="00FF090C"/>
    <w:rsid w:val="00FF105A"/>
    <w:rsid w:val="00FF1069"/>
    <w:rsid w:val="00FF4889"/>
    <w:rsid w:val="00FF4F0E"/>
    <w:rsid w:val="00FF6844"/>
    <w:rsid w:val="00FF7A40"/>
    <w:rsid w:val="2EF641EF"/>
    <w:rsid w:val="2F72CFE1"/>
    <w:rsid w:val="33DCB7FE"/>
    <w:rsid w:val="346FC332"/>
    <w:rsid w:val="3E3F5AA1"/>
    <w:rsid w:val="3F70DD84"/>
    <w:rsid w:val="57CBC500"/>
    <w:rsid w:val="5FE7D2BA"/>
    <w:rsid w:val="6E7FFEE1"/>
    <w:rsid w:val="6FD4552B"/>
    <w:rsid w:val="73FD5240"/>
    <w:rsid w:val="78031D0F"/>
    <w:rsid w:val="7AFF01E0"/>
    <w:rsid w:val="7BFEC691"/>
    <w:rsid w:val="7D7E7FDF"/>
    <w:rsid w:val="7DBFB624"/>
    <w:rsid w:val="7EB526D7"/>
    <w:rsid w:val="7EEF12B0"/>
    <w:rsid w:val="7FFF6C3A"/>
    <w:rsid w:val="AECF248B"/>
    <w:rsid w:val="AFBFF434"/>
    <w:rsid w:val="B5DABB22"/>
    <w:rsid w:val="BB37971B"/>
    <w:rsid w:val="BDEE01CF"/>
    <w:rsid w:val="BFFF46D0"/>
    <w:rsid w:val="E9EB8F7D"/>
    <w:rsid w:val="EDFC2E85"/>
    <w:rsid w:val="EF5E2E95"/>
    <w:rsid w:val="F197D3DD"/>
    <w:rsid w:val="F3DFF86B"/>
    <w:rsid w:val="F5CF538D"/>
    <w:rsid w:val="F9DD5D17"/>
    <w:rsid w:val="FAFA3DF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rFonts w:ascii="Times New Roman" w:hAnsi="Times New Roman" w:eastAsia="宋体" w:cs="Times New Roman"/>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0"/>
    <w:qFormat/>
    <w:uiPriority w:val="0"/>
    <w:rPr>
      <w:rFonts w:ascii="仿宋_GB2312" w:eastAsia="仿宋_GB2312"/>
      <w:sz w:val="32"/>
    </w:rPr>
  </w:style>
  <w:style w:type="paragraph" w:styleId="4">
    <w:name w:val="footer"/>
    <w:basedOn w:val="1"/>
    <w:link w:val="9"/>
    <w:qFormat/>
    <w:uiPriority w:val="0"/>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9">
    <w:name w:val="页脚 Char"/>
    <w:basedOn w:val="7"/>
    <w:link w:val="4"/>
    <w:qFormat/>
    <w:uiPriority w:val="0"/>
    <w:rPr>
      <w:rFonts w:ascii="Times New Roman" w:hAnsi="Times New Roman" w:eastAsia="宋体" w:cs="Times New Roman"/>
      <w:sz w:val="18"/>
      <w:szCs w:val="18"/>
    </w:rPr>
  </w:style>
  <w:style w:type="character" w:customStyle="1" w:styleId="10">
    <w:name w:val="日期 Char"/>
    <w:basedOn w:val="7"/>
    <w:link w:val="3"/>
    <w:qFormat/>
    <w:uiPriority w:val="0"/>
    <w:rPr>
      <w:rFonts w:ascii="仿宋_GB2312" w:hAnsi="Times New Roman" w:eastAsia="仿宋_GB2312" w:cs="Times New Roman"/>
      <w:sz w:val="32"/>
      <w:szCs w:val="24"/>
    </w:rPr>
  </w:style>
  <w:style w:type="character" w:customStyle="1" w:styleId="11">
    <w:name w:val="页眉 Char"/>
    <w:basedOn w:val="7"/>
    <w:link w:val="5"/>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43</Words>
  <Characters>246</Characters>
  <Lines>2</Lines>
  <Paragraphs>1</Paragraphs>
  <TotalTime>0</TotalTime>
  <ScaleCrop>false</ScaleCrop>
  <LinksUpToDate>false</LinksUpToDate>
  <CharactersWithSpaces>288</CharactersWithSpaces>
  <Application>WPS Office_11.8.2.11810_F1E327BC-269C-435d-A152-05C5408002CA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2019-09-20T22:10:00Z</dcterms:created>
  <dc:creator>CN=李小鹏/OU=办公室/O=CZCE</dc:creator>
  <cp:lastModifiedBy>王新宇</cp:lastModifiedBy>
  <dcterms:modified xsi:type="dcterms:W3CDTF">2026-09-11T09:41:31Z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2052-11.8.2.11810</vt:lpwstr>
  </property>
  <property fmtid="{D5CDD505-2E9C-101B-9397-08002B2CF9AE}" pid="3" name="ICV">
    <vt:lpwstr>3E838682793E6768C7E3986AD7BE3626</vt:lpwstr>
  </property>
</Properties>
</file>