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关于制定《郑州商品交易所协议交收业务指引（征求意见稿）》的说明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为更好地服务市场对多样化</w:t>
      </w:r>
      <w:r>
        <w:rPr>
          <w:rFonts w:hint="eastAsia" w:eastAsia="仿宋" w:cs="Times New Roman"/>
          <w:sz w:val="32"/>
          <w:szCs w:val="32"/>
          <w:lang w:eastAsia="zh-CN"/>
        </w:rPr>
        <w:t>交收</w:t>
      </w:r>
      <w:r>
        <w:rPr>
          <w:rFonts w:ascii="Times New Roman" w:hAnsi="Times New Roman" w:eastAsia="仿宋" w:cs="Times New Roman"/>
          <w:sz w:val="32"/>
          <w:szCs w:val="32"/>
        </w:rPr>
        <w:t>业务的需求，更大程度便利产业客户高效参与，保障交收参与主体权益，根据《郑州商品交易所期货交割管理办法》《郑州商品交易所指定商品交割厂库管理办法》《郑州商品交易所标准仓单管理办法》及品种期货业务细则等相关规定，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郑州商品交易所（以下简称</w:t>
      </w:r>
      <w:r>
        <w:rPr>
          <w:rFonts w:hint="eastAsia" w:eastAsia="仿宋" w:cs="Times New Roman"/>
          <w:b w:val="0"/>
          <w:bCs/>
          <w:sz w:val="32"/>
          <w:szCs w:val="32"/>
          <w:lang w:val="en-US" w:eastAsia="zh-CN"/>
        </w:rPr>
        <w:t>交易所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起草了《郑州商品交易所协议交收业务指引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（征求意见稿）</w:t>
      </w:r>
      <w:r>
        <w:rPr>
          <w:rFonts w:ascii="Times New Roman" w:hAnsi="Times New Roman" w:eastAsia="仿宋" w:cs="Times New Roman"/>
          <w:sz w:val="32"/>
          <w:szCs w:val="32"/>
        </w:rPr>
        <w:t>》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（以下简称《</w:t>
      </w:r>
      <w:r>
        <w:rPr>
          <w:rFonts w:hint="eastAsia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协议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交收指引》）。现将有关情况说明如下。</w:t>
      </w:r>
    </w:p>
    <w:p>
      <w:pPr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一、制定背景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目前，</w:t>
      </w:r>
      <w:r>
        <w:rPr>
          <w:rFonts w:hint="eastAsia" w:eastAsia="仿宋" w:cs="Times New Roman"/>
          <w:sz w:val="32"/>
          <w:szCs w:val="32"/>
          <w:lang w:eastAsia="zh-CN"/>
        </w:rPr>
        <w:t>交易所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在</w:t>
      </w:r>
      <w:r>
        <w:rPr>
          <w:rFonts w:ascii="Times New Roman" w:hAnsi="Times New Roman" w:eastAsia="仿宋" w:cs="Times New Roman"/>
          <w:sz w:val="32"/>
          <w:szCs w:val="32"/>
        </w:rPr>
        <w:t>相关业务办法及品种业务细则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对</w:t>
      </w:r>
      <w:r>
        <w:rPr>
          <w:rFonts w:ascii="Times New Roman" w:hAnsi="Times New Roman" w:eastAsia="仿宋" w:cs="Times New Roman"/>
          <w:sz w:val="32"/>
          <w:szCs w:val="32"/>
        </w:rPr>
        <w:t>车（船）板交割、厂库交割业务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规定了</w:t>
      </w:r>
      <w:r>
        <w:rPr>
          <w:rFonts w:ascii="Times New Roman" w:hAnsi="Times New Roman" w:eastAsia="仿宋" w:cs="Times New Roman"/>
          <w:sz w:val="32"/>
          <w:szCs w:val="32"/>
        </w:rPr>
        <w:t>协商交割机制，并在实践中为客户异地提货、换货等灵活交收需求提供支持。为进一步提升业务规范化水平，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便于产业客户、交割服务机构等相关主体理解、操作，</w:t>
      </w:r>
      <w:r>
        <w:rPr>
          <w:rFonts w:hint="eastAsia" w:eastAsia="仿宋" w:cs="Times New Roman"/>
          <w:sz w:val="32"/>
          <w:szCs w:val="32"/>
          <w:lang w:eastAsia="zh-CN"/>
        </w:rPr>
        <w:t>交易所</w:t>
      </w:r>
      <w:r>
        <w:rPr>
          <w:rFonts w:ascii="Times New Roman" w:hAnsi="Times New Roman" w:eastAsia="仿宋" w:cs="Times New Roman"/>
          <w:sz w:val="32"/>
          <w:szCs w:val="32"/>
        </w:rPr>
        <w:t>制定了《协议交收指引》，引导市场主体有序开展协议交收业务，保障交收参与主体权益，提升期货市场服务实体经济质效。</w:t>
      </w:r>
    </w:p>
    <w:p>
      <w:pPr>
        <w:ind w:firstLine="640" w:firstLineChars="200"/>
        <w:outlineLvl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、主要制定内容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《协议交收指引》分为五章，分别为总则、厂库交割协议交收业务、车（船）板交割协议交收业务、监督管理、附则，共计</w:t>
      </w:r>
      <w:r>
        <w:rPr>
          <w:rFonts w:hint="eastAsia" w:ascii="Times New Roman" w:hAnsi="Times New Roman" w:eastAsia="仿宋" w:cs="Times New Roman"/>
          <w:sz w:val="32"/>
          <w:szCs w:val="32"/>
        </w:rPr>
        <w:t>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九</w:t>
      </w:r>
      <w:r>
        <w:rPr>
          <w:rFonts w:ascii="Times New Roman" w:hAnsi="Times New Roman" w:eastAsia="仿宋" w:cs="Times New Roman"/>
          <w:sz w:val="32"/>
          <w:szCs w:val="32"/>
        </w:rPr>
        <w:t>条。具体内容如下。</w:t>
      </w:r>
    </w:p>
    <w:p>
      <w:pPr>
        <w:ind w:firstLine="640" w:firstLineChars="200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（一）总则部分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本章共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仿宋" w:cs="Times New Roman"/>
          <w:sz w:val="32"/>
          <w:szCs w:val="32"/>
        </w:rPr>
        <w:t>条，明确了规则制定依据、规范主体、交收原则。</w:t>
      </w:r>
      <w:r>
        <w:rPr>
          <w:rFonts w:ascii="Times New Roman" w:hAnsi="Times New Roman" w:eastAsia="仿宋" w:cs="Times New Roman"/>
          <w:b/>
          <w:sz w:val="32"/>
          <w:szCs w:val="32"/>
        </w:rPr>
        <w:t>一是</w:t>
      </w:r>
      <w:r>
        <w:rPr>
          <w:rFonts w:ascii="Times New Roman" w:hAnsi="Times New Roman" w:eastAsia="仿宋" w:cs="Times New Roman"/>
          <w:sz w:val="32"/>
          <w:szCs w:val="32"/>
        </w:rPr>
        <w:t>明确协议交收业务适用于厂库仓单注销提货及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车（船）板交割配对后的商品交收。</w:t>
      </w:r>
      <w:r>
        <w:rPr>
          <w:rFonts w:ascii="Times New Roman" w:hAnsi="Times New Roman" w:eastAsia="仿宋" w:cs="Times New Roman"/>
          <w:b/>
          <w:color w:val="000000"/>
          <w:sz w:val="32"/>
          <w:szCs w:val="32"/>
        </w:rPr>
        <w:t>二是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明确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协议交收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包括异地交收、换货</w:t>
      </w:r>
      <w:r>
        <w:rPr>
          <w:rFonts w:eastAsia="仿宋"/>
          <w:color w:val="000000"/>
          <w:sz w:val="32"/>
          <w:szCs w:val="32"/>
        </w:rPr>
        <w:t>等业务类型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" w:cs="Times New Roman"/>
          <w:b/>
          <w:color w:val="000000"/>
          <w:sz w:val="32"/>
          <w:szCs w:val="32"/>
        </w:rPr>
        <w:t>三是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明确规定协议交收应遵循公平、公正、公开、自愿原则。</w:t>
      </w:r>
    </w:p>
    <w:p>
      <w:pPr>
        <w:ind w:firstLine="640" w:firstLineChars="200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（二）厂库交割协议交收业务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本章共</w:t>
      </w:r>
      <w:r>
        <w:rPr>
          <w:rFonts w:hint="eastAsia" w:ascii="Times New Roman" w:hAnsi="Times New Roman" w:eastAsia="仿宋" w:cs="Times New Roman"/>
          <w:sz w:val="32"/>
          <w:szCs w:val="32"/>
        </w:rPr>
        <w:t>六</w:t>
      </w:r>
      <w:r>
        <w:rPr>
          <w:rFonts w:ascii="Times New Roman" w:hAnsi="Times New Roman" w:eastAsia="仿宋" w:cs="Times New Roman"/>
          <w:sz w:val="32"/>
          <w:szCs w:val="32"/>
        </w:rPr>
        <w:t>条，包括协议交收服务类型、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协议交收合同内容要点</w:t>
      </w:r>
      <w:r>
        <w:rPr>
          <w:rFonts w:ascii="Times New Roman" w:hAnsi="Times New Roman" w:eastAsia="仿宋" w:cs="Times New Roman"/>
          <w:sz w:val="32"/>
          <w:szCs w:val="32"/>
        </w:rPr>
        <w:t>、交收业务备案流程、相关费用结算方式、厂库担保品退还流程。</w:t>
      </w:r>
      <w:bookmarkStart w:id="0" w:name="OLE_LINK5"/>
      <w:r>
        <w:rPr>
          <w:rFonts w:ascii="Times New Roman" w:hAnsi="Times New Roman" w:eastAsia="仿宋" w:cs="Times New Roman"/>
          <w:b/>
          <w:sz w:val="32"/>
          <w:szCs w:val="32"/>
        </w:rPr>
        <w:t>一是</w:t>
      </w:r>
      <w:r>
        <w:rPr>
          <w:rFonts w:ascii="Times New Roman" w:hAnsi="Times New Roman" w:eastAsia="仿宋" w:cs="Times New Roman"/>
          <w:sz w:val="32"/>
          <w:szCs w:val="32"/>
        </w:rPr>
        <w:t>明确交割厂库可为提货人提供异地交收和换货服务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，并规范双方现货协议交收合同的内容要点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b/>
          <w:sz w:val="32"/>
          <w:szCs w:val="32"/>
        </w:rPr>
        <w:t>二是</w:t>
      </w:r>
      <w:r>
        <w:rPr>
          <w:rFonts w:ascii="Times New Roman" w:hAnsi="Times New Roman" w:eastAsia="仿宋" w:cs="Times New Roman"/>
          <w:sz w:val="32"/>
          <w:szCs w:val="32"/>
        </w:rPr>
        <w:t>明确交割厂库应在《提货通知单》开具之日起10个工作日内向交易所提交备案</w:t>
      </w:r>
      <w:bookmarkStart w:id="1" w:name="OLE_LINK10"/>
      <w:r>
        <w:rPr>
          <w:rFonts w:ascii="Times New Roman" w:hAnsi="Times New Roman" w:eastAsia="仿宋" w:cs="Times New Roman"/>
          <w:sz w:val="32"/>
          <w:szCs w:val="32"/>
        </w:rPr>
        <w:t>相关交收</w:t>
      </w:r>
      <w:bookmarkEnd w:id="1"/>
      <w:r>
        <w:rPr>
          <w:rFonts w:ascii="Times New Roman" w:hAnsi="Times New Roman" w:eastAsia="仿宋" w:cs="Times New Roman"/>
          <w:sz w:val="32"/>
          <w:szCs w:val="32"/>
        </w:rPr>
        <w:t>材料。</w:t>
      </w:r>
      <w:r>
        <w:rPr>
          <w:rFonts w:ascii="Times New Roman" w:hAnsi="Times New Roman" w:eastAsia="仿宋" w:cs="Times New Roman"/>
          <w:b/>
          <w:sz w:val="32"/>
          <w:szCs w:val="32"/>
        </w:rPr>
        <w:t>三是</w:t>
      </w:r>
      <w:r>
        <w:rPr>
          <w:rFonts w:ascii="Times New Roman" w:hAnsi="Times New Roman" w:eastAsia="仿宋" w:cs="Times New Roman"/>
          <w:sz w:val="32"/>
          <w:szCs w:val="32"/>
        </w:rPr>
        <w:t>明确相关费用及发票开具由厂库和提货人自行结算处理。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四是</w:t>
      </w:r>
      <w:r>
        <w:rPr>
          <w:rFonts w:ascii="Times New Roman" w:hAnsi="Times New Roman" w:eastAsia="仿宋" w:cs="Times New Roman"/>
          <w:sz w:val="32"/>
          <w:szCs w:val="32"/>
        </w:rPr>
        <w:t>明确</w:t>
      </w:r>
      <w:r>
        <w:rPr>
          <w:rFonts w:eastAsia="仿宋"/>
          <w:sz w:val="32"/>
          <w:szCs w:val="32"/>
        </w:rPr>
        <w:t>收到厂库仓单协议交收确认书后办理担保品退还业务。</w:t>
      </w:r>
    </w:p>
    <w:bookmarkEnd w:id="0"/>
    <w:p>
      <w:pPr>
        <w:ind w:firstLine="640" w:firstLineChars="200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</w:t>
      </w:r>
      <w:bookmarkStart w:id="2" w:name="OLE_LINK21"/>
      <w:bookmarkStart w:id="3" w:name="OLE_LINK22"/>
      <w:bookmarkStart w:id="4" w:name="OLE_LINK43"/>
      <w:r>
        <w:rPr>
          <w:rFonts w:ascii="Times New Roman" w:hAnsi="Times New Roman" w:eastAsia="楷体" w:cs="Times New Roman"/>
          <w:sz w:val="32"/>
          <w:szCs w:val="32"/>
        </w:rPr>
        <w:t>车（船）板</w:t>
      </w:r>
      <w:bookmarkEnd w:id="2"/>
      <w:bookmarkEnd w:id="3"/>
      <w:r>
        <w:rPr>
          <w:rFonts w:ascii="Times New Roman" w:hAnsi="Times New Roman" w:eastAsia="楷体" w:cs="Times New Roman"/>
          <w:sz w:val="32"/>
          <w:szCs w:val="32"/>
        </w:rPr>
        <w:t>交割协议交收业务</w:t>
      </w:r>
    </w:p>
    <w:bookmarkEnd w:id="4"/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本章共四条，包括协议交收业务类型、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协议交收合同内容要点</w:t>
      </w:r>
      <w:r>
        <w:rPr>
          <w:rFonts w:ascii="Times New Roman" w:hAnsi="Times New Roman" w:eastAsia="仿宋" w:cs="Times New Roman"/>
          <w:sz w:val="32"/>
          <w:szCs w:val="32"/>
        </w:rPr>
        <w:t>、交收业务备案流程、相关费用结算方式。</w:t>
      </w:r>
      <w:bookmarkStart w:id="5" w:name="OLE_LINK44"/>
      <w:bookmarkStart w:id="6" w:name="OLE_LINK45"/>
      <w:r>
        <w:rPr>
          <w:rFonts w:ascii="Times New Roman" w:hAnsi="Times New Roman" w:eastAsia="仿宋" w:cs="Times New Roman"/>
          <w:b/>
          <w:sz w:val="32"/>
          <w:szCs w:val="32"/>
        </w:rPr>
        <w:t>一是</w:t>
      </w:r>
      <w:r>
        <w:rPr>
          <w:rFonts w:ascii="Times New Roman" w:hAnsi="Times New Roman" w:eastAsia="仿宋" w:cs="Times New Roman"/>
          <w:sz w:val="32"/>
          <w:szCs w:val="32"/>
        </w:rPr>
        <w:t>明确车（船）板交割买卖双方可协议选择异地交收和换货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，并规范双方现货协议交收合同的内容要点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b/>
          <w:sz w:val="32"/>
          <w:szCs w:val="32"/>
        </w:rPr>
        <w:t>二是</w:t>
      </w:r>
      <w:r>
        <w:rPr>
          <w:rFonts w:ascii="Times New Roman" w:hAnsi="Times New Roman" w:eastAsia="仿宋" w:cs="Times New Roman"/>
          <w:sz w:val="32"/>
          <w:szCs w:val="32"/>
        </w:rPr>
        <w:t>明确双方应向交易所提交备案相关交收材料并</w:t>
      </w:r>
      <w:r>
        <w:rPr>
          <w:rFonts w:eastAsia="仿宋"/>
          <w:sz w:val="32"/>
          <w:szCs w:val="32"/>
        </w:rPr>
        <w:t>及时通知双方会员及车（船）板交割服务机构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b/>
          <w:sz w:val="32"/>
          <w:szCs w:val="32"/>
        </w:rPr>
        <w:t>三是</w:t>
      </w:r>
      <w:r>
        <w:rPr>
          <w:rFonts w:ascii="Times New Roman" w:hAnsi="Times New Roman" w:eastAsia="仿宋" w:cs="Times New Roman"/>
          <w:sz w:val="32"/>
          <w:szCs w:val="32"/>
        </w:rPr>
        <w:t>明确</w:t>
      </w:r>
      <w:r>
        <w:rPr>
          <w:rFonts w:eastAsia="仿宋"/>
          <w:sz w:val="32"/>
          <w:szCs w:val="32"/>
        </w:rPr>
        <w:t>交割买卖双方按照协议约定自主办理货款收付及发票流转</w:t>
      </w:r>
      <w:r>
        <w:rPr>
          <w:rFonts w:hint="eastAsia" w:eastAsia="仿宋"/>
          <w:sz w:val="32"/>
          <w:szCs w:val="32"/>
          <w:lang w:eastAsia="zh-CN"/>
        </w:rPr>
        <w:t>。</w:t>
      </w:r>
    </w:p>
    <w:bookmarkEnd w:id="5"/>
    <w:bookmarkEnd w:id="6"/>
    <w:p>
      <w:pPr>
        <w:ind w:firstLine="640" w:firstLineChars="200"/>
        <w:outlineLvl w:val="1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（四）监督管理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本章共三条，包括资料保存、交收参与主体监管要求。</w:t>
      </w:r>
      <w:r>
        <w:rPr>
          <w:rFonts w:ascii="Times New Roman" w:hAnsi="Times New Roman" w:eastAsia="仿宋" w:cs="Times New Roman"/>
          <w:b/>
          <w:sz w:val="32"/>
          <w:szCs w:val="32"/>
        </w:rPr>
        <w:t>一是</w:t>
      </w:r>
      <w:r>
        <w:rPr>
          <w:rFonts w:ascii="Times New Roman" w:hAnsi="Times New Roman" w:eastAsia="仿宋" w:cs="Times New Roman"/>
          <w:sz w:val="32"/>
          <w:szCs w:val="32"/>
        </w:rPr>
        <w:t>明确交割厂库等协议交收参与主体资料保存的内容。</w:t>
      </w:r>
      <w:r>
        <w:rPr>
          <w:rFonts w:ascii="Times New Roman" w:hAnsi="Times New Roman" w:eastAsia="仿宋" w:cs="Times New Roman"/>
          <w:b/>
          <w:sz w:val="32"/>
          <w:szCs w:val="32"/>
        </w:rPr>
        <w:t>二是</w:t>
      </w:r>
      <w:r>
        <w:rPr>
          <w:rFonts w:ascii="Times New Roman" w:hAnsi="Times New Roman" w:eastAsia="仿宋" w:cs="Times New Roman"/>
          <w:sz w:val="32"/>
          <w:szCs w:val="32"/>
        </w:rPr>
        <w:t>明确</w:t>
      </w:r>
      <w:bookmarkStart w:id="7" w:name="OLE_LINK51"/>
      <w:r>
        <w:rPr>
          <w:rFonts w:ascii="Times New Roman" w:hAnsi="Times New Roman" w:eastAsia="仿宋" w:cs="Times New Roman"/>
          <w:sz w:val="32"/>
          <w:szCs w:val="32"/>
        </w:rPr>
        <w:t>对协议交收参与主体自律管理措施</w:t>
      </w:r>
      <w:bookmarkEnd w:id="7"/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ind w:firstLine="640" w:firstLineChars="200"/>
        <w:outlineLvl w:val="1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（五）附则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本章共两条，包括解释权、实施日期等事项。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/>
        <w:jc w:val="left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特此说明。</w:t>
      </w:r>
    </w:p>
    <w:p>
      <w:pPr>
        <w:widowControl/>
        <w:numPr>
          <w:ilvl w:val="0"/>
          <w:numId w:val="0"/>
        </w:numPr>
        <w:spacing w:before="0" w:beforeLines="0" w:after="0" w:afterLines="0"/>
        <w:ind w:firstLine="640"/>
        <w:jc w:val="left"/>
        <w:outlineLvl w:val="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</w:rPr>
      </w:pPr>
      <w:bookmarkStart w:id="8" w:name="_GoBack"/>
      <w:bookmarkEnd w:id="8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1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B7FF1B6"/>
    <w:rsid w:val="2CE39857"/>
    <w:rsid w:val="3ECD9E86"/>
    <w:rsid w:val="54FF732E"/>
    <w:rsid w:val="5EFBF761"/>
    <w:rsid w:val="66F96D20"/>
    <w:rsid w:val="6FF51E78"/>
    <w:rsid w:val="70EF51FD"/>
    <w:rsid w:val="75BF8D28"/>
    <w:rsid w:val="77BF4290"/>
    <w:rsid w:val="78031D0F"/>
    <w:rsid w:val="78D9F53C"/>
    <w:rsid w:val="7BAF603E"/>
    <w:rsid w:val="7BEF23C1"/>
    <w:rsid w:val="7FAC2752"/>
    <w:rsid w:val="7FD74DCE"/>
    <w:rsid w:val="7FFE2D52"/>
    <w:rsid w:val="9FBFD8CB"/>
    <w:rsid w:val="B74B4FAF"/>
    <w:rsid w:val="B78EBF53"/>
    <w:rsid w:val="E5AEDC04"/>
    <w:rsid w:val="E897B161"/>
    <w:rsid w:val="F3DB6DA2"/>
    <w:rsid w:val="F7FFFA6F"/>
    <w:rsid w:val="F95D5809"/>
    <w:rsid w:val="F9BB327E"/>
    <w:rsid w:val="FA7E8E8F"/>
    <w:rsid w:val="FD5ECAF1"/>
    <w:rsid w:val="FEFC765D"/>
    <w:rsid w:val="FF6D8493"/>
    <w:rsid w:val="FF7FE5F8"/>
    <w:rsid w:val="FFBE4683"/>
    <w:rsid w:val="FFFEF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66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2019-09-19T06:10:00Z</dcterms:created>
  <dc:creator>CN=李小鹏/OU=办公室/O=CZCE</dc:creator>
  <cp:lastModifiedBy>王新宇</cp:lastModifiedBy>
  <dcterms:modified xsi:type="dcterms:W3CDTF">2026-06-03T09:22:13Z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6B259CE1E7746E9626ED146A3E44573E</vt:lpwstr>
  </property>
</Properties>
</file>