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24"/>
        </w:rPr>
      </w:pPr>
      <w:bookmarkStart w:id="1" w:name="_GoBack"/>
      <w:r>
        <w:rPr>
          <w:rFonts w:hint="eastAsia" w:eastAsia="黑体" w:cs="黑体"/>
          <w:sz w:val="32"/>
          <w:szCs w:val="24"/>
          <w:lang w:bidi="ar"/>
        </w:rPr>
        <w:t>附件</w:t>
      </w:r>
      <w:r>
        <w:rPr>
          <w:rFonts w:eastAsia="黑体"/>
          <w:sz w:val="32"/>
          <w:szCs w:val="24"/>
          <w:lang w:bidi="ar"/>
        </w:rPr>
        <w:t>1</w:t>
      </w:r>
    </w:p>
    <w:p>
      <w:pPr>
        <w:jc w:val="center"/>
        <w:rPr>
          <w:rFonts w:eastAsia="方正小标宋简体"/>
          <w:sz w:val="44"/>
          <w:szCs w:val="24"/>
        </w:rPr>
      </w:pPr>
      <w:r>
        <w:rPr>
          <w:rFonts w:hint="eastAsia" w:eastAsia="方正小标宋简体" w:cs="方正小标宋简体"/>
          <w:sz w:val="44"/>
          <w:szCs w:val="24"/>
          <w:lang w:bidi="ar"/>
        </w:rPr>
        <w:t>课题说明及联系方式</w:t>
      </w:r>
    </w:p>
    <w:bookmarkEnd w:id="1"/>
    <w:p>
      <w:pPr>
        <w:pStyle w:val="13"/>
        <w:widowControl/>
        <w:numPr>
          <w:ilvl w:val="0"/>
          <w:numId w:val="1"/>
        </w:numPr>
        <w:tabs>
          <w:tab w:val="left" w:pos="1418"/>
        </w:tabs>
        <w:ind w:firstLineChars="0"/>
        <w:outlineLvl w:val="0"/>
        <w:rPr>
          <w:rFonts w:eastAsia="楷体" w:cs="Calibri"/>
          <w:color w:val="000000"/>
          <w:spacing w:val="-6"/>
          <w:sz w:val="32"/>
        </w:rPr>
      </w:pPr>
      <w:r>
        <w:rPr>
          <w:rFonts w:hint="eastAsia" w:eastAsia="楷体" w:cs="Calibri"/>
          <w:color w:val="000000"/>
          <w:spacing w:val="-6"/>
          <w:sz w:val="32"/>
        </w:rPr>
        <w:t>油脂油料期货对现货市场商贸流通作用的研究</w:t>
      </w:r>
    </w:p>
    <w:p>
      <w:pPr>
        <w:widowControl/>
        <w:autoSpaceDE w:val="0"/>
        <w:autoSpaceDN w:val="0"/>
        <w:ind w:firstLine="640" w:firstLineChars="200"/>
        <w:rPr>
          <w:rFonts w:eastAsia="仿宋"/>
          <w:sz w:val="32"/>
          <w:szCs w:val="32"/>
        </w:rPr>
      </w:pPr>
      <w:r>
        <w:rPr>
          <w:rFonts w:hint="eastAsia" w:eastAsia="仿宋" w:cs="仿宋"/>
          <w:sz w:val="32"/>
          <w:szCs w:val="32"/>
          <w:lang w:bidi="ar"/>
        </w:rPr>
        <w:t>主要内容：一是梳理我国油脂油料产业政策法规、管理体制、贸易方式、价格机制、物流运输、市场主体相关情况，总结重点改革领域和产业发展方向。二是</w:t>
      </w:r>
      <w:r>
        <w:rPr>
          <w:rFonts w:eastAsia="仿宋" w:cs="仿宋"/>
          <w:sz w:val="32"/>
          <w:szCs w:val="32"/>
          <w:lang w:bidi="ar"/>
        </w:rPr>
        <w:t>研究</w:t>
      </w:r>
      <w:r>
        <w:rPr>
          <w:rFonts w:hint="eastAsia" w:eastAsia="仿宋" w:cs="仿宋"/>
          <w:sz w:val="32"/>
          <w:szCs w:val="32"/>
          <w:lang w:bidi="ar"/>
        </w:rPr>
        <w:t>国内外油脂油料商贸流通特点及行业面临的痛难点问题。三是研究已上市油脂油料期货品种对现货贸易方式、产业风险管理、定价影响力、商贸流通效率等方面的影响。四是分析期货市场服务商贸流通和产业发展的路径和作用，针对</w:t>
      </w:r>
      <w:r>
        <w:rPr>
          <w:rFonts w:hint="eastAsia" w:eastAsia="仿宋"/>
          <w:sz w:val="32"/>
          <w:szCs w:val="32"/>
        </w:rPr>
        <w:t>加强期货工具运用、</w:t>
      </w:r>
      <w:r>
        <w:rPr>
          <w:rFonts w:hint="eastAsia" w:eastAsia="仿宋" w:cs="仿宋"/>
          <w:sz w:val="32"/>
          <w:szCs w:val="32"/>
          <w:lang w:bidi="ar"/>
        </w:rPr>
        <w:t>优化期货品种布局等方面提出建议。</w:t>
      </w:r>
    </w:p>
    <w:p>
      <w:pPr>
        <w:ind w:firstLine="616" w:firstLineChars="200"/>
        <w:rPr>
          <w:rFonts w:eastAsia="仿宋" w:cs="Calibri"/>
          <w:color w:val="000000"/>
          <w:spacing w:val="-6"/>
          <w:sz w:val="32"/>
          <w:szCs w:val="22"/>
        </w:rPr>
      </w:pPr>
      <w:r>
        <w:rPr>
          <w:rFonts w:hint="eastAsia" w:eastAsia="仿宋" w:cs="Calibri"/>
          <w:color w:val="000000"/>
          <w:spacing w:val="-6"/>
          <w:sz w:val="32"/>
          <w:szCs w:val="24"/>
          <w:lang w:bidi="ar"/>
        </w:rPr>
        <w:t>研究周期：不超过6个月</w:t>
      </w:r>
    </w:p>
    <w:p>
      <w:pPr>
        <w:ind w:firstLine="616" w:firstLineChars="200"/>
        <w:rPr>
          <w:rFonts w:eastAsia="仿宋" w:cs="Calibri"/>
          <w:color w:val="000000"/>
          <w:spacing w:val="-6"/>
          <w:sz w:val="32"/>
          <w:szCs w:val="24"/>
        </w:rPr>
      </w:pPr>
      <w:r>
        <w:rPr>
          <w:rFonts w:hint="eastAsia" w:eastAsia="仿宋" w:cs="Calibri"/>
          <w:color w:val="000000"/>
          <w:spacing w:val="-6"/>
          <w:sz w:val="32"/>
          <w:szCs w:val="24"/>
          <w:lang w:bidi="ar"/>
        </w:rPr>
        <w:t>研究经费：</w:t>
      </w:r>
      <w:r>
        <w:rPr>
          <w:rFonts w:eastAsia="仿宋" w:cs="Calibri"/>
          <w:color w:val="000000"/>
          <w:spacing w:val="-6"/>
          <w:sz w:val="32"/>
          <w:szCs w:val="24"/>
          <w:lang w:bidi="ar"/>
        </w:rPr>
        <w:t>20</w:t>
      </w:r>
      <w:r>
        <w:rPr>
          <w:rFonts w:hint="eastAsia" w:eastAsia="仿宋" w:cs="Calibri"/>
          <w:color w:val="000000"/>
          <w:spacing w:val="-6"/>
          <w:sz w:val="32"/>
          <w:szCs w:val="24"/>
          <w:lang w:bidi="ar"/>
        </w:rPr>
        <w:t>万元</w:t>
      </w:r>
    </w:p>
    <w:p>
      <w:pPr>
        <w:tabs>
          <w:tab w:val="left" w:pos="1560"/>
        </w:tabs>
        <w:ind w:firstLine="640" w:firstLineChars="200"/>
        <w:rPr>
          <w:rFonts w:eastAsia="仿宋"/>
          <w:sz w:val="32"/>
          <w:szCs w:val="24"/>
        </w:rPr>
      </w:pPr>
      <w:r>
        <w:rPr>
          <w:rFonts w:hint="eastAsia" w:eastAsia="仿宋" w:cs="仿宋"/>
          <w:sz w:val="32"/>
          <w:szCs w:val="24"/>
          <w:lang w:bidi="ar"/>
        </w:rPr>
        <w:t>联系电话：</w:t>
      </w:r>
      <w:r>
        <w:rPr>
          <w:rFonts w:eastAsia="仿宋"/>
          <w:sz w:val="32"/>
          <w:szCs w:val="24"/>
          <w:lang w:bidi="ar"/>
        </w:rPr>
        <w:t>0371-65612985</w:t>
      </w:r>
    </w:p>
    <w:p>
      <w:pPr>
        <w:tabs>
          <w:tab w:val="left" w:pos="1560"/>
        </w:tabs>
        <w:ind w:firstLine="640" w:firstLineChars="200"/>
        <w:rPr>
          <w:rFonts w:eastAsia="仿宋"/>
          <w:sz w:val="32"/>
          <w:szCs w:val="24"/>
        </w:rPr>
      </w:pPr>
      <w:r>
        <w:rPr>
          <w:rFonts w:hint="eastAsia" w:eastAsia="仿宋" w:cs="仿宋"/>
          <w:sz w:val="32"/>
          <w:szCs w:val="24"/>
          <w:lang w:bidi="ar"/>
        </w:rPr>
        <w:t>课题申请邮箱：liuyang</w:t>
      </w:r>
      <w:r>
        <w:rPr>
          <w:rFonts w:eastAsia="仿宋"/>
          <w:sz w:val="32"/>
          <w:szCs w:val="24"/>
          <w:lang w:bidi="ar"/>
        </w:rPr>
        <w:t>@czce.com.cn</w:t>
      </w:r>
    </w:p>
    <w:p>
      <w:pPr>
        <w:pStyle w:val="13"/>
        <w:widowControl/>
        <w:numPr>
          <w:ilvl w:val="0"/>
          <w:numId w:val="1"/>
        </w:numPr>
        <w:tabs>
          <w:tab w:val="left" w:pos="1418"/>
        </w:tabs>
        <w:ind w:firstLineChars="0"/>
        <w:outlineLvl w:val="0"/>
        <w:rPr>
          <w:rFonts w:eastAsia="楷体" w:cs="Calibri"/>
          <w:color w:val="000000"/>
          <w:spacing w:val="-6"/>
          <w:sz w:val="32"/>
        </w:rPr>
      </w:pPr>
      <w:r>
        <w:rPr>
          <w:rFonts w:hint="eastAsia" w:eastAsia="楷体" w:cs="Calibri"/>
          <w:color w:val="000000"/>
          <w:spacing w:val="-6"/>
          <w:sz w:val="32"/>
        </w:rPr>
        <w:t>境外指数衍生品跨境监管经验与中国路径研究</w:t>
      </w:r>
    </w:p>
    <w:p>
      <w:pPr>
        <w:widowControl w:val="0"/>
        <w:autoSpaceDE w:val="0"/>
        <w:autoSpaceDN w:val="0"/>
        <w:ind w:firstLine="640" w:firstLineChars="200"/>
        <w:rPr>
          <w:rFonts w:eastAsia="仿宋"/>
          <w:sz w:val="32"/>
          <w:szCs w:val="32"/>
        </w:rPr>
      </w:pPr>
      <w:r>
        <w:rPr>
          <w:rFonts w:hint="eastAsia" w:eastAsia="仿宋" w:cs="仿宋"/>
          <w:sz w:val="32"/>
          <w:szCs w:val="32"/>
          <w:lang w:bidi="ar"/>
        </w:rPr>
        <w:t>主要内容：一是梳理美国、欧盟、英国、新加坡等主要司法辖区的法律法规及监管规则，分析并厘清指数衍生品跨境监管的法律边界与适用条件。二是结合具体案例，从监管协同、信息共享、联合执法、处置效果等维度，总结分析各地区跨境监管的有效做法、实践成效及不足。三是结合我国监管实践与对外开放要求，针对境内上市境外标的期货品种的场景，研究提出跨境监管路径建议。</w:t>
      </w:r>
    </w:p>
    <w:p>
      <w:pPr>
        <w:ind w:firstLine="616" w:firstLineChars="200"/>
        <w:rPr>
          <w:rFonts w:eastAsia="仿宋" w:cs="Calibri"/>
          <w:color w:val="000000"/>
          <w:spacing w:val="-6"/>
          <w:sz w:val="32"/>
          <w:szCs w:val="22"/>
        </w:rPr>
      </w:pPr>
      <w:r>
        <w:rPr>
          <w:rFonts w:hint="eastAsia" w:eastAsia="仿宋" w:cs="Calibri"/>
          <w:color w:val="000000"/>
          <w:spacing w:val="-6"/>
          <w:sz w:val="32"/>
          <w:szCs w:val="24"/>
          <w:lang w:bidi="ar"/>
        </w:rPr>
        <w:t>研究周期：不超过6个月</w:t>
      </w:r>
    </w:p>
    <w:p>
      <w:pPr>
        <w:ind w:firstLine="616" w:firstLineChars="200"/>
        <w:rPr>
          <w:rFonts w:eastAsia="仿宋" w:cs="Calibri"/>
          <w:color w:val="000000"/>
          <w:spacing w:val="-6"/>
          <w:sz w:val="32"/>
          <w:szCs w:val="24"/>
        </w:rPr>
      </w:pPr>
      <w:r>
        <w:rPr>
          <w:rFonts w:hint="eastAsia" w:eastAsia="仿宋" w:cs="Calibri"/>
          <w:color w:val="000000"/>
          <w:spacing w:val="-6"/>
          <w:sz w:val="32"/>
          <w:szCs w:val="24"/>
          <w:lang w:bidi="ar"/>
        </w:rPr>
        <w:t>研究经费：</w:t>
      </w:r>
      <w:r>
        <w:rPr>
          <w:rFonts w:eastAsia="仿宋" w:cs="Calibri"/>
          <w:color w:val="000000"/>
          <w:spacing w:val="-6"/>
          <w:sz w:val="32"/>
          <w:szCs w:val="24"/>
          <w:lang w:bidi="ar"/>
        </w:rPr>
        <w:t>20</w:t>
      </w:r>
      <w:r>
        <w:rPr>
          <w:rFonts w:hint="eastAsia" w:eastAsia="仿宋" w:cs="Calibri"/>
          <w:color w:val="000000"/>
          <w:spacing w:val="-6"/>
          <w:sz w:val="32"/>
          <w:szCs w:val="24"/>
          <w:lang w:bidi="ar"/>
        </w:rPr>
        <w:t>万元</w:t>
      </w:r>
    </w:p>
    <w:p>
      <w:pPr>
        <w:tabs>
          <w:tab w:val="left" w:pos="1560"/>
        </w:tabs>
        <w:ind w:firstLine="640" w:firstLineChars="200"/>
        <w:rPr>
          <w:rFonts w:eastAsia="仿宋"/>
          <w:sz w:val="32"/>
          <w:szCs w:val="24"/>
          <w:lang w:bidi="ar"/>
        </w:rPr>
      </w:pPr>
      <w:r>
        <w:rPr>
          <w:rFonts w:hint="eastAsia" w:eastAsia="仿宋" w:cs="仿宋"/>
          <w:sz w:val="32"/>
          <w:szCs w:val="24"/>
          <w:lang w:bidi="ar"/>
        </w:rPr>
        <w:t>联系电话：</w:t>
      </w:r>
      <w:r>
        <w:rPr>
          <w:rFonts w:eastAsia="仿宋"/>
          <w:sz w:val="32"/>
          <w:szCs w:val="24"/>
          <w:lang w:bidi="ar"/>
        </w:rPr>
        <w:t>0371-65612570</w:t>
      </w:r>
      <w:r>
        <w:rPr>
          <w:rFonts w:hint="eastAsia" w:eastAsia="仿宋"/>
          <w:sz w:val="32"/>
          <w:szCs w:val="24"/>
          <w:lang w:bidi="ar"/>
        </w:rPr>
        <w:t>、</w:t>
      </w:r>
      <w:r>
        <w:rPr>
          <w:rFonts w:eastAsia="仿宋"/>
          <w:sz w:val="32"/>
          <w:szCs w:val="24"/>
          <w:lang w:bidi="ar"/>
        </w:rPr>
        <w:t>0371-6561</w:t>
      </w:r>
      <w:r>
        <w:rPr>
          <w:rFonts w:hint="eastAsia" w:eastAsia="仿宋"/>
          <w:sz w:val="32"/>
          <w:szCs w:val="24"/>
          <w:lang w:bidi="ar"/>
        </w:rPr>
        <w:t>2882</w:t>
      </w:r>
    </w:p>
    <w:p>
      <w:pPr>
        <w:tabs>
          <w:tab w:val="left" w:pos="1560"/>
        </w:tabs>
        <w:ind w:firstLine="640" w:firstLineChars="200"/>
        <w:rPr>
          <w:rFonts w:eastAsia="仿宋"/>
          <w:sz w:val="32"/>
          <w:szCs w:val="24"/>
        </w:rPr>
      </w:pPr>
      <w:r>
        <w:rPr>
          <w:rFonts w:hint="eastAsia" w:eastAsia="仿宋" w:cs="仿宋"/>
          <w:sz w:val="32"/>
          <w:szCs w:val="24"/>
          <w:lang w:bidi="ar"/>
        </w:rPr>
        <w:t>课题申请邮箱：zhangchenyu</w:t>
      </w:r>
      <w:r>
        <w:rPr>
          <w:rFonts w:eastAsia="仿宋"/>
          <w:sz w:val="32"/>
          <w:szCs w:val="24"/>
          <w:lang w:bidi="ar"/>
        </w:rPr>
        <w:t>@czce.com.cn</w:t>
      </w:r>
    </w:p>
    <w:p>
      <w:pPr>
        <w:pStyle w:val="13"/>
        <w:widowControl/>
        <w:numPr>
          <w:ilvl w:val="0"/>
          <w:numId w:val="1"/>
        </w:numPr>
        <w:tabs>
          <w:tab w:val="left" w:pos="1418"/>
        </w:tabs>
        <w:ind w:firstLineChars="0"/>
        <w:outlineLvl w:val="0"/>
        <w:rPr>
          <w:rFonts w:eastAsia="楷体" w:cs="Calibri"/>
          <w:color w:val="000000"/>
          <w:spacing w:val="-6"/>
          <w:sz w:val="32"/>
        </w:rPr>
      </w:pPr>
      <w:bookmarkStart w:id="0" w:name="_Hlk224292351"/>
      <w:r>
        <w:rPr>
          <w:rFonts w:hint="eastAsia" w:eastAsia="楷体" w:cs="Calibri"/>
          <w:color w:val="000000"/>
          <w:spacing w:val="-6"/>
          <w:sz w:val="32"/>
        </w:rPr>
        <w:t>提升烧碱期货国际影响力的路径研究</w:t>
      </w:r>
      <w:bookmarkEnd w:id="0"/>
    </w:p>
    <w:p>
      <w:pPr>
        <w:widowControl/>
        <w:autoSpaceDE w:val="0"/>
        <w:autoSpaceDN w:val="0"/>
        <w:ind w:firstLine="640" w:firstLineChars="200"/>
        <w:rPr>
          <w:rFonts w:eastAsia="仿宋"/>
          <w:sz w:val="32"/>
          <w:szCs w:val="32"/>
        </w:rPr>
      </w:pPr>
      <w:r>
        <w:rPr>
          <w:rFonts w:hint="eastAsia" w:eastAsia="仿宋" w:cs="仿宋"/>
          <w:sz w:val="32"/>
          <w:szCs w:val="32"/>
          <w:lang w:bidi="ar"/>
        </w:rPr>
        <w:t>主要内容：一是梳理全球烧碱产销、贸易、进出口政策、企业参与和贸易定价模式等方面情况。二是分析我国烧碱出口企业的定价和风险管理需求，结合品种特点，研究烧碱期货在出口定价中的应用模式。三是围绕提升烧碱期货国际价格影响力，在规则完善、交割结算、市场培育、风险防控等方面提出可行性建议和措施。</w:t>
      </w:r>
    </w:p>
    <w:p>
      <w:pPr>
        <w:ind w:firstLine="616" w:firstLineChars="200"/>
        <w:rPr>
          <w:rFonts w:eastAsia="仿宋" w:cs="Calibri"/>
          <w:color w:val="000000"/>
          <w:spacing w:val="-6"/>
          <w:sz w:val="32"/>
          <w:szCs w:val="22"/>
        </w:rPr>
      </w:pPr>
      <w:r>
        <w:rPr>
          <w:rFonts w:hint="eastAsia" w:eastAsia="仿宋" w:cs="Calibri"/>
          <w:color w:val="000000"/>
          <w:spacing w:val="-6"/>
          <w:sz w:val="32"/>
          <w:szCs w:val="24"/>
          <w:lang w:bidi="ar"/>
        </w:rPr>
        <w:t>研究周期：不超过6个月</w:t>
      </w:r>
    </w:p>
    <w:p>
      <w:pPr>
        <w:ind w:firstLine="616" w:firstLineChars="200"/>
        <w:rPr>
          <w:rFonts w:eastAsia="仿宋" w:cs="Calibri"/>
          <w:color w:val="000000"/>
          <w:spacing w:val="-6"/>
          <w:sz w:val="32"/>
          <w:szCs w:val="24"/>
        </w:rPr>
      </w:pPr>
      <w:r>
        <w:rPr>
          <w:rFonts w:hint="eastAsia" w:eastAsia="仿宋" w:cs="Calibri"/>
          <w:color w:val="000000"/>
          <w:spacing w:val="-6"/>
          <w:sz w:val="32"/>
          <w:szCs w:val="24"/>
          <w:lang w:bidi="ar"/>
        </w:rPr>
        <w:t>研究经费：20万元</w:t>
      </w:r>
    </w:p>
    <w:p>
      <w:pPr>
        <w:tabs>
          <w:tab w:val="left" w:pos="1560"/>
        </w:tabs>
        <w:ind w:firstLine="640" w:firstLineChars="200"/>
        <w:rPr>
          <w:rFonts w:eastAsia="仿宋"/>
          <w:sz w:val="32"/>
          <w:szCs w:val="24"/>
        </w:rPr>
      </w:pPr>
      <w:r>
        <w:rPr>
          <w:rFonts w:hint="eastAsia" w:eastAsia="仿宋" w:cs="仿宋"/>
          <w:sz w:val="32"/>
          <w:szCs w:val="24"/>
          <w:lang w:bidi="ar"/>
        </w:rPr>
        <w:t>联系电话：</w:t>
      </w:r>
      <w:r>
        <w:rPr>
          <w:rFonts w:eastAsia="仿宋"/>
          <w:sz w:val="32"/>
          <w:szCs w:val="24"/>
          <w:lang w:bidi="ar"/>
        </w:rPr>
        <w:t>0371-65610974</w:t>
      </w:r>
    </w:p>
    <w:p>
      <w:pPr>
        <w:tabs>
          <w:tab w:val="left" w:pos="1560"/>
        </w:tabs>
        <w:ind w:firstLine="640" w:firstLineChars="200"/>
        <w:rPr>
          <w:rFonts w:eastAsia="仿宋"/>
          <w:sz w:val="32"/>
          <w:szCs w:val="24"/>
        </w:rPr>
      </w:pPr>
      <w:r>
        <w:rPr>
          <w:rFonts w:hint="eastAsia" w:eastAsia="仿宋" w:cs="仿宋"/>
          <w:sz w:val="32"/>
          <w:szCs w:val="24"/>
          <w:lang w:bidi="ar"/>
        </w:rPr>
        <w:t>课题申请邮箱：yanghao</w:t>
      </w:r>
      <w:r>
        <w:rPr>
          <w:rFonts w:eastAsia="仿宋"/>
          <w:sz w:val="32"/>
          <w:szCs w:val="24"/>
          <w:lang w:bidi="ar"/>
        </w:rPr>
        <w:t>@czce.com.cn</w:t>
      </w:r>
    </w:p>
    <w:p>
      <w:pPr>
        <w:pStyle w:val="13"/>
        <w:widowControl/>
        <w:numPr>
          <w:ilvl w:val="0"/>
          <w:numId w:val="1"/>
        </w:numPr>
        <w:tabs>
          <w:tab w:val="left" w:pos="1418"/>
        </w:tabs>
        <w:ind w:firstLineChars="0"/>
        <w:outlineLvl w:val="0"/>
        <w:rPr>
          <w:rFonts w:eastAsia="楷体" w:cs="Calibri"/>
          <w:color w:val="000000"/>
          <w:spacing w:val="-6"/>
          <w:sz w:val="32"/>
        </w:rPr>
      </w:pPr>
      <w:r>
        <w:rPr>
          <w:rFonts w:hint="eastAsia" w:eastAsia="楷体" w:cs="Calibri"/>
          <w:color w:val="000000"/>
          <w:spacing w:val="-6"/>
          <w:sz w:val="32"/>
        </w:rPr>
        <w:t>棉花短纤维率指标的现货质量价差研究</w:t>
      </w:r>
    </w:p>
    <w:p>
      <w:pPr>
        <w:widowControl w:val="0"/>
        <w:autoSpaceDE w:val="0"/>
        <w:autoSpaceDN w:val="0"/>
        <w:ind w:firstLine="640" w:firstLineChars="200"/>
        <w:rPr>
          <w:rFonts w:eastAsia="仿宋"/>
          <w:sz w:val="32"/>
          <w:szCs w:val="32"/>
        </w:rPr>
      </w:pPr>
      <w:r>
        <w:rPr>
          <w:rFonts w:hint="eastAsia" w:eastAsia="仿宋" w:cs="仿宋"/>
          <w:sz w:val="32"/>
          <w:szCs w:val="32"/>
          <w:lang w:bidi="ar"/>
        </w:rPr>
        <w:t>主要内容：一是梳理国内外棉花产业链企业对棉花短纤维率指标的检测、应用情况，研究现货贸易中短纤维率指标的检测情况和议价习惯。二是结合国内不同产区的棉花短纤维率指标情况，研究短纤维率指标产生的棉花价差及其规律。三是针对棉花期货市场应用短纤维率指标以及持续完善棉花期货规则制度体系提出相关建议。</w:t>
      </w:r>
    </w:p>
    <w:p>
      <w:pPr>
        <w:ind w:firstLine="616" w:firstLineChars="200"/>
        <w:rPr>
          <w:rFonts w:eastAsia="仿宋" w:cs="Calibri"/>
          <w:color w:val="000000"/>
          <w:spacing w:val="-6"/>
          <w:sz w:val="32"/>
          <w:szCs w:val="22"/>
        </w:rPr>
      </w:pPr>
      <w:r>
        <w:rPr>
          <w:rFonts w:hint="eastAsia" w:eastAsia="仿宋" w:cs="Calibri"/>
          <w:color w:val="000000"/>
          <w:spacing w:val="-6"/>
          <w:sz w:val="32"/>
          <w:szCs w:val="24"/>
          <w:lang w:bidi="ar"/>
        </w:rPr>
        <w:t>研究周期：不超过6个月</w:t>
      </w:r>
    </w:p>
    <w:p>
      <w:pPr>
        <w:ind w:firstLine="616" w:firstLineChars="200"/>
        <w:rPr>
          <w:rFonts w:eastAsia="仿宋" w:cs="Calibri"/>
          <w:color w:val="000000"/>
          <w:spacing w:val="-6"/>
          <w:sz w:val="32"/>
          <w:szCs w:val="24"/>
        </w:rPr>
      </w:pPr>
      <w:r>
        <w:rPr>
          <w:rFonts w:hint="eastAsia" w:eastAsia="仿宋" w:cs="Calibri"/>
          <w:color w:val="000000"/>
          <w:spacing w:val="-6"/>
          <w:sz w:val="32"/>
          <w:szCs w:val="24"/>
          <w:lang w:bidi="ar"/>
        </w:rPr>
        <w:t>研究经费：</w:t>
      </w:r>
      <w:r>
        <w:rPr>
          <w:rFonts w:eastAsia="仿宋" w:cs="Calibri"/>
          <w:color w:val="000000"/>
          <w:spacing w:val="-6"/>
          <w:sz w:val="32"/>
          <w:szCs w:val="24"/>
          <w:lang w:bidi="ar"/>
        </w:rPr>
        <w:t>20</w:t>
      </w:r>
      <w:r>
        <w:rPr>
          <w:rFonts w:hint="eastAsia" w:eastAsia="仿宋" w:cs="Calibri"/>
          <w:color w:val="000000"/>
          <w:spacing w:val="-6"/>
          <w:sz w:val="32"/>
          <w:szCs w:val="24"/>
          <w:lang w:bidi="ar"/>
        </w:rPr>
        <w:t>万元</w:t>
      </w:r>
    </w:p>
    <w:p>
      <w:pPr>
        <w:tabs>
          <w:tab w:val="left" w:pos="1560"/>
        </w:tabs>
        <w:ind w:firstLine="640" w:firstLineChars="200"/>
        <w:rPr>
          <w:rFonts w:eastAsia="仿宋"/>
          <w:sz w:val="32"/>
          <w:szCs w:val="24"/>
        </w:rPr>
      </w:pPr>
      <w:r>
        <w:rPr>
          <w:rFonts w:hint="eastAsia" w:eastAsia="仿宋" w:cs="仿宋"/>
          <w:sz w:val="32"/>
          <w:szCs w:val="24"/>
          <w:lang w:bidi="ar"/>
        </w:rPr>
        <w:t>联系电话：</w:t>
      </w:r>
      <w:r>
        <w:rPr>
          <w:rFonts w:eastAsia="仿宋"/>
          <w:sz w:val="32"/>
          <w:szCs w:val="24"/>
          <w:lang w:bidi="ar"/>
        </w:rPr>
        <w:t>0371-65611909</w:t>
      </w:r>
    </w:p>
    <w:p>
      <w:pPr>
        <w:tabs>
          <w:tab w:val="left" w:pos="1560"/>
        </w:tabs>
        <w:ind w:firstLine="640" w:firstLineChars="200"/>
        <w:rPr>
          <w:rFonts w:eastAsia="仿宋"/>
          <w:sz w:val="32"/>
          <w:szCs w:val="24"/>
          <w:lang w:bidi="ar"/>
        </w:rPr>
      </w:pPr>
      <w:r>
        <w:rPr>
          <w:rFonts w:hint="eastAsia" w:eastAsia="仿宋" w:cs="仿宋"/>
          <w:sz w:val="32"/>
          <w:szCs w:val="24"/>
          <w:lang w:bidi="ar"/>
        </w:rPr>
        <w:t>课题申请邮箱：</w:t>
      </w:r>
      <w:r>
        <w:rPr>
          <w:rFonts w:hint="eastAsia" w:eastAsia="仿宋"/>
          <w:sz w:val="32"/>
          <w:szCs w:val="24"/>
          <w:lang w:bidi="ar"/>
        </w:rPr>
        <w:fldChar w:fldCharType="begin"/>
      </w:r>
      <w:r>
        <w:rPr>
          <w:rFonts w:hint="eastAsia" w:eastAsia="仿宋"/>
          <w:sz w:val="32"/>
          <w:szCs w:val="24"/>
          <w:lang w:bidi="ar"/>
        </w:rPr>
        <w:instrText xml:space="preserve"> HYPERLINK "mailto:jhlan@czce.com.cn" </w:instrText>
      </w:r>
      <w:r>
        <w:rPr>
          <w:rFonts w:hint="eastAsia" w:eastAsia="仿宋"/>
          <w:sz w:val="32"/>
          <w:szCs w:val="24"/>
          <w:lang w:bidi="ar"/>
        </w:rPr>
        <w:fldChar w:fldCharType="separate"/>
      </w:r>
      <w:r>
        <w:rPr>
          <w:rFonts w:hint="eastAsia" w:eastAsia="仿宋"/>
          <w:sz w:val="32"/>
          <w:szCs w:val="24"/>
          <w:lang w:bidi="ar"/>
        </w:rPr>
        <w:t>jhlan@czce.com.cn</w:t>
      </w:r>
      <w:r>
        <w:rPr>
          <w:rFonts w:hint="eastAsia" w:eastAsia="仿宋"/>
          <w:sz w:val="32"/>
          <w:szCs w:val="24"/>
          <w:lang w:bidi="ar"/>
        </w:rPr>
        <w:fldChar w:fldCharType="end"/>
      </w:r>
    </w:p>
    <w:p>
      <w:pPr>
        <w:pStyle w:val="13"/>
        <w:widowControl/>
        <w:numPr>
          <w:ilvl w:val="0"/>
          <w:numId w:val="1"/>
        </w:numPr>
        <w:tabs>
          <w:tab w:val="left" w:pos="1418"/>
        </w:tabs>
        <w:ind w:firstLineChars="0"/>
        <w:outlineLvl w:val="0"/>
        <w:rPr>
          <w:rFonts w:eastAsia="楷体" w:cs="Calibri"/>
          <w:color w:val="000000"/>
          <w:spacing w:val="-6"/>
          <w:sz w:val="32"/>
        </w:rPr>
      </w:pPr>
      <w:r>
        <w:rPr>
          <w:rFonts w:hint="eastAsia" w:eastAsia="楷体" w:cs="Calibri"/>
          <w:color w:val="000000"/>
          <w:spacing w:val="-6"/>
          <w:sz w:val="32"/>
        </w:rPr>
        <w:t>金融科技与资产证券化对期货产品创新的影响研究</w:t>
      </w:r>
    </w:p>
    <w:p>
      <w:pPr>
        <w:widowControl/>
        <w:autoSpaceDE w:val="0"/>
        <w:autoSpaceDN w:val="0"/>
        <w:ind w:firstLine="640" w:firstLineChars="200"/>
        <w:rPr>
          <w:rFonts w:eastAsia="仿宋"/>
          <w:sz w:val="32"/>
          <w:szCs w:val="32"/>
        </w:rPr>
      </w:pPr>
      <w:r>
        <w:rPr>
          <w:rFonts w:hint="eastAsia" w:eastAsia="仿宋" w:cs="仿宋"/>
          <w:sz w:val="32"/>
          <w:szCs w:val="32"/>
          <w:lang w:bidi="ar"/>
        </w:rPr>
        <w:t>主要内容：一是重点围绕数字人民币技术及Token经济相关方向，梳理分析金融科技与资产证券化对期货市场创新的机遇与挑战。二是结合核心原理及特征，分析相关技术与传统模式下资产证券化及期货业务环节的差异，阐释技术的先进性。三是分析探讨数字人民币相关技术及Token经济在期货业务环节的创新应用场景及可行性，评估数字技术应用可能带来的创新机遇以及面临的法律风险和安全挑战。四是针对期货市场数字化转型提出有关政策建议。</w:t>
      </w:r>
    </w:p>
    <w:p>
      <w:pPr>
        <w:ind w:firstLine="616" w:firstLineChars="200"/>
        <w:rPr>
          <w:rFonts w:eastAsia="仿宋" w:cs="Calibri"/>
          <w:color w:val="000000"/>
          <w:spacing w:val="-6"/>
          <w:sz w:val="32"/>
          <w:szCs w:val="22"/>
        </w:rPr>
      </w:pPr>
      <w:r>
        <w:rPr>
          <w:rFonts w:hint="eastAsia" w:eastAsia="仿宋" w:cs="Calibri"/>
          <w:color w:val="000000"/>
          <w:spacing w:val="-6"/>
          <w:sz w:val="32"/>
          <w:szCs w:val="24"/>
          <w:lang w:bidi="ar"/>
        </w:rPr>
        <w:t>研究周期：不超过</w:t>
      </w:r>
      <w:r>
        <w:rPr>
          <w:rFonts w:eastAsia="仿宋" w:cs="Calibri"/>
          <w:color w:val="000000"/>
          <w:spacing w:val="-6"/>
          <w:sz w:val="32"/>
          <w:szCs w:val="24"/>
          <w:lang w:bidi="ar"/>
        </w:rPr>
        <w:t>6</w:t>
      </w:r>
      <w:r>
        <w:rPr>
          <w:rFonts w:hint="eastAsia" w:eastAsia="仿宋" w:cs="Calibri"/>
          <w:color w:val="000000"/>
          <w:spacing w:val="-6"/>
          <w:sz w:val="32"/>
          <w:szCs w:val="24"/>
          <w:lang w:bidi="ar"/>
        </w:rPr>
        <w:t>个月</w:t>
      </w:r>
    </w:p>
    <w:p>
      <w:pPr>
        <w:ind w:firstLine="616" w:firstLineChars="200"/>
        <w:rPr>
          <w:rFonts w:eastAsia="仿宋" w:cs="Calibri"/>
          <w:color w:val="000000"/>
          <w:spacing w:val="-6"/>
          <w:sz w:val="32"/>
          <w:szCs w:val="24"/>
        </w:rPr>
      </w:pPr>
      <w:r>
        <w:rPr>
          <w:rFonts w:hint="eastAsia" w:eastAsia="仿宋" w:cs="Calibri"/>
          <w:color w:val="000000"/>
          <w:spacing w:val="-6"/>
          <w:sz w:val="32"/>
          <w:szCs w:val="24"/>
          <w:lang w:bidi="ar"/>
        </w:rPr>
        <w:t>研究经费：</w:t>
      </w:r>
      <w:r>
        <w:rPr>
          <w:rFonts w:eastAsia="仿宋" w:cs="Calibri"/>
          <w:color w:val="000000"/>
          <w:spacing w:val="-6"/>
          <w:sz w:val="32"/>
          <w:szCs w:val="24"/>
          <w:lang w:bidi="ar"/>
        </w:rPr>
        <w:t>20</w:t>
      </w:r>
      <w:r>
        <w:rPr>
          <w:rFonts w:hint="eastAsia" w:eastAsia="仿宋" w:cs="Calibri"/>
          <w:color w:val="000000"/>
          <w:spacing w:val="-6"/>
          <w:sz w:val="32"/>
          <w:szCs w:val="24"/>
          <w:lang w:bidi="ar"/>
        </w:rPr>
        <w:t>万元</w:t>
      </w:r>
    </w:p>
    <w:p>
      <w:pPr>
        <w:tabs>
          <w:tab w:val="left" w:pos="1560"/>
        </w:tabs>
        <w:ind w:firstLine="640" w:firstLineChars="200"/>
        <w:rPr>
          <w:rFonts w:eastAsia="仿宋"/>
          <w:sz w:val="32"/>
          <w:szCs w:val="24"/>
        </w:rPr>
      </w:pPr>
      <w:r>
        <w:rPr>
          <w:rFonts w:hint="eastAsia" w:eastAsia="仿宋" w:cs="仿宋"/>
          <w:sz w:val="32"/>
          <w:szCs w:val="24"/>
          <w:lang w:bidi="ar"/>
        </w:rPr>
        <w:t>联系电话：</w:t>
      </w:r>
      <w:r>
        <w:rPr>
          <w:rFonts w:eastAsia="仿宋"/>
          <w:sz w:val="32"/>
          <w:szCs w:val="24"/>
          <w:lang w:bidi="ar"/>
        </w:rPr>
        <w:t>0371-65613872</w:t>
      </w:r>
    </w:p>
    <w:p>
      <w:pPr>
        <w:tabs>
          <w:tab w:val="left" w:pos="1560"/>
        </w:tabs>
        <w:ind w:firstLine="640" w:firstLineChars="200"/>
        <w:rPr>
          <w:rFonts w:eastAsia="仿宋"/>
          <w:sz w:val="32"/>
          <w:szCs w:val="24"/>
        </w:rPr>
      </w:pPr>
      <w:r>
        <w:rPr>
          <w:rFonts w:hint="eastAsia" w:eastAsia="仿宋" w:cs="仿宋"/>
          <w:sz w:val="32"/>
          <w:szCs w:val="24"/>
          <w:lang w:bidi="ar"/>
        </w:rPr>
        <w:t>课题申请邮箱：yfzhang</w:t>
      </w:r>
      <w:r>
        <w:rPr>
          <w:rFonts w:eastAsia="仿宋"/>
          <w:sz w:val="32"/>
          <w:szCs w:val="24"/>
          <w:lang w:bidi="ar"/>
        </w:rPr>
        <w:t>@czce.com.cn</w:t>
      </w:r>
    </w:p>
    <w:p>
      <w:pPr>
        <w:pStyle w:val="13"/>
        <w:widowControl/>
        <w:numPr>
          <w:ilvl w:val="0"/>
          <w:numId w:val="1"/>
        </w:numPr>
        <w:tabs>
          <w:tab w:val="left" w:pos="1418"/>
        </w:tabs>
        <w:ind w:left="0" w:firstLine="820" w:firstLineChars="0"/>
        <w:outlineLvl w:val="0"/>
        <w:rPr>
          <w:rFonts w:eastAsia="楷体" w:cs="Calibri"/>
          <w:color w:val="000000"/>
          <w:spacing w:val="-6"/>
          <w:sz w:val="32"/>
        </w:rPr>
      </w:pPr>
      <w:r>
        <w:rPr>
          <w:rFonts w:hint="eastAsia" w:eastAsia="楷体" w:cs="Calibri"/>
          <w:color w:val="000000"/>
          <w:spacing w:val="-6"/>
          <w:sz w:val="32"/>
        </w:rPr>
        <w:t>期货衍生品投教融合高校人才培养的实践路径与成效评估</w:t>
      </w:r>
    </w:p>
    <w:p>
      <w:pPr>
        <w:widowControl/>
        <w:autoSpaceDE w:val="0"/>
        <w:autoSpaceDN w:val="0"/>
        <w:ind w:firstLine="640" w:firstLineChars="200"/>
        <w:rPr>
          <w:rFonts w:eastAsia="仿宋" w:cs="仿宋"/>
          <w:sz w:val="32"/>
          <w:szCs w:val="32"/>
          <w:lang w:bidi="ar"/>
        </w:rPr>
      </w:pPr>
      <w:r>
        <w:rPr>
          <w:rFonts w:hint="eastAsia" w:eastAsia="仿宋" w:cs="仿宋"/>
          <w:sz w:val="32"/>
          <w:szCs w:val="32"/>
          <w:lang w:bidi="ar"/>
        </w:rPr>
        <w:t>主要内容：一是梳理期货衍生品投资者教育、高校金融人才培养、期货市场规范化及产教融合相关理论与国内外研究成果，明确作用机制与关联逻辑。二是总结国内期货衍生品投教与高校人才培养融合方面的典型模式，剖析各类模式的参与主体、运行机制及现存问题。三是构建多维度、标准化的成效评估指标体系，量化评估投教融合模式在人才培养与期货市场规范化发展中的双重成效。四是研究提出期货衍生品知识全方位融入高校教育体系的实施路径，为期货衍生品投教与金融人才培养协同机制提供相关建议。</w:t>
      </w:r>
    </w:p>
    <w:p>
      <w:pPr>
        <w:ind w:firstLine="616" w:firstLineChars="200"/>
        <w:rPr>
          <w:rFonts w:eastAsia="仿宋" w:cs="Calibri"/>
          <w:color w:val="000000"/>
          <w:spacing w:val="-6"/>
          <w:sz w:val="32"/>
          <w:szCs w:val="22"/>
        </w:rPr>
      </w:pPr>
      <w:r>
        <w:rPr>
          <w:rFonts w:hint="eastAsia" w:eastAsia="仿宋" w:cs="Calibri"/>
          <w:color w:val="000000"/>
          <w:spacing w:val="-6"/>
          <w:sz w:val="32"/>
          <w:szCs w:val="24"/>
          <w:lang w:bidi="ar"/>
        </w:rPr>
        <w:t>研究周期：不超过</w:t>
      </w:r>
      <w:r>
        <w:rPr>
          <w:rFonts w:eastAsia="仿宋" w:cs="Calibri"/>
          <w:color w:val="000000"/>
          <w:spacing w:val="-6"/>
          <w:sz w:val="32"/>
          <w:szCs w:val="24"/>
          <w:lang w:bidi="ar"/>
        </w:rPr>
        <w:t>6</w:t>
      </w:r>
      <w:r>
        <w:rPr>
          <w:rFonts w:hint="eastAsia" w:eastAsia="仿宋" w:cs="Calibri"/>
          <w:color w:val="000000"/>
          <w:spacing w:val="-6"/>
          <w:sz w:val="32"/>
          <w:szCs w:val="24"/>
          <w:lang w:bidi="ar"/>
        </w:rPr>
        <w:t>个月</w:t>
      </w:r>
    </w:p>
    <w:p>
      <w:pPr>
        <w:ind w:firstLine="616" w:firstLineChars="200"/>
        <w:rPr>
          <w:rFonts w:hint="eastAsia" w:eastAsia="仿宋" w:cs="Calibri"/>
          <w:color w:val="000000"/>
          <w:spacing w:val="-6"/>
          <w:sz w:val="32"/>
          <w:szCs w:val="24"/>
          <w:lang w:bidi="ar"/>
        </w:rPr>
      </w:pPr>
      <w:r>
        <w:rPr>
          <w:rFonts w:hint="eastAsia" w:eastAsia="仿宋" w:cs="Calibri"/>
          <w:color w:val="000000"/>
          <w:spacing w:val="-6"/>
          <w:sz w:val="32"/>
          <w:szCs w:val="24"/>
          <w:lang w:bidi="ar"/>
        </w:rPr>
        <w:t>研究经费：</w:t>
      </w:r>
      <w:r>
        <w:rPr>
          <w:rFonts w:eastAsia="仿宋" w:cs="Calibri"/>
          <w:color w:val="000000"/>
          <w:spacing w:val="-6"/>
          <w:sz w:val="32"/>
          <w:szCs w:val="24"/>
          <w:lang w:bidi="ar"/>
        </w:rPr>
        <w:t>1</w:t>
      </w:r>
      <w:r>
        <w:rPr>
          <w:rFonts w:hint="eastAsia" w:eastAsia="仿宋" w:cs="Calibri"/>
          <w:color w:val="000000"/>
          <w:spacing w:val="-6"/>
          <w:sz w:val="32"/>
          <w:szCs w:val="24"/>
          <w:lang w:bidi="ar"/>
        </w:rPr>
        <w:t>5万元</w:t>
      </w:r>
    </w:p>
    <w:p>
      <w:pPr>
        <w:tabs>
          <w:tab w:val="left" w:pos="1560"/>
        </w:tabs>
        <w:ind w:firstLine="640" w:firstLineChars="200"/>
        <w:rPr>
          <w:rFonts w:eastAsia="仿宋"/>
          <w:sz w:val="32"/>
          <w:szCs w:val="24"/>
        </w:rPr>
      </w:pPr>
      <w:r>
        <w:rPr>
          <w:rFonts w:hint="eastAsia" w:eastAsia="仿宋" w:cs="仿宋"/>
          <w:sz w:val="32"/>
          <w:szCs w:val="24"/>
          <w:lang w:bidi="ar"/>
        </w:rPr>
        <w:t>联系电话：</w:t>
      </w:r>
      <w:r>
        <w:rPr>
          <w:rFonts w:eastAsia="仿宋"/>
          <w:sz w:val="32"/>
          <w:szCs w:val="24"/>
          <w:lang w:bidi="ar"/>
        </w:rPr>
        <w:t>0371-</w:t>
      </w:r>
      <w:r>
        <w:rPr>
          <w:rFonts w:hint="eastAsia" w:eastAsia="仿宋"/>
          <w:sz w:val="32"/>
          <w:szCs w:val="24"/>
          <w:lang w:bidi="ar"/>
        </w:rPr>
        <w:t>65610601</w:t>
      </w:r>
    </w:p>
    <w:p>
      <w:pPr>
        <w:tabs>
          <w:tab w:val="left" w:pos="1560"/>
        </w:tabs>
        <w:ind w:firstLine="640" w:firstLineChars="200"/>
        <w:rPr>
          <w:rFonts w:eastAsia="仿宋"/>
          <w:sz w:val="32"/>
          <w:szCs w:val="24"/>
        </w:rPr>
      </w:pPr>
      <w:r>
        <w:rPr>
          <w:rFonts w:hint="eastAsia" w:eastAsia="仿宋" w:cs="仿宋"/>
          <w:sz w:val="32"/>
          <w:szCs w:val="24"/>
          <w:lang w:bidi="ar"/>
        </w:rPr>
        <w:t>课题申请邮箱：</w:t>
      </w:r>
      <w:r>
        <w:rPr>
          <w:rFonts w:hint="eastAsia" w:eastAsia="仿宋"/>
          <w:sz w:val="32"/>
          <w:szCs w:val="24"/>
          <w:lang w:bidi="ar"/>
        </w:rPr>
        <w:t>xwma</w:t>
      </w:r>
      <w:r>
        <w:rPr>
          <w:rFonts w:eastAsia="仿宋"/>
          <w:sz w:val="32"/>
          <w:szCs w:val="24"/>
          <w:lang w:bidi="ar"/>
        </w:rPr>
        <w:t>@czce.com.cn</w:t>
      </w:r>
    </w:p>
    <w:sectPr>
      <w:headerReference r:id="rId3" w:type="default"/>
      <w:footerReference r:id="rId4" w:type="default"/>
      <w:pgSz w:w="11906" w:h="16838"/>
      <w:pgMar w:top="1440" w:right="1797" w:bottom="1440" w:left="1797" w:header="851" w:footer="992"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B6C9"/>
    <w:multiLevelType w:val="multilevel"/>
    <w:tmpl w:val="6528B6C9"/>
    <w:lvl w:ilvl="0" w:tentative="0">
      <w:start w:val="1"/>
      <w:numFmt w:val="decimal"/>
      <w:suff w:val="nothing"/>
      <w:lvlText w:val="%1．"/>
      <w:lvlJc w:val="left"/>
      <w:pPr>
        <w:ind w:left="42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16A24DD"/>
    <w:rsid w:val="1FFE4B3F"/>
    <w:rsid w:val="33FDDB40"/>
    <w:rsid w:val="38FFAB48"/>
    <w:rsid w:val="3FF74F4E"/>
    <w:rsid w:val="53DD6822"/>
    <w:rsid w:val="53FBE787"/>
    <w:rsid w:val="577F99AB"/>
    <w:rsid w:val="5A6E071A"/>
    <w:rsid w:val="5B9713C5"/>
    <w:rsid w:val="5CFBCD87"/>
    <w:rsid w:val="5D5EAFA3"/>
    <w:rsid w:val="6E6FA969"/>
    <w:rsid w:val="6EBF78C6"/>
    <w:rsid w:val="6EFE5023"/>
    <w:rsid w:val="77F759C6"/>
    <w:rsid w:val="78031D0F"/>
    <w:rsid w:val="7BDFCBCC"/>
    <w:rsid w:val="7EFE80E6"/>
    <w:rsid w:val="7F3FFE08"/>
    <w:rsid w:val="7F8ADBDA"/>
    <w:rsid w:val="7FF7838F"/>
    <w:rsid w:val="7FFDC1C0"/>
    <w:rsid w:val="9741D40D"/>
    <w:rsid w:val="9EBFA083"/>
    <w:rsid w:val="9FBD4D2E"/>
    <w:rsid w:val="9FE9597F"/>
    <w:rsid w:val="B7F99729"/>
    <w:rsid w:val="BBF7E42E"/>
    <w:rsid w:val="BCBF5ECB"/>
    <w:rsid w:val="BFCD9BCF"/>
    <w:rsid w:val="C73ECF4E"/>
    <w:rsid w:val="CDFFB9A9"/>
    <w:rsid w:val="DCEA346A"/>
    <w:rsid w:val="DDF7E998"/>
    <w:rsid w:val="DE6D0793"/>
    <w:rsid w:val="E77F16B0"/>
    <w:rsid w:val="F5C59A21"/>
    <w:rsid w:val="F67BE33A"/>
    <w:rsid w:val="F9FB66D5"/>
    <w:rsid w:val="FAEF9BE2"/>
    <w:rsid w:val="FCBF52B4"/>
    <w:rsid w:val="FDFE0C78"/>
    <w:rsid w:val="FF578736"/>
    <w:rsid w:val="FF7FE5E8"/>
    <w:rsid w:val="FFA7C7A6"/>
    <w:rsid w:val="FFBEF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character" w:customStyle="1" w:styleId="10">
    <w:name w:val="页脚 Char"/>
    <w:basedOn w:val="7"/>
    <w:link w:val="3"/>
    <w:qFormat/>
    <w:uiPriority w:val="0"/>
    <w:rPr>
      <w:rFonts w:ascii="Times New Roman" w:hAnsi="Times New Roman" w:eastAsia="宋体" w:cs="Times New Roman"/>
      <w:sz w:val="18"/>
      <w:szCs w:val="18"/>
    </w:rPr>
  </w:style>
  <w:style w:type="character" w:customStyle="1" w:styleId="11">
    <w:name w:val="日期 Char"/>
    <w:basedOn w:val="7"/>
    <w:link w:val="2"/>
    <w:qFormat/>
    <w:uiPriority w:val="0"/>
    <w:rPr>
      <w:rFonts w:ascii="仿宋_GB2312" w:hAnsi="Times New Roman" w:eastAsia="仿宋_GB2312" w:cs="Times New Roman"/>
      <w:sz w:val="32"/>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paragraph" w:customStyle="1" w:styleId="13">
    <w:name w:val="msolist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1</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2019-09-18T14:10:00Z</dcterms:created>
  <dc:creator>CN=李小鹏/OU=办公室/O=CZCE</dc:creator>
  <cp:lastModifiedBy>王新宇</cp:lastModifiedBy>
  <cp:lastPrinted>2026-05-22T22:06:00Z</cp:lastPrinted>
  <dcterms:modified xsi:type="dcterms:W3CDTF">2026-05-21T15:30:56Z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48FB90079799466D8A2982291B334C4D</vt:lpwstr>
  </property>
  <property fmtid="{D5CDD505-2E9C-101B-9397-08002B2CF9AE}" pid="4" name="DocID">
    <vt:lpwstr>587079979232</vt:lpwstr>
  </property>
</Properties>
</file>