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textAlignment w:val="auto"/>
        <w:rPr>
          <w:rFonts w:hint="eastAsia" w:ascii="黑体" w:hAnsi="黑体" w:eastAsia="黑体" w:cs="黑体"/>
          <w:kern w:val="0"/>
          <w:sz w:val="32"/>
          <w:szCs w:val="32"/>
          <w:highlight w:val="none"/>
          <w:lang w:val="en-US" w:eastAsia="zh-CN"/>
        </w:rPr>
      </w:pPr>
      <w:bookmarkStart w:id="23" w:name="_GoBack"/>
      <w:bookmarkEnd w:id="23"/>
      <w:r>
        <w:rPr>
          <w:rFonts w:hint="eastAsia" w:ascii="黑体" w:hAnsi="黑体" w:eastAsia="黑体" w:cs="黑体"/>
          <w:kern w:val="0"/>
          <w:sz w:val="32"/>
          <w:szCs w:val="32"/>
          <w:highlight w:val="none"/>
          <w:lang w:eastAsia="zh-CN"/>
        </w:rPr>
        <w:t>附件</w:t>
      </w:r>
      <w:r>
        <w:rPr>
          <w:rFonts w:hint="eastAsia" w:ascii="黑体" w:hAnsi="黑体" w:eastAsia="黑体" w:cs="黑体"/>
          <w:kern w:val="0"/>
          <w:sz w:val="32"/>
          <w:szCs w:val="32"/>
          <w:highlight w:val="none"/>
          <w:lang w:val="en-US" w:eastAsia="zh-CN"/>
        </w:rPr>
        <w:t>5</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郑州商品交易所套期保值管理办法修订案</w:t>
      </w:r>
    </w:p>
    <w:p>
      <w:pPr>
        <w:bidi w:val="0"/>
        <w:ind w:firstLine="640" w:firstLineChars="200"/>
        <w:rPr>
          <w:rFonts w:hint="eastAsia" w:eastAsia="仿宋"/>
          <w:sz w:val="32"/>
          <w:szCs w:val="32"/>
          <w:lang w:val="en-US" w:eastAsia="zh-CN"/>
        </w:rPr>
      </w:pPr>
      <w:r>
        <w:rPr>
          <w:rFonts w:hint="eastAsia" w:eastAsia="仿宋"/>
          <w:sz w:val="32"/>
          <w:szCs w:val="32"/>
          <w:lang w:val="en-US" w:eastAsia="zh-CN"/>
        </w:rPr>
        <w:t>对《郑州商品交易所套期保值管理办法》作如下修订：</w:t>
      </w:r>
    </w:p>
    <w:p>
      <w:pPr>
        <w:bidi w:val="0"/>
        <w:ind w:firstLine="640" w:firstLineChars="200"/>
        <w:rPr>
          <w:rFonts w:hint="eastAsia" w:eastAsia="仿宋"/>
          <w:sz w:val="32"/>
          <w:szCs w:val="32"/>
          <w:lang w:val="en-US" w:eastAsia="zh-CN"/>
        </w:rPr>
      </w:pPr>
      <w:r>
        <w:rPr>
          <w:rFonts w:hint="eastAsia" w:eastAsia="仿宋"/>
          <w:sz w:val="32"/>
          <w:szCs w:val="32"/>
          <w:lang w:val="en-US" w:eastAsia="zh-CN"/>
        </w:rPr>
        <w:t>一、将第八条修订为：“按合约方式申请一般月份套期保值持仓额度的，应当在套期保值期货合约挂牌至交割月前一个月的</w:t>
      </w:r>
      <w:r>
        <w:rPr>
          <w:rFonts w:hint="default" w:ascii="Times New Roman" w:hAnsi="Times New Roman" w:eastAsia="仿宋" w:cs="Times New Roman"/>
          <w:sz w:val="32"/>
          <w:szCs w:val="32"/>
          <w:lang w:val="en-US" w:eastAsia="zh-CN"/>
        </w:rPr>
        <w:t>第9个</w:t>
      </w:r>
      <w:r>
        <w:rPr>
          <w:rFonts w:hint="eastAsia" w:eastAsia="仿宋"/>
          <w:sz w:val="32"/>
          <w:szCs w:val="32"/>
          <w:lang w:val="en-US" w:eastAsia="zh-CN"/>
        </w:rPr>
        <w:t>交易日之间提出，逾期交易所不再受理该合约套期保值持仓额度的申请。……”</w:t>
      </w:r>
    </w:p>
    <w:p>
      <w:pPr>
        <w:bidi w:val="0"/>
        <w:ind w:firstLine="640" w:firstLineChars="200"/>
        <w:rPr>
          <w:rFonts w:hint="eastAsia" w:eastAsia="仿宋"/>
          <w:sz w:val="32"/>
          <w:szCs w:val="32"/>
          <w:lang w:val="en-US" w:eastAsia="zh-CN"/>
        </w:rPr>
      </w:pPr>
      <w:r>
        <w:rPr>
          <w:rFonts w:hint="eastAsia" w:eastAsia="仿宋"/>
          <w:sz w:val="32"/>
          <w:szCs w:val="32"/>
          <w:lang w:val="en-US" w:eastAsia="zh-CN"/>
        </w:rPr>
        <w:t>二、将第十二条修订为：“</w:t>
      </w:r>
      <w:r>
        <w:rPr>
          <w:rFonts w:hint="default" w:eastAsia="仿宋"/>
          <w:sz w:val="32"/>
          <w:szCs w:val="32"/>
          <w:lang w:val="en-US" w:eastAsia="zh-CN"/>
        </w:rPr>
        <w:t>一般月份套期保值持仓额度使用时间为期货合约挂牌至交割月前一个月</w:t>
      </w:r>
      <w:r>
        <w:rPr>
          <w:rFonts w:hint="eastAsia" w:eastAsia="仿宋"/>
          <w:sz w:val="32"/>
          <w:szCs w:val="32"/>
          <w:lang w:val="en-US" w:eastAsia="zh-CN"/>
        </w:rPr>
        <w:t>第</w:t>
      </w:r>
      <w:r>
        <w:rPr>
          <w:rFonts w:hint="default" w:ascii="Times New Roman" w:hAnsi="Times New Roman" w:eastAsia="仿宋" w:cs="Times New Roman"/>
          <w:sz w:val="32"/>
          <w:szCs w:val="32"/>
          <w:lang w:val="en-US" w:eastAsia="zh-CN"/>
        </w:rPr>
        <w:t>14个交易日。交割月前一个月第15个交易日至交割月</w:t>
      </w:r>
      <w:r>
        <w:rPr>
          <w:rFonts w:hint="default" w:eastAsia="仿宋"/>
          <w:sz w:val="32"/>
          <w:szCs w:val="32"/>
          <w:lang w:val="en-US" w:eastAsia="zh-CN"/>
        </w:rPr>
        <w:t>前一个月最后一个</w:t>
      </w:r>
      <w:r>
        <w:rPr>
          <w:rFonts w:hint="eastAsia" w:eastAsia="仿宋"/>
          <w:sz w:val="32"/>
          <w:szCs w:val="32"/>
          <w:lang w:val="en-US" w:eastAsia="zh-CN"/>
        </w:rPr>
        <w:t>交易日</w:t>
      </w:r>
      <w:r>
        <w:rPr>
          <w:rFonts w:hint="default" w:eastAsia="仿宋"/>
          <w:sz w:val="32"/>
          <w:szCs w:val="32"/>
          <w:lang w:val="en-US" w:eastAsia="zh-CN"/>
        </w:rPr>
        <w:t>，非期货公司会员、境外特殊非经纪参与者或者客户一般月份套期保值持仓额度可以按规定数额自动转化为该阶段的套期保值持仓额度，具体</w:t>
      </w:r>
      <w:r>
        <w:rPr>
          <w:rFonts w:hint="eastAsia" w:eastAsia="仿宋"/>
          <w:sz w:val="32"/>
          <w:szCs w:val="32"/>
          <w:lang w:val="en-US" w:eastAsia="zh-CN"/>
        </w:rPr>
        <w:t>实施品种、</w:t>
      </w:r>
      <w:r>
        <w:rPr>
          <w:rFonts w:hint="default" w:eastAsia="仿宋"/>
          <w:sz w:val="32"/>
          <w:szCs w:val="32"/>
          <w:lang w:val="en-US" w:eastAsia="zh-CN"/>
        </w:rPr>
        <w:t>实施时间及转化数额由交易所另行通知。</w:t>
      </w:r>
      <w:r>
        <w:rPr>
          <w:rFonts w:hint="eastAsia" w:eastAsia="仿宋"/>
          <w:sz w:val="32"/>
          <w:szCs w:val="32"/>
          <w:lang w:val="en-US" w:eastAsia="zh-CN"/>
        </w:rPr>
        <w:t>”</w:t>
      </w:r>
    </w:p>
    <w:p>
      <w:pPr>
        <w:bidi w:val="0"/>
        <w:ind w:firstLine="640" w:firstLineChars="200"/>
        <w:rPr>
          <w:rFonts w:hint="default"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三、将第十四条修订为：“临近交割月份套期保值持仓额度的申请应当在套期保值期货合约交割月前二个月第1个交易日至交割月前一个月第16个交易日之间提出，逾期交易所不再受理该合约套期保值持仓额度的申请。</w:t>
      </w:r>
    </w:p>
    <w:p>
      <w:pPr>
        <w:keepNext w:val="0"/>
        <w:keepLines w:val="0"/>
        <w:widowControl/>
        <w:suppressLineNumbers w:val="0"/>
        <w:ind w:left="0" w:firstLine="640" w:firstLineChars="200"/>
        <w:jc w:val="left"/>
        <w:rPr>
          <w:rFonts w:hint="eastAsia" w:ascii="Times New Roman" w:hAnsi="Times New Roman" w:eastAsia="仿宋" w:cs="Times New Roman"/>
          <w:kern w:val="2"/>
          <w:sz w:val="32"/>
          <w:szCs w:val="32"/>
          <w:lang w:val="en-US" w:eastAsia="zh-CN" w:bidi="ar-SA"/>
        </w:rPr>
      </w:pPr>
      <w:r>
        <w:rPr>
          <w:rFonts w:hint="eastAsia" w:eastAsia="仿宋"/>
          <w:sz w:val="32"/>
          <w:szCs w:val="22"/>
        </w:rPr>
        <w:t>“</w:t>
      </w:r>
      <w:r>
        <w:rPr>
          <w:rFonts w:hint="eastAsia" w:ascii="Times New Roman" w:hAnsi="Times New Roman" w:eastAsia="仿宋" w:cs="Times New Roman"/>
          <w:kern w:val="2"/>
          <w:sz w:val="32"/>
          <w:szCs w:val="32"/>
          <w:lang w:val="en-US" w:eastAsia="zh-CN" w:bidi="ar-SA"/>
        </w:rPr>
        <w:t>交易所对临近交割月份套期保值持仓额度申请分两次集中审核并予以答复。第一次在交割月前一个月第6个交易日后的5个交易日内集中审核，第二次在申请截止日后的5个交易日内集中审核。</w:t>
      </w:r>
    </w:p>
    <w:p>
      <w:pPr>
        <w:bidi w:val="0"/>
        <w:ind w:firstLine="640" w:firstLineChars="200"/>
        <w:rPr>
          <w:rFonts w:hint="eastAsia" w:ascii="Times New Roman" w:hAnsi="Times New Roman" w:eastAsia="仿宋" w:cs="Times New Roman"/>
          <w:kern w:val="2"/>
          <w:sz w:val="32"/>
          <w:szCs w:val="32"/>
          <w:lang w:val="en-US" w:eastAsia="zh-CN" w:bidi="ar-SA"/>
        </w:rPr>
      </w:pPr>
      <w:r>
        <w:rPr>
          <w:rFonts w:hint="eastAsia" w:eastAsia="仿宋"/>
          <w:sz w:val="32"/>
          <w:szCs w:val="22"/>
        </w:rPr>
        <w:t>“</w:t>
      </w:r>
      <w:r>
        <w:rPr>
          <w:rFonts w:hint="eastAsia" w:ascii="Times New Roman" w:hAnsi="Times New Roman" w:eastAsia="仿宋" w:cs="Times New Roman"/>
          <w:kern w:val="2"/>
          <w:sz w:val="32"/>
          <w:szCs w:val="32"/>
          <w:lang w:val="en-US" w:eastAsia="zh-CN" w:bidi="ar-SA"/>
        </w:rPr>
        <w:t>交易所</w:t>
      </w:r>
      <w:r>
        <w:rPr>
          <w:rFonts w:hint="eastAsia" w:eastAsia="仿宋" w:cs="Times New Roman"/>
          <w:kern w:val="2"/>
          <w:sz w:val="32"/>
          <w:szCs w:val="32"/>
          <w:lang w:val="en-US" w:eastAsia="zh-CN" w:bidi="ar-SA"/>
        </w:rPr>
        <w:t>可以根据情况</w:t>
      </w:r>
      <w:r>
        <w:rPr>
          <w:rFonts w:hint="eastAsia" w:ascii="Times New Roman" w:hAnsi="Times New Roman" w:eastAsia="仿宋" w:cs="Times New Roman"/>
          <w:kern w:val="2"/>
          <w:sz w:val="32"/>
          <w:szCs w:val="32"/>
          <w:lang w:val="en-US" w:eastAsia="zh-CN" w:bidi="ar-SA"/>
        </w:rPr>
        <w:t>调整临近交割月份套期保值持仓额度的申请和审核时间</w:t>
      </w:r>
      <w:r>
        <w:rPr>
          <w:rFonts w:hint="eastAsia" w:eastAsia="仿宋" w:cs="Times New Roman"/>
          <w:kern w:val="2"/>
          <w:sz w:val="32"/>
          <w:szCs w:val="32"/>
          <w:lang w:val="en-US" w:eastAsia="zh-CN" w:bidi="ar-SA"/>
        </w:rPr>
        <w:t>，并向市场公布</w:t>
      </w:r>
      <w:r>
        <w:rPr>
          <w:rFonts w:hint="eastAsia" w:ascii="Times New Roman" w:hAnsi="Times New Roman" w:eastAsia="仿宋" w:cs="Times New Roman"/>
          <w:kern w:val="2"/>
          <w:sz w:val="32"/>
          <w:szCs w:val="32"/>
          <w:lang w:val="en-US" w:eastAsia="zh-CN" w:bidi="ar-SA"/>
        </w:rPr>
        <w:t>。”</w:t>
      </w:r>
    </w:p>
    <w:p>
      <w:pPr>
        <w:bidi w:val="0"/>
        <w:ind w:firstLine="640" w:firstLineChars="200"/>
        <w:rPr>
          <w:rFonts w:hint="eastAsia" w:eastAsia="仿宋" w:cs="Times New Roman"/>
          <w:kern w:val="2"/>
          <w:sz w:val="32"/>
          <w:szCs w:val="32"/>
          <w:lang w:val="en-US" w:eastAsia="zh-CN" w:bidi="ar-SA"/>
        </w:rPr>
      </w:pPr>
      <w:r>
        <w:rPr>
          <w:rFonts w:hint="eastAsia" w:eastAsia="仿宋" w:cs="Times New Roman"/>
          <w:kern w:val="2"/>
          <w:sz w:val="32"/>
          <w:szCs w:val="32"/>
          <w:lang w:val="en-US" w:eastAsia="zh-CN" w:bidi="ar-SA"/>
        </w:rPr>
        <w:t>四、将第十六条修订为：“临近交割月份套期保值持仓额度使用时间为交割月前一个月</w:t>
      </w:r>
      <w:r>
        <w:rPr>
          <w:rFonts w:hint="default" w:ascii="Times New Roman" w:hAnsi="Times New Roman" w:eastAsia="仿宋" w:cs="Times New Roman"/>
          <w:kern w:val="2"/>
          <w:sz w:val="32"/>
          <w:szCs w:val="32"/>
          <w:lang w:val="en-US" w:eastAsia="zh-CN" w:bidi="ar-SA"/>
        </w:rPr>
        <w:t>第15个</w:t>
      </w:r>
      <w:r>
        <w:rPr>
          <w:rFonts w:hint="eastAsia" w:eastAsia="仿宋" w:cs="Times New Roman"/>
          <w:kern w:val="2"/>
          <w:sz w:val="32"/>
          <w:szCs w:val="32"/>
          <w:lang w:val="en-US" w:eastAsia="zh-CN" w:bidi="ar-SA"/>
        </w:rPr>
        <w:t>交易日至合约最后交易日。”</w:t>
      </w:r>
    </w:p>
    <w:p>
      <w:pPr>
        <w:tabs>
          <w:tab w:val="left" w:pos="717"/>
        </w:tabs>
        <w:bidi w:val="0"/>
        <w:jc w:val="left"/>
        <w:rPr>
          <w:rFonts w:hint="eastAsia"/>
          <w:lang w:val="en-US" w:eastAsia="zh-CN"/>
        </w:rPr>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pPr>
    </w:p>
    <w:p>
      <w:pPr>
        <w:keepNext w:val="0"/>
        <w:keepLines w:val="0"/>
        <w:pageBreakBefore w:val="0"/>
        <w:widowControl w:val="0"/>
        <w:kinsoku/>
        <w:wordWrap/>
        <w:overflowPunct w:val="0"/>
        <w:topLinePunct w:val="0"/>
        <w:autoSpaceDE/>
        <w:autoSpaceDN/>
        <w:bidi w:val="0"/>
        <w:adjustRightInd/>
        <w:snapToGrid/>
        <w:spacing w:line="360" w:lineRule="auto"/>
        <w:ind w:left="0" w:lef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郑州商品交易所套期保值管理办法</w:t>
      </w:r>
    </w:p>
    <w:p>
      <w:pPr>
        <w:keepNext w:val="0"/>
        <w:keepLines w:val="0"/>
        <w:pageBreakBefore w:val="0"/>
        <w:widowControl w:val="0"/>
        <w:kinsoku/>
        <w:wordWrap/>
        <w:overflowPunct w:val="0"/>
        <w:topLinePunct w:val="0"/>
        <w:autoSpaceDE/>
        <w:autoSpaceDN/>
        <w:bidi w:val="0"/>
        <w:adjustRightInd/>
        <w:snapToGrid/>
        <w:spacing w:line="360" w:lineRule="auto"/>
        <w:ind w:left="0" w:lef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修订条款对照表</w:t>
      </w:r>
    </w:p>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楷体" w:hAnsi="楷体" w:eastAsia="楷体" w:cs="楷体"/>
          <w:sz w:val="32"/>
          <w:szCs w:val="32"/>
          <w:lang w:val="en-US" w:eastAsia="zh-CN"/>
        </w:rPr>
      </w:pPr>
      <w:r>
        <w:rPr>
          <w:rFonts w:hint="eastAsia" w:ascii="楷体" w:hAnsi="楷体" w:eastAsia="楷体" w:cs="楷体"/>
          <w:sz w:val="32"/>
          <w:szCs w:val="32"/>
          <w:highlight w:val="none"/>
        </w:rPr>
        <w:t>（删除线部分为删除，下划线加粗部分为修改增加）</w:t>
      </w:r>
    </w:p>
    <w:tbl>
      <w:tblPr>
        <w:tblStyle w:val="8"/>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48"/>
        <w:gridCol w:w="41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8" w:type="dxa"/>
            <w:tcBorders>
              <w:top w:val="single" w:color="auto" w:sz="4" w:space="0"/>
              <w:left w:val="single" w:color="auto" w:sz="4" w:space="0"/>
              <w:bottom w:val="single" w:color="auto" w:sz="4" w:space="0"/>
              <w:right w:val="single" w:color="auto" w:sz="4" w:space="0"/>
            </w:tcBorders>
            <w:noWrap w:val="0"/>
            <w:vAlign w:val="top"/>
          </w:tcPr>
          <w:p>
            <w:pPr>
              <w:overflowPunct w:val="0"/>
              <w:topLinePunct/>
              <w:spacing w:beforeLines="0" w:line="360" w:lineRule="auto"/>
              <w:ind w:firstLine="0" w:firstLineChars="0"/>
              <w:jc w:val="center"/>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eastAsia="zh-CN"/>
              </w:rPr>
              <w:t>修订前条文</w:t>
            </w:r>
          </w:p>
        </w:tc>
        <w:tc>
          <w:tcPr>
            <w:tcW w:w="4111" w:type="dxa"/>
            <w:tcBorders>
              <w:top w:val="single" w:color="auto" w:sz="4" w:space="0"/>
              <w:left w:val="single" w:color="auto" w:sz="4" w:space="0"/>
              <w:bottom w:val="single" w:color="auto" w:sz="4" w:space="0"/>
              <w:right w:val="single" w:color="auto" w:sz="4" w:space="0"/>
            </w:tcBorders>
            <w:noWrap w:val="0"/>
            <w:vAlign w:val="top"/>
          </w:tcPr>
          <w:p>
            <w:pPr>
              <w:overflowPunct w:val="0"/>
              <w:topLinePunct/>
              <w:spacing w:beforeLines="0" w:line="360" w:lineRule="auto"/>
              <w:ind w:firstLine="0" w:firstLineChars="0"/>
              <w:jc w:val="center"/>
              <w:rPr>
                <w:rFonts w:hint="default" w:ascii="Times New Roman" w:hAnsi="Times New Roman" w:eastAsia="仿宋" w:cs="Times New Roman"/>
                <w:b w:val="0"/>
                <w:bCs w:val="0"/>
                <w:color w:val="auto"/>
                <w:sz w:val="24"/>
                <w:szCs w:val="24"/>
              </w:rPr>
            </w:pPr>
            <w:r>
              <w:rPr>
                <w:rFonts w:hint="default" w:ascii="Times New Roman" w:hAnsi="Times New Roman" w:eastAsia="仿宋" w:cs="Times New Roman"/>
                <w:b w:val="0"/>
                <w:bCs w:val="0"/>
                <w:color w:val="auto"/>
                <w:sz w:val="24"/>
                <w:szCs w:val="24"/>
              </w:rPr>
              <w:t>修订</w:t>
            </w:r>
            <w:r>
              <w:rPr>
                <w:rFonts w:hint="default" w:ascii="Times New Roman" w:hAnsi="Times New Roman" w:eastAsia="仿宋" w:cs="Times New Roman"/>
                <w:b w:val="0"/>
                <w:bCs w:val="0"/>
                <w:color w:val="auto"/>
                <w:sz w:val="24"/>
                <w:szCs w:val="24"/>
                <w:lang w:eastAsia="zh-CN"/>
              </w:rPr>
              <w:t>后</w:t>
            </w:r>
            <w:r>
              <w:rPr>
                <w:rFonts w:hint="default" w:ascii="Times New Roman" w:hAnsi="Times New Roman" w:eastAsia="仿宋" w:cs="Times New Roman"/>
                <w:b w:val="0"/>
                <w:bCs w:val="0"/>
                <w:color w:val="auto"/>
                <w:sz w:val="24"/>
                <w:szCs w:val="24"/>
              </w:rPr>
              <w:t>条文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overflowPunct w:val="0"/>
              <w:topLinePunct/>
              <w:spacing w:beforeLines="0" w:line="360" w:lineRule="auto"/>
              <w:ind w:firstLine="481" w:firstLineChars="200"/>
              <w:jc w:val="both"/>
              <w:rPr>
                <w:rFonts w:hint="default" w:ascii="Times New Roman" w:hAnsi="Times New Roman" w:eastAsia="仿宋" w:cs="Times New Roman"/>
                <w:color w:val="auto"/>
                <w:sz w:val="24"/>
                <w:szCs w:val="24"/>
              </w:rPr>
            </w:pPr>
            <w:r>
              <w:rPr>
                <w:rFonts w:hint="default" w:ascii="Times New Roman" w:hAnsi="Times New Roman" w:eastAsia="仿宋" w:cs="Times New Roman"/>
                <w:b/>
                <w:bCs/>
                <w:i w:val="0"/>
                <w:iCs w:val="0"/>
                <w:caps w:val="0"/>
                <w:color w:val="auto"/>
                <w:spacing w:val="0"/>
                <w:kern w:val="0"/>
                <w:sz w:val="24"/>
                <w:szCs w:val="24"/>
                <w:shd w:val="clear" w:color="auto" w:fill="FFFFFF"/>
                <w:lang w:val="en-US" w:eastAsia="zh-CN" w:bidi="ar"/>
              </w:rPr>
              <w:t xml:space="preserve">第八条 </w:t>
            </w:r>
            <w:r>
              <w:rPr>
                <w:rFonts w:hint="default" w:ascii="Times New Roman" w:hAnsi="Times New Roman" w:eastAsia="仿宋" w:cs="Times New Roman"/>
                <w:b w:val="0"/>
                <w:bCs w:val="0"/>
                <w:i w:val="0"/>
                <w:iCs w:val="0"/>
                <w:caps w:val="0"/>
                <w:color w:val="auto"/>
                <w:spacing w:val="0"/>
                <w:kern w:val="0"/>
                <w:sz w:val="24"/>
                <w:szCs w:val="24"/>
                <w:shd w:val="clear" w:color="auto" w:fill="FFFFFF"/>
                <w:lang w:val="en-US" w:eastAsia="zh-CN" w:bidi="ar"/>
              </w:rPr>
              <w:t>按合约方式申请一般月份套期保值持仓额度的，应当在套期保值期货合约挂牌至交割月前一个月的第5个日历日之间的交易日提出，逾期交易所不再受理该合约套期保值持仓额度的申请。非期货公司会员、境外特殊非经纪参与者或者客户可以一次申请多个合约的一般月份套期保值持仓额度。</w:t>
            </w:r>
          </w:p>
        </w:tc>
        <w:tc>
          <w:tcPr>
            <w:tcW w:w="41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overflowPunct w:val="0"/>
              <w:topLinePunct/>
              <w:spacing w:beforeLines="0" w:line="360" w:lineRule="auto"/>
              <w:ind w:firstLine="481" w:firstLineChars="200"/>
              <w:jc w:val="both"/>
              <w:rPr>
                <w:rFonts w:hint="default" w:ascii="Times New Roman" w:hAnsi="Times New Roman" w:eastAsia="仿宋" w:cs="Times New Roman"/>
                <w:color w:val="auto"/>
                <w:sz w:val="24"/>
                <w:szCs w:val="24"/>
              </w:rPr>
            </w:pPr>
            <w:r>
              <w:rPr>
                <w:rFonts w:hint="default" w:ascii="Times New Roman" w:hAnsi="Times New Roman" w:eastAsia="仿宋" w:cs="Times New Roman"/>
                <w:b/>
                <w:bCs/>
                <w:i w:val="0"/>
                <w:iCs w:val="0"/>
                <w:caps w:val="0"/>
                <w:color w:val="auto"/>
                <w:spacing w:val="0"/>
                <w:kern w:val="0"/>
                <w:sz w:val="24"/>
                <w:szCs w:val="24"/>
                <w:shd w:val="clear" w:color="auto" w:fill="FFFFFF"/>
                <w:lang w:val="en-US" w:eastAsia="zh-CN" w:bidi="ar"/>
              </w:rPr>
              <w:t xml:space="preserve">第八条 </w:t>
            </w:r>
            <w:r>
              <w:rPr>
                <w:rFonts w:hint="default" w:ascii="Times New Roman" w:hAnsi="Times New Roman" w:eastAsia="仿宋" w:cs="Times New Roman"/>
                <w:b w:val="0"/>
                <w:bCs w:val="0"/>
                <w:i w:val="0"/>
                <w:iCs w:val="0"/>
                <w:caps w:val="0"/>
                <w:color w:val="auto"/>
                <w:spacing w:val="0"/>
                <w:kern w:val="0"/>
                <w:sz w:val="24"/>
                <w:szCs w:val="24"/>
                <w:shd w:val="clear" w:color="auto" w:fill="FFFFFF"/>
                <w:lang w:val="en-US" w:eastAsia="zh-CN" w:bidi="ar"/>
              </w:rPr>
              <w:t>按合约方式申请一般月份套期保值持仓额度的，应当在套期保值期货合约挂牌至交割月前一个月的</w:t>
            </w:r>
            <w:r>
              <w:rPr>
                <w:rFonts w:hint="default" w:ascii="Times New Roman" w:hAnsi="Times New Roman" w:eastAsia="仿宋" w:cs="Times New Roman"/>
                <w:b w:val="0"/>
                <w:bCs w:val="0"/>
                <w:i w:val="0"/>
                <w:iCs w:val="0"/>
                <w:caps w:val="0"/>
                <w:strike w:val="0"/>
                <w:dstrike w:val="0"/>
                <w:color w:val="auto"/>
                <w:spacing w:val="0"/>
                <w:kern w:val="0"/>
                <w:sz w:val="24"/>
                <w:szCs w:val="24"/>
                <w:shd w:val="clear" w:color="auto" w:fill="FFFFFF"/>
                <w:lang w:val="en-US" w:eastAsia="zh-CN" w:bidi="ar"/>
              </w:rPr>
              <w:t>第</w:t>
            </w:r>
            <w:r>
              <w:rPr>
                <w:rFonts w:hint="default" w:ascii="Times New Roman" w:hAnsi="Times New Roman" w:eastAsia="仿宋" w:cs="Times New Roman"/>
                <w:b w:val="0"/>
                <w:bCs w:val="0"/>
                <w:i w:val="0"/>
                <w:iCs w:val="0"/>
                <w:caps w:val="0"/>
                <w:strike/>
                <w:dstrike w:val="0"/>
                <w:color w:val="auto"/>
                <w:spacing w:val="0"/>
                <w:kern w:val="0"/>
                <w:sz w:val="24"/>
                <w:szCs w:val="24"/>
                <w:shd w:val="clear" w:color="auto" w:fill="FFFFFF"/>
                <w:lang w:val="en-US" w:eastAsia="zh-CN" w:bidi="ar"/>
              </w:rPr>
              <w:t>5个日历日</w:t>
            </w:r>
            <w:r>
              <w:rPr>
                <w:rFonts w:hint="default" w:ascii="Times New Roman" w:hAnsi="Times New Roman" w:eastAsia="仿宋" w:cs="Times New Roman"/>
                <w:b/>
                <w:bCs/>
                <w:i w:val="0"/>
                <w:iCs w:val="0"/>
                <w:caps w:val="0"/>
                <w:strike w:val="0"/>
                <w:dstrike w:val="0"/>
                <w:color w:val="auto"/>
                <w:spacing w:val="0"/>
                <w:kern w:val="0"/>
                <w:sz w:val="24"/>
                <w:szCs w:val="24"/>
                <w:u w:val="single"/>
                <w:shd w:val="clear" w:color="auto" w:fill="FFFFFF"/>
                <w:lang w:val="en-US" w:eastAsia="zh-CN" w:bidi="ar"/>
              </w:rPr>
              <w:t>9个交易日</w:t>
            </w:r>
            <w:r>
              <w:rPr>
                <w:rFonts w:hint="default" w:ascii="Times New Roman" w:hAnsi="Times New Roman" w:eastAsia="仿宋" w:cs="Times New Roman"/>
                <w:b w:val="0"/>
                <w:bCs w:val="0"/>
                <w:i w:val="0"/>
                <w:iCs w:val="0"/>
                <w:caps w:val="0"/>
                <w:strike w:val="0"/>
                <w:dstrike w:val="0"/>
                <w:color w:val="auto"/>
                <w:spacing w:val="0"/>
                <w:kern w:val="0"/>
                <w:sz w:val="24"/>
                <w:szCs w:val="24"/>
                <w:shd w:val="clear" w:color="auto" w:fill="FFFFFF"/>
                <w:lang w:val="en-US" w:eastAsia="zh-CN" w:bidi="ar"/>
              </w:rPr>
              <w:t>之间</w:t>
            </w:r>
            <w:r>
              <w:rPr>
                <w:rFonts w:hint="default" w:ascii="Times New Roman" w:hAnsi="Times New Roman" w:eastAsia="仿宋" w:cs="Times New Roman"/>
                <w:b w:val="0"/>
                <w:bCs w:val="0"/>
                <w:i w:val="0"/>
                <w:iCs w:val="0"/>
                <w:caps w:val="0"/>
                <w:strike/>
                <w:dstrike w:val="0"/>
                <w:color w:val="auto"/>
                <w:spacing w:val="0"/>
                <w:kern w:val="0"/>
                <w:sz w:val="24"/>
                <w:szCs w:val="24"/>
                <w:shd w:val="clear" w:color="auto" w:fill="FFFFFF"/>
                <w:lang w:val="en-US" w:eastAsia="zh-CN" w:bidi="ar"/>
              </w:rPr>
              <w:t>的交易日</w:t>
            </w:r>
            <w:r>
              <w:rPr>
                <w:rFonts w:hint="default" w:ascii="Times New Roman" w:hAnsi="Times New Roman" w:eastAsia="仿宋" w:cs="Times New Roman"/>
                <w:b w:val="0"/>
                <w:bCs w:val="0"/>
                <w:i w:val="0"/>
                <w:iCs w:val="0"/>
                <w:caps w:val="0"/>
                <w:color w:val="auto"/>
                <w:spacing w:val="0"/>
                <w:kern w:val="0"/>
                <w:sz w:val="24"/>
                <w:szCs w:val="24"/>
                <w:shd w:val="clear" w:color="auto" w:fill="FFFFFF"/>
                <w:lang w:val="en-US" w:eastAsia="zh-CN" w:bidi="ar"/>
              </w:rPr>
              <w:t>提出，逾期交易所不再受理该合约套期保值持仓额度的申请。非期货公司会员、境外特殊非经纪参与者或者客户可以一次申请多个合约的一般月份套期保值持仓额度。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overflowPunct w:val="0"/>
              <w:topLinePunct/>
              <w:spacing w:beforeLines="0" w:line="360" w:lineRule="auto"/>
              <w:ind w:firstLine="481" w:firstLineChars="200"/>
              <w:jc w:val="both"/>
              <w:rPr>
                <w:rFonts w:hint="default" w:ascii="Times New Roman" w:hAnsi="Times New Roman" w:eastAsia="仿宋" w:cs="Times New Roman"/>
                <w:color w:val="auto"/>
                <w:sz w:val="24"/>
                <w:szCs w:val="24"/>
              </w:rPr>
            </w:pPr>
            <w:r>
              <w:rPr>
                <w:rFonts w:hint="default" w:ascii="Times New Roman" w:hAnsi="Times New Roman" w:eastAsia="仿宋" w:cs="Times New Roman"/>
                <w:b/>
                <w:bCs/>
                <w:i w:val="0"/>
                <w:iCs w:val="0"/>
                <w:caps w:val="0"/>
                <w:color w:val="auto"/>
                <w:spacing w:val="0"/>
                <w:kern w:val="0"/>
                <w:sz w:val="24"/>
                <w:szCs w:val="24"/>
                <w:shd w:val="clear" w:color="auto" w:fill="FFFFFF"/>
                <w:lang w:val="en-US" w:eastAsia="zh-CN" w:bidi="ar"/>
              </w:rPr>
              <w:t>第十二条</w:t>
            </w:r>
            <w:r>
              <w:rPr>
                <w:rFonts w:hint="default" w:ascii="Times New Roman" w:hAnsi="Times New Roman" w:eastAsia="仿宋" w:cs="Times New Roman"/>
                <w:i w:val="0"/>
                <w:iCs w:val="0"/>
                <w:caps w:val="0"/>
                <w:color w:val="auto"/>
                <w:spacing w:val="0"/>
                <w:kern w:val="0"/>
                <w:sz w:val="24"/>
                <w:szCs w:val="24"/>
                <w:shd w:val="clear" w:color="auto" w:fill="FFFFFF"/>
                <w:lang w:val="en-US" w:eastAsia="zh-CN" w:bidi="ar"/>
              </w:rPr>
              <w:t xml:space="preserve"> 一般月份套期保值持仓额度使用时间为期货合约挂牌至交割月前一个月第15个日历日之间的交易日。交割月前一个月第16个日历日至交割月前一个月最后一个日历日之间的交易日，棉花、白糖、PTA、菜油、甲醇、玻璃、菜粕、动力煤、硅铁、锰硅、棉纱、尿素、纯碱品种非期货公司会员、境外特殊非经纪参与者或者客户一般月份套期保值持仓额度可以按规定数额自动转化为该阶段的套期保值持仓额度，具体实施时间及转化数额由交易所另行通知。</w:t>
            </w:r>
          </w:p>
        </w:tc>
        <w:tc>
          <w:tcPr>
            <w:tcW w:w="4111" w:type="dxa"/>
            <w:tcBorders>
              <w:top w:val="single" w:color="auto" w:sz="4" w:space="0"/>
              <w:left w:val="single" w:color="auto" w:sz="4" w:space="0"/>
              <w:bottom w:val="single" w:color="auto" w:sz="4" w:space="0"/>
              <w:right w:val="single" w:color="auto" w:sz="4" w:space="0"/>
            </w:tcBorders>
            <w:noWrap w:val="0"/>
            <w:vAlign w:val="center"/>
          </w:tcPr>
          <w:p>
            <w:pPr>
              <w:widowControl/>
              <w:overflowPunct w:val="0"/>
              <w:topLinePunct/>
              <w:spacing w:beforeLines="0" w:line="360" w:lineRule="auto"/>
              <w:ind w:firstLine="481" w:firstLineChars="200"/>
              <w:jc w:val="both"/>
              <w:rPr>
                <w:rFonts w:hint="default" w:ascii="Times New Roman" w:hAnsi="Times New Roman" w:eastAsia="仿宋" w:cs="Times New Roman"/>
                <w:color w:val="auto"/>
                <w:sz w:val="24"/>
                <w:szCs w:val="24"/>
              </w:rPr>
            </w:pPr>
            <w:r>
              <w:rPr>
                <w:rFonts w:hint="default" w:ascii="Times New Roman" w:hAnsi="Times New Roman" w:eastAsia="仿宋" w:cs="Times New Roman"/>
                <w:b/>
                <w:bCs/>
                <w:i w:val="0"/>
                <w:iCs w:val="0"/>
                <w:caps w:val="0"/>
                <w:color w:val="auto"/>
                <w:spacing w:val="0"/>
                <w:kern w:val="0"/>
                <w:sz w:val="24"/>
                <w:szCs w:val="24"/>
                <w:shd w:val="clear" w:color="auto" w:fill="FFFFFF"/>
                <w:lang w:val="en-US" w:eastAsia="zh-CN" w:bidi="ar"/>
              </w:rPr>
              <w:t>第十二条</w:t>
            </w:r>
            <w:r>
              <w:rPr>
                <w:rFonts w:hint="default" w:ascii="Times New Roman" w:hAnsi="Times New Roman" w:eastAsia="仿宋" w:cs="Times New Roman"/>
                <w:i w:val="0"/>
                <w:iCs w:val="0"/>
                <w:caps w:val="0"/>
                <w:color w:val="auto"/>
                <w:spacing w:val="0"/>
                <w:kern w:val="0"/>
                <w:sz w:val="24"/>
                <w:szCs w:val="24"/>
                <w:shd w:val="clear" w:color="auto" w:fill="FFFFFF"/>
                <w:lang w:val="en-US" w:eastAsia="zh-CN" w:bidi="ar"/>
              </w:rPr>
              <w:t xml:space="preserve"> 一般月份套期保值持仓额度使用时间为期货合约挂牌至交割月前一个月</w:t>
            </w:r>
            <w:r>
              <w:rPr>
                <w:rFonts w:hint="default" w:ascii="Times New Roman" w:hAnsi="Times New Roman" w:eastAsia="仿宋" w:cs="Times New Roman"/>
                <w:i w:val="0"/>
                <w:iCs w:val="0"/>
                <w:caps w:val="0"/>
                <w:strike w:val="0"/>
                <w:dstrike w:val="0"/>
                <w:color w:val="auto"/>
                <w:spacing w:val="0"/>
                <w:kern w:val="0"/>
                <w:sz w:val="24"/>
                <w:szCs w:val="24"/>
                <w:shd w:val="clear" w:color="auto" w:fill="FFFFFF"/>
                <w:lang w:val="en-US" w:eastAsia="zh-CN" w:bidi="ar"/>
              </w:rPr>
              <w:t>第</w:t>
            </w:r>
            <w:r>
              <w:rPr>
                <w:rFonts w:hint="default" w:ascii="Times New Roman" w:hAnsi="Times New Roman" w:eastAsia="仿宋" w:cs="Times New Roman"/>
                <w:i w:val="0"/>
                <w:iCs w:val="0"/>
                <w:caps w:val="0"/>
                <w:strike/>
                <w:dstrike w:val="0"/>
                <w:color w:val="auto"/>
                <w:spacing w:val="0"/>
                <w:kern w:val="0"/>
                <w:sz w:val="24"/>
                <w:szCs w:val="24"/>
                <w:shd w:val="clear" w:color="auto" w:fill="FFFFFF"/>
                <w:lang w:val="en-US" w:eastAsia="zh-CN" w:bidi="ar"/>
              </w:rPr>
              <w:t>15个</w:t>
            </w:r>
            <w:r>
              <w:rPr>
                <w:rFonts w:hint="default" w:ascii="Times New Roman" w:hAnsi="Times New Roman" w:eastAsia="仿宋" w:cs="Times New Roman"/>
                <w:b/>
                <w:bCs/>
                <w:i w:val="0"/>
                <w:iCs w:val="0"/>
                <w:caps w:val="0"/>
                <w:strike w:val="0"/>
                <w:dstrike w:val="0"/>
                <w:color w:val="auto"/>
                <w:spacing w:val="0"/>
                <w:kern w:val="0"/>
                <w:sz w:val="24"/>
                <w:szCs w:val="24"/>
                <w:u w:val="single"/>
                <w:shd w:val="clear" w:color="auto" w:fill="FFFFFF"/>
                <w:lang w:val="en-US" w:eastAsia="zh-CN" w:bidi="ar"/>
              </w:rPr>
              <w:t>14个</w:t>
            </w:r>
            <w:r>
              <w:rPr>
                <w:rFonts w:hint="default" w:ascii="Times New Roman" w:hAnsi="Times New Roman" w:eastAsia="仿宋" w:cs="Times New Roman"/>
                <w:i w:val="0"/>
                <w:iCs w:val="0"/>
                <w:caps w:val="0"/>
                <w:strike/>
                <w:dstrike w:val="0"/>
                <w:color w:val="auto"/>
                <w:spacing w:val="0"/>
                <w:kern w:val="0"/>
                <w:sz w:val="24"/>
                <w:szCs w:val="24"/>
                <w:shd w:val="clear" w:color="auto" w:fill="FFFFFF"/>
                <w:lang w:val="en-US" w:eastAsia="zh-CN" w:bidi="ar"/>
              </w:rPr>
              <w:t>日历日之间的</w:t>
            </w:r>
            <w:r>
              <w:rPr>
                <w:rFonts w:hint="default" w:ascii="Times New Roman" w:hAnsi="Times New Roman" w:eastAsia="仿宋" w:cs="Times New Roman"/>
                <w:i w:val="0"/>
                <w:iCs w:val="0"/>
                <w:caps w:val="0"/>
                <w:strike w:val="0"/>
                <w:dstrike w:val="0"/>
                <w:color w:val="auto"/>
                <w:spacing w:val="0"/>
                <w:kern w:val="0"/>
                <w:sz w:val="24"/>
                <w:szCs w:val="24"/>
                <w:shd w:val="clear" w:color="auto" w:fill="FFFFFF"/>
                <w:lang w:val="en-US" w:eastAsia="zh-CN" w:bidi="ar"/>
              </w:rPr>
              <w:t>交易日</w:t>
            </w:r>
            <w:r>
              <w:rPr>
                <w:rFonts w:hint="default" w:ascii="Times New Roman" w:hAnsi="Times New Roman" w:eastAsia="仿宋" w:cs="Times New Roman"/>
                <w:i w:val="0"/>
                <w:iCs w:val="0"/>
                <w:caps w:val="0"/>
                <w:color w:val="auto"/>
                <w:spacing w:val="0"/>
                <w:kern w:val="0"/>
                <w:sz w:val="24"/>
                <w:szCs w:val="24"/>
                <w:shd w:val="clear" w:color="auto" w:fill="FFFFFF"/>
                <w:lang w:val="en-US" w:eastAsia="zh-CN" w:bidi="ar"/>
              </w:rPr>
              <w:t>。交割月前一个月</w:t>
            </w:r>
            <w:r>
              <w:rPr>
                <w:rFonts w:hint="default" w:ascii="Times New Roman" w:hAnsi="Times New Roman" w:eastAsia="仿宋" w:cs="Times New Roman"/>
                <w:i w:val="0"/>
                <w:iCs w:val="0"/>
                <w:caps w:val="0"/>
                <w:strike w:val="0"/>
                <w:dstrike w:val="0"/>
                <w:color w:val="auto"/>
                <w:spacing w:val="0"/>
                <w:kern w:val="0"/>
                <w:sz w:val="24"/>
                <w:szCs w:val="24"/>
                <w:shd w:val="clear" w:color="auto" w:fill="FFFFFF"/>
                <w:lang w:val="en-US" w:eastAsia="zh-CN" w:bidi="ar"/>
              </w:rPr>
              <w:t>第</w:t>
            </w:r>
            <w:r>
              <w:rPr>
                <w:rFonts w:hint="default" w:ascii="Times New Roman" w:hAnsi="Times New Roman" w:eastAsia="仿宋" w:cs="Times New Roman"/>
                <w:i w:val="0"/>
                <w:iCs w:val="0"/>
                <w:caps w:val="0"/>
                <w:strike/>
                <w:dstrike w:val="0"/>
                <w:color w:val="auto"/>
                <w:spacing w:val="0"/>
                <w:kern w:val="0"/>
                <w:sz w:val="24"/>
                <w:szCs w:val="24"/>
                <w:shd w:val="clear" w:color="auto" w:fill="FFFFFF"/>
                <w:lang w:val="en-US" w:eastAsia="zh-CN" w:bidi="ar"/>
              </w:rPr>
              <w:t>16个日历日</w:t>
            </w:r>
            <w:r>
              <w:rPr>
                <w:rFonts w:hint="default" w:ascii="Times New Roman" w:hAnsi="Times New Roman" w:eastAsia="仿宋" w:cs="Times New Roman"/>
                <w:b/>
                <w:bCs/>
                <w:i w:val="0"/>
                <w:iCs w:val="0"/>
                <w:caps w:val="0"/>
                <w:strike w:val="0"/>
                <w:dstrike w:val="0"/>
                <w:color w:val="auto"/>
                <w:spacing w:val="0"/>
                <w:kern w:val="0"/>
                <w:sz w:val="24"/>
                <w:szCs w:val="24"/>
                <w:u w:val="single"/>
                <w:shd w:val="clear" w:color="auto" w:fill="FFFFFF"/>
                <w:lang w:val="en-US" w:eastAsia="zh-CN" w:bidi="ar"/>
              </w:rPr>
              <w:t>15个交易日</w:t>
            </w:r>
            <w:r>
              <w:rPr>
                <w:rFonts w:hint="default" w:ascii="Times New Roman" w:hAnsi="Times New Roman" w:eastAsia="仿宋" w:cs="Times New Roman"/>
                <w:i w:val="0"/>
                <w:iCs w:val="0"/>
                <w:caps w:val="0"/>
                <w:color w:val="auto"/>
                <w:spacing w:val="0"/>
                <w:kern w:val="0"/>
                <w:sz w:val="24"/>
                <w:szCs w:val="24"/>
                <w:shd w:val="clear" w:color="auto" w:fill="FFFFFF"/>
                <w:lang w:val="en-US" w:eastAsia="zh-CN" w:bidi="ar"/>
              </w:rPr>
              <w:t>至交割月前一个月最后一个</w:t>
            </w:r>
            <w:r>
              <w:rPr>
                <w:rFonts w:hint="default" w:ascii="Times New Roman" w:hAnsi="Times New Roman" w:eastAsia="仿宋" w:cs="Times New Roman"/>
                <w:i w:val="0"/>
                <w:iCs w:val="0"/>
                <w:caps w:val="0"/>
                <w:strike/>
                <w:dstrike w:val="0"/>
                <w:color w:val="auto"/>
                <w:spacing w:val="0"/>
                <w:kern w:val="0"/>
                <w:sz w:val="24"/>
                <w:szCs w:val="24"/>
                <w:shd w:val="clear" w:color="auto" w:fill="FFFFFF"/>
                <w:lang w:val="en-US" w:eastAsia="zh-CN" w:bidi="ar"/>
              </w:rPr>
              <w:t>日历日之间的</w:t>
            </w:r>
            <w:r>
              <w:rPr>
                <w:rFonts w:hint="default" w:ascii="Times New Roman" w:hAnsi="Times New Roman" w:eastAsia="仿宋" w:cs="Times New Roman"/>
                <w:i w:val="0"/>
                <w:iCs w:val="0"/>
                <w:caps w:val="0"/>
                <w:strike w:val="0"/>
                <w:dstrike w:val="0"/>
                <w:color w:val="auto"/>
                <w:spacing w:val="0"/>
                <w:kern w:val="0"/>
                <w:sz w:val="24"/>
                <w:szCs w:val="24"/>
                <w:shd w:val="clear" w:color="auto" w:fill="FFFFFF"/>
                <w:lang w:val="en-US" w:eastAsia="zh-CN" w:bidi="ar"/>
              </w:rPr>
              <w:t>交易日，</w:t>
            </w:r>
            <w:r>
              <w:rPr>
                <w:rFonts w:hint="default" w:ascii="Times New Roman" w:hAnsi="Times New Roman" w:eastAsia="仿宋" w:cs="Times New Roman"/>
                <w:i w:val="0"/>
                <w:iCs w:val="0"/>
                <w:caps w:val="0"/>
                <w:strike/>
                <w:dstrike w:val="0"/>
                <w:color w:val="auto"/>
                <w:spacing w:val="0"/>
                <w:kern w:val="0"/>
                <w:sz w:val="24"/>
                <w:szCs w:val="24"/>
                <w:shd w:val="clear" w:color="auto" w:fill="FFFFFF"/>
                <w:lang w:val="en-US" w:eastAsia="zh-CN" w:bidi="ar"/>
              </w:rPr>
              <w:t>棉花、白糖、PTA、菜油、甲醇、玻璃、菜粕、动力煤、硅铁、锰硅、棉纱、尿素、纯碱品种</w:t>
            </w:r>
            <w:r>
              <w:rPr>
                <w:rFonts w:hint="default" w:ascii="Times New Roman" w:hAnsi="Times New Roman" w:eastAsia="仿宋" w:cs="Times New Roman"/>
                <w:i w:val="0"/>
                <w:iCs w:val="0"/>
                <w:caps w:val="0"/>
                <w:color w:val="auto"/>
                <w:spacing w:val="0"/>
                <w:kern w:val="0"/>
                <w:sz w:val="24"/>
                <w:szCs w:val="24"/>
                <w:shd w:val="clear" w:color="auto" w:fill="FFFFFF"/>
                <w:lang w:val="en-US" w:eastAsia="zh-CN" w:bidi="ar"/>
              </w:rPr>
              <w:t>非期货公司会员、境外特殊非经纪参与者或者客户一般月份套期保值持仓额度可以按规定数额自动转化为该阶段的套期保值持仓额度，具体</w:t>
            </w:r>
            <w:r>
              <w:rPr>
                <w:rFonts w:hint="default" w:ascii="Times New Roman" w:hAnsi="Times New Roman" w:eastAsia="仿宋" w:cs="Times New Roman"/>
                <w:b/>
                <w:bCs/>
                <w:i w:val="0"/>
                <w:iCs w:val="0"/>
                <w:caps w:val="0"/>
                <w:color w:val="auto"/>
                <w:spacing w:val="0"/>
                <w:kern w:val="0"/>
                <w:sz w:val="24"/>
                <w:szCs w:val="24"/>
                <w:u w:val="single"/>
                <w:shd w:val="clear" w:color="auto" w:fill="FFFFFF"/>
                <w:lang w:val="en-US" w:eastAsia="zh-CN" w:bidi="ar"/>
              </w:rPr>
              <w:t>实施品种、</w:t>
            </w:r>
            <w:r>
              <w:rPr>
                <w:rFonts w:hint="default" w:ascii="Times New Roman" w:hAnsi="Times New Roman" w:eastAsia="仿宋" w:cs="Times New Roman"/>
                <w:i w:val="0"/>
                <w:iCs w:val="0"/>
                <w:caps w:val="0"/>
                <w:color w:val="auto"/>
                <w:spacing w:val="0"/>
                <w:kern w:val="0"/>
                <w:sz w:val="24"/>
                <w:szCs w:val="24"/>
                <w:shd w:val="clear" w:color="auto" w:fill="FFFFFF"/>
                <w:lang w:val="en-US" w:eastAsia="zh-CN" w:bidi="ar"/>
              </w:rPr>
              <w:t>实施时间及转化数额由交易所另行通知。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360" w:lineRule="auto"/>
              <w:ind w:firstLine="481" w:firstLineChars="200"/>
              <w:jc w:val="both"/>
              <w:rPr>
                <w:rFonts w:hint="default" w:ascii="Times New Roman" w:hAnsi="Times New Roman" w:eastAsia="仿宋" w:cs="Times New Roman"/>
                <w:b w:val="0"/>
                <w:bCs w:val="0"/>
                <w:i w:val="0"/>
                <w:iCs w:val="0"/>
                <w:caps w:val="0"/>
                <w:color w:val="auto"/>
                <w:spacing w:val="0"/>
                <w:kern w:val="0"/>
                <w:sz w:val="24"/>
                <w:szCs w:val="24"/>
                <w:shd w:val="clear" w:color="auto" w:fill="FFFFFF"/>
                <w:lang w:val="en-US" w:eastAsia="zh-CN" w:bidi="ar"/>
              </w:rPr>
            </w:pPr>
            <w:r>
              <w:rPr>
                <w:rFonts w:hint="default" w:ascii="Times New Roman" w:hAnsi="Times New Roman" w:eastAsia="仿宋" w:cs="Times New Roman"/>
                <w:b/>
                <w:bCs/>
                <w:i w:val="0"/>
                <w:iCs w:val="0"/>
                <w:caps w:val="0"/>
                <w:color w:val="auto"/>
                <w:spacing w:val="0"/>
                <w:kern w:val="0"/>
                <w:sz w:val="24"/>
                <w:szCs w:val="24"/>
                <w:shd w:val="clear" w:color="auto" w:fill="FFFFFF"/>
                <w:lang w:val="en-US" w:eastAsia="zh-CN" w:bidi="ar"/>
              </w:rPr>
              <w:t xml:space="preserve">第十四条 </w:t>
            </w:r>
            <w:r>
              <w:rPr>
                <w:rFonts w:hint="default" w:ascii="Times New Roman" w:hAnsi="Times New Roman" w:eastAsia="仿宋" w:cs="Times New Roman"/>
                <w:b w:val="0"/>
                <w:bCs w:val="0"/>
                <w:i w:val="0"/>
                <w:iCs w:val="0"/>
                <w:caps w:val="0"/>
                <w:color w:val="auto"/>
                <w:spacing w:val="0"/>
                <w:kern w:val="0"/>
                <w:sz w:val="24"/>
                <w:szCs w:val="24"/>
                <w:shd w:val="clear" w:color="auto" w:fill="FFFFFF"/>
                <w:lang w:val="en-US" w:eastAsia="zh-CN" w:bidi="ar"/>
              </w:rPr>
              <w:t>临近交割月份套期保值持仓额度的申请应当在套期保值期货合约交割月前二个月</w:t>
            </w:r>
            <w:r>
              <w:rPr>
                <w:rFonts w:hint="default" w:ascii="Times New Roman" w:hAnsi="Times New Roman" w:eastAsia="仿宋" w:cs="Times New Roman"/>
                <w:b w:val="0"/>
                <w:bCs w:val="0"/>
                <w:i w:val="0"/>
                <w:iCs w:val="0"/>
                <w:caps w:val="0"/>
                <w:strike w:val="0"/>
                <w:dstrike w:val="0"/>
                <w:color w:val="auto"/>
                <w:spacing w:val="0"/>
                <w:kern w:val="0"/>
                <w:sz w:val="24"/>
                <w:szCs w:val="24"/>
                <w:shd w:val="clear" w:color="auto" w:fill="FFFFFF"/>
                <w:lang w:val="en-US" w:eastAsia="zh-CN" w:bidi="ar"/>
              </w:rPr>
              <w:t>第15个日历日</w:t>
            </w:r>
            <w:r>
              <w:rPr>
                <w:rFonts w:hint="default" w:ascii="Times New Roman" w:hAnsi="Times New Roman" w:eastAsia="仿宋" w:cs="Times New Roman"/>
                <w:b w:val="0"/>
                <w:bCs w:val="0"/>
                <w:i w:val="0"/>
                <w:iCs w:val="0"/>
                <w:caps w:val="0"/>
                <w:color w:val="auto"/>
                <w:spacing w:val="0"/>
                <w:kern w:val="0"/>
                <w:sz w:val="24"/>
                <w:szCs w:val="24"/>
                <w:shd w:val="clear" w:color="auto" w:fill="FFFFFF"/>
                <w:lang w:val="en-US" w:eastAsia="zh-CN" w:bidi="ar"/>
              </w:rPr>
              <w:t>至交割月前一个月第20个日历日之间的交易日提出，逾期交易所不再受理该合约套期保值持仓额度的申请。</w:t>
            </w:r>
          </w:p>
          <w:p>
            <w:pPr>
              <w:keepNext w:val="0"/>
              <w:keepLines w:val="0"/>
              <w:widowControl/>
              <w:suppressLineNumbers w:val="0"/>
              <w:spacing w:line="360" w:lineRule="auto"/>
              <w:ind w:left="0" w:firstLine="480" w:firstLineChars="200"/>
              <w:jc w:val="both"/>
              <w:rPr>
                <w:rFonts w:hint="default" w:ascii="Times New Roman" w:hAnsi="Times New Roman" w:eastAsia="仿宋" w:cs="Times New Roman"/>
                <w:b/>
                <w:color w:val="auto"/>
                <w:kern w:val="0"/>
                <w:sz w:val="24"/>
                <w:szCs w:val="24"/>
                <w:lang w:val="en-US" w:eastAsia="zh-CN" w:bidi="ar"/>
              </w:rPr>
            </w:pPr>
            <w:r>
              <w:rPr>
                <w:rFonts w:hint="default" w:ascii="Times New Roman" w:hAnsi="Times New Roman" w:eastAsia="仿宋" w:cs="Times New Roman"/>
                <w:b w:val="0"/>
                <w:bCs w:val="0"/>
                <w:i w:val="0"/>
                <w:iCs w:val="0"/>
                <w:caps w:val="0"/>
                <w:color w:val="auto"/>
                <w:spacing w:val="0"/>
                <w:kern w:val="0"/>
                <w:sz w:val="24"/>
                <w:szCs w:val="24"/>
                <w:shd w:val="clear" w:color="auto" w:fill="FFFFFF"/>
                <w:lang w:val="en-US" w:eastAsia="zh-CN" w:bidi="ar"/>
              </w:rPr>
              <w:t>交易所对临近交割月份套期保值持仓额度申请分两次集中审核并予以答复。第一次在交割月前一个月第5个日历日后的5个交易日内集中审核，第二次在申请截止日后的5个交易日内集中审核。</w:t>
            </w:r>
          </w:p>
        </w:tc>
        <w:tc>
          <w:tcPr>
            <w:tcW w:w="41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numPr>
                <w:ilvl w:val="0"/>
                <w:numId w:val="0"/>
              </w:numPr>
              <w:suppressLineNumbers w:val="0"/>
              <w:spacing w:line="360" w:lineRule="auto"/>
              <w:ind w:firstLine="481" w:firstLineChars="200"/>
              <w:jc w:val="both"/>
              <w:rPr>
                <w:rFonts w:hint="default" w:ascii="Times New Roman" w:hAnsi="Times New Roman" w:eastAsia="仿宋" w:cs="Times New Roman"/>
                <w:b w:val="0"/>
                <w:bCs w:val="0"/>
                <w:i w:val="0"/>
                <w:iCs w:val="0"/>
                <w:caps w:val="0"/>
                <w:color w:val="auto"/>
                <w:spacing w:val="0"/>
                <w:kern w:val="0"/>
                <w:sz w:val="24"/>
                <w:szCs w:val="24"/>
                <w:shd w:val="clear" w:color="auto" w:fill="FFFFFF"/>
                <w:lang w:val="en-US" w:eastAsia="zh-CN" w:bidi="ar"/>
              </w:rPr>
            </w:pPr>
            <w:r>
              <w:rPr>
                <w:rFonts w:hint="default" w:ascii="Times New Roman" w:hAnsi="Times New Roman" w:eastAsia="仿宋" w:cs="Times New Roman"/>
                <w:b/>
                <w:bCs/>
                <w:i w:val="0"/>
                <w:iCs w:val="0"/>
                <w:caps w:val="0"/>
                <w:color w:val="auto"/>
                <w:spacing w:val="0"/>
                <w:kern w:val="0"/>
                <w:sz w:val="24"/>
                <w:szCs w:val="24"/>
                <w:shd w:val="clear" w:color="auto" w:fill="FFFFFF"/>
                <w:lang w:val="en-US" w:eastAsia="zh-CN" w:bidi="ar"/>
              </w:rPr>
              <w:t>第十四条</w:t>
            </w:r>
            <w:r>
              <w:rPr>
                <w:rFonts w:hint="default" w:ascii="Times New Roman" w:hAnsi="Times New Roman" w:eastAsia="仿宋" w:cs="Times New Roman"/>
                <w:b w:val="0"/>
                <w:bCs w:val="0"/>
                <w:i w:val="0"/>
                <w:iCs w:val="0"/>
                <w:caps w:val="0"/>
                <w:color w:val="auto"/>
                <w:spacing w:val="0"/>
                <w:kern w:val="0"/>
                <w:sz w:val="24"/>
                <w:szCs w:val="24"/>
                <w:shd w:val="clear" w:color="auto" w:fill="FFFFFF"/>
                <w:lang w:val="en-US" w:eastAsia="zh-CN" w:bidi="ar"/>
              </w:rPr>
              <w:t xml:space="preserve"> 临近交割月份套期保值持仓额度的申请应当在套期保值期货合约交割月前二个月</w:t>
            </w:r>
            <w:r>
              <w:rPr>
                <w:rFonts w:hint="default" w:ascii="Times New Roman" w:hAnsi="Times New Roman" w:eastAsia="仿宋" w:cs="Times New Roman"/>
                <w:b w:val="0"/>
                <w:bCs w:val="0"/>
                <w:i w:val="0"/>
                <w:iCs w:val="0"/>
                <w:caps w:val="0"/>
                <w:strike w:val="0"/>
                <w:dstrike w:val="0"/>
                <w:color w:val="auto"/>
                <w:spacing w:val="0"/>
                <w:kern w:val="0"/>
                <w:sz w:val="24"/>
                <w:szCs w:val="24"/>
                <w:shd w:val="clear" w:color="auto" w:fill="FFFFFF"/>
                <w:lang w:val="en-US" w:eastAsia="zh-CN" w:bidi="ar"/>
              </w:rPr>
              <w:t>第</w:t>
            </w:r>
            <w:r>
              <w:rPr>
                <w:rFonts w:hint="default" w:ascii="Times New Roman" w:hAnsi="Times New Roman" w:eastAsia="仿宋" w:cs="Times New Roman"/>
                <w:b w:val="0"/>
                <w:bCs w:val="0"/>
                <w:i w:val="0"/>
                <w:iCs w:val="0"/>
                <w:caps w:val="0"/>
                <w:strike/>
                <w:dstrike w:val="0"/>
                <w:color w:val="auto"/>
                <w:spacing w:val="0"/>
                <w:kern w:val="0"/>
                <w:sz w:val="24"/>
                <w:szCs w:val="24"/>
                <w:shd w:val="clear" w:color="auto" w:fill="FFFFFF"/>
                <w:lang w:val="en-US" w:eastAsia="zh-CN" w:bidi="ar"/>
              </w:rPr>
              <w:t>15个日历日</w:t>
            </w:r>
            <w:r>
              <w:rPr>
                <w:rFonts w:hint="default" w:ascii="Times New Roman" w:hAnsi="Times New Roman" w:eastAsia="仿宋" w:cs="Times New Roman"/>
                <w:b/>
                <w:bCs/>
                <w:i w:val="0"/>
                <w:iCs w:val="0"/>
                <w:caps w:val="0"/>
                <w:strike w:val="0"/>
                <w:dstrike w:val="0"/>
                <w:color w:val="auto"/>
                <w:spacing w:val="0"/>
                <w:kern w:val="0"/>
                <w:sz w:val="24"/>
                <w:szCs w:val="24"/>
                <w:u w:val="single"/>
                <w:shd w:val="clear" w:color="auto" w:fill="FFFFFF"/>
                <w:lang w:val="en-US" w:eastAsia="zh-CN" w:bidi="ar"/>
              </w:rPr>
              <w:t>1个交易日</w:t>
            </w:r>
            <w:r>
              <w:rPr>
                <w:rFonts w:hint="default" w:ascii="Times New Roman" w:hAnsi="Times New Roman" w:eastAsia="仿宋" w:cs="Times New Roman"/>
                <w:b w:val="0"/>
                <w:bCs w:val="0"/>
                <w:i w:val="0"/>
                <w:iCs w:val="0"/>
                <w:caps w:val="0"/>
                <w:color w:val="auto"/>
                <w:spacing w:val="0"/>
                <w:kern w:val="0"/>
                <w:sz w:val="24"/>
                <w:szCs w:val="24"/>
                <w:shd w:val="clear" w:color="auto" w:fill="FFFFFF"/>
                <w:lang w:val="en-US" w:eastAsia="zh-CN" w:bidi="ar"/>
              </w:rPr>
              <w:t>至交割月前一个月</w:t>
            </w:r>
            <w:r>
              <w:rPr>
                <w:rFonts w:hint="default" w:ascii="Times New Roman" w:hAnsi="Times New Roman" w:eastAsia="仿宋" w:cs="Times New Roman"/>
                <w:b w:val="0"/>
                <w:bCs w:val="0"/>
                <w:i w:val="0"/>
                <w:iCs w:val="0"/>
                <w:caps w:val="0"/>
                <w:strike w:val="0"/>
                <w:dstrike w:val="0"/>
                <w:color w:val="auto"/>
                <w:spacing w:val="0"/>
                <w:kern w:val="0"/>
                <w:sz w:val="24"/>
                <w:szCs w:val="24"/>
                <w:shd w:val="clear" w:color="auto" w:fill="FFFFFF"/>
                <w:lang w:val="en-US" w:eastAsia="zh-CN" w:bidi="ar"/>
              </w:rPr>
              <w:t>第</w:t>
            </w:r>
            <w:r>
              <w:rPr>
                <w:rFonts w:hint="default" w:ascii="Times New Roman" w:hAnsi="Times New Roman" w:eastAsia="仿宋" w:cs="Times New Roman"/>
                <w:b w:val="0"/>
                <w:bCs w:val="0"/>
                <w:i w:val="0"/>
                <w:iCs w:val="0"/>
                <w:caps w:val="0"/>
                <w:strike/>
                <w:dstrike w:val="0"/>
                <w:color w:val="auto"/>
                <w:spacing w:val="0"/>
                <w:kern w:val="0"/>
                <w:sz w:val="24"/>
                <w:szCs w:val="24"/>
                <w:shd w:val="clear" w:color="auto" w:fill="FFFFFF"/>
                <w:lang w:val="en-US" w:eastAsia="zh-CN" w:bidi="ar"/>
              </w:rPr>
              <w:t>20个</w:t>
            </w:r>
            <w:r>
              <w:rPr>
                <w:rFonts w:hint="default" w:ascii="Times New Roman" w:hAnsi="Times New Roman" w:eastAsia="仿宋" w:cs="Times New Roman"/>
                <w:b/>
                <w:bCs/>
                <w:i w:val="0"/>
                <w:iCs w:val="0"/>
                <w:caps w:val="0"/>
                <w:strike w:val="0"/>
                <w:dstrike w:val="0"/>
                <w:color w:val="auto"/>
                <w:spacing w:val="0"/>
                <w:kern w:val="0"/>
                <w:sz w:val="24"/>
                <w:szCs w:val="24"/>
                <w:u w:val="single"/>
                <w:shd w:val="clear" w:color="auto" w:fill="FFFFFF"/>
                <w:lang w:val="en-US" w:eastAsia="zh-CN" w:bidi="ar"/>
              </w:rPr>
              <w:t>16个</w:t>
            </w:r>
            <w:r>
              <w:rPr>
                <w:rFonts w:hint="eastAsia" w:eastAsia="仿宋" w:cs="Times New Roman"/>
                <w:b/>
                <w:bCs/>
                <w:i w:val="0"/>
                <w:iCs w:val="0"/>
                <w:caps w:val="0"/>
                <w:strike w:val="0"/>
                <w:dstrike w:val="0"/>
                <w:color w:val="auto"/>
                <w:spacing w:val="0"/>
                <w:kern w:val="0"/>
                <w:sz w:val="24"/>
                <w:szCs w:val="24"/>
                <w:u w:val="single"/>
                <w:shd w:val="clear" w:color="auto" w:fill="FFFFFF"/>
                <w:lang w:val="en-US" w:eastAsia="zh-CN" w:bidi="ar"/>
              </w:rPr>
              <w:t>交易日</w:t>
            </w:r>
            <w:r>
              <w:rPr>
                <w:rFonts w:hint="default" w:ascii="Times New Roman" w:hAnsi="Times New Roman" w:eastAsia="仿宋" w:cs="Times New Roman"/>
                <w:b w:val="0"/>
                <w:bCs w:val="0"/>
                <w:i w:val="0"/>
                <w:iCs w:val="0"/>
                <w:caps w:val="0"/>
                <w:strike/>
                <w:dstrike w:val="0"/>
                <w:color w:val="auto"/>
                <w:spacing w:val="0"/>
                <w:kern w:val="0"/>
                <w:sz w:val="24"/>
                <w:szCs w:val="24"/>
                <w:shd w:val="clear" w:color="auto" w:fill="FFFFFF"/>
                <w:lang w:val="en-US" w:eastAsia="zh-CN" w:bidi="ar"/>
              </w:rPr>
              <w:t>日历日</w:t>
            </w:r>
            <w:r>
              <w:rPr>
                <w:rFonts w:hint="default" w:ascii="Times New Roman" w:hAnsi="Times New Roman" w:eastAsia="仿宋" w:cs="Times New Roman"/>
                <w:b w:val="0"/>
                <w:bCs w:val="0"/>
                <w:i w:val="0"/>
                <w:iCs w:val="0"/>
                <w:caps w:val="0"/>
                <w:strike w:val="0"/>
                <w:color w:val="auto"/>
                <w:spacing w:val="0"/>
                <w:kern w:val="0"/>
                <w:sz w:val="24"/>
                <w:szCs w:val="24"/>
                <w:shd w:val="clear" w:color="auto" w:fill="FFFFFF"/>
                <w:lang w:val="en-US" w:eastAsia="zh-CN" w:bidi="ar"/>
              </w:rPr>
              <w:t>之间</w:t>
            </w:r>
            <w:r>
              <w:rPr>
                <w:rFonts w:hint="default" w:ascii="Times New Roman" w:hAnsi="Times New Roman" w:eastAsia="仿宋" w:cs="Times New Roman"/>
                <w:b w:val="0"/>
                <w:bCs w:val="0"/>
                <w:i w:val="0"/>
                <w:iCs w:val="0"/>
                <w:caps w:val="0"/>
                <w:strike/>
                <w:dstrike w:val="0"/>
                <w:color w:val="auto"/>
                <w:spacing w:val="0"/>
                <w:kern w:val="0"/>
                <w:sz w:val="24"/>
                <w:szCs w:val="24"/>
                <w:shd w:val="clear" w:color="auto" w:fill="FFFFFF"/>
                <w:lang w:val="en-US" w:eastAsia="zh-CN" w:bidi="ar"/>
              </w:rPr>
              <w:t>的</w:t>
            </w:r>
            <w:r>
              <w:rPr>
                <w:rFonts w:hint="default" w:ascii="Times New Roman" w:hAnsi="Times New Roman" w:eastAsia="仿宋" w:cs="Times New Roman"/>
                <w:b w:val="0"/>
                <w:bCs w:val="0"/>
                <w:i w:val="0"/>
                <w:iCs w:val="0"/>
                <w:caps w:val="0"/>
                <w:strike/>
                <w:dstrike w:val="0"/>
                <w:color w:val="auto"/>
                <w:spacing w:val="0"/>
                <w:kern w:val="0"/>
                <w:sz w:val="24"/>
                <w:szCs w:val="24"/>
                <w:u w:val="none"/>
                <w:shd w:val="clear" w:color="auto" w:fill="FFFFFF"/>
                <w:lang w:val="en-US" w:eastAsia="zh-CN" w:bidi="ar"/>
              </w:rPr>
              <w:t>交易日</w:t>
            </w:r>
            <w:r>
              <w:rPr>
                <w:rFonts w:hint="default" w:ascii="Times New Roman" w:hAnsi="Times New Roman" w:eastAsia="仿宋" w:cs="Times New Roman"/>
                <w:b w:val="0"/>
                <w:bCs w:val="0"/>
                <w:i w:val="0"/>
                <w:iCs w:val="0"/>
                <w:caps w:val="0"/>
                <w:color w:val="auto"/>
                <w:spacing w:val="0"/>
                <w:kern w:val="0"/>
                <w:sz w:val="24"/>
                <w:szCs w:val="24"/>
                <w:shd w:val="clear" w:color="auto" w:fill="FFFFFF"/>
                <w:lang w:val="en-US" w:eastAsia="zh-CN" w:bidi="ar"/>
              </w:rPr>
              <w:t>提出，逾期交易所不再受理该合约套期保值持仓额度的申请。</w:t>
            </w:r>
          </w:p>
          <w:p>
            <w:pPr>
              <w:keepNext w:val="0"/>
              <w:keepLines w:val="0"/>
              <w:widowControl/>
              <w:suppressLineNumbers w:val="0"/>
              <w:spacing w:line="360" w:lineRule="auto"/>
              <w:ind w:left="0" w:firstLine="480" w:firstLineChars="200"/>
              <w:jc w:val="both"/>
              <w:rPr>
                <w:rFonts w:hint="default" w:ascii="Times New Roman" w:hAnsi="Times New Roman" w:eastAsia="仿宋" w:cs="Times New Roman"/>
                <w:b w:val="0"/>
                <w:bCs w:val="0"/>
                <w:i w:val="0"/>
                <w:iCs w:val="0"/>
                <w:caps w:val="0"/>
                <w:color w:val="auto"/>
                <w:spacing w:val="0"/>
                <w:kern w:val="0"/>
                <w:sz w:val="24"/>
                <w:szCs w:val="24"/>
                <w:shd w:val="clear" w:color="auto" w:fill="FFFFFF"/>
                <w:lang w:val="en-US" w:eastAsia="zh-CN" w:bidi="ar"/>
              </w:rPr>
            </w:pPr>
            <w:r>
              <w:rPr>
                <w:rFonts w:hint="default" w:ascii="Times New Roman" w:hAnsi="Times New Roman" w:eastAsia="仿宋" w:cs="Times New Roman"/>
                <w:b w:val="0"/>
                <w:bCs w:val="0"/>
                <w:i w:val="0"/>
                <w:iCs w:val="0"/>
                <w:caps w:val="0"/>
                <w:color w:val="auto"/>
                <w:spacing w:val="0"/>
                <w:kern w:val="0"/>
                <w:sz w:val="24"/>
                <w:szCs w:val="24"/>
                <w:shd w:val="clear" w:color="auto" w:fill="FFFFFF"/>
                <w:lang w:val="en-US" w:eastAsia="zh-CN" w:bidi="ar"/>
              </w:rPr>
              <w:t>交易所对临近交割月份套期保值持仓额度申请分两次集中审核并予以答复。第一次在交割月前</w:t>
            </w:r>
            <w:r>
              <w:rPr>
                <w:rFonts w:hint="default" w:ascii="Times New Roman" w:hAnsi="Times New Roman" w:eastAsia="仿宋" w:cs="Times New Roman"/>
                <w:b w:val="0"/>
                <w:bCs w:val="0"/>
                <w:i w:val="0"/>
                <w:iCs w:val="0"/>
                <w:caps w:val="0"/>
                <w:strike w:val="0"/>
                <w:dstrike w:val="0"/>
                <w:color w:val="auto"/>
                <w:spacing w:val="0"/>
                <w:kern w:val="0"/>
                <w:sz w:val="24"/>
                <w:szCs w:val="24"/>
                <w:shd w:val="clear" w:color="auto" w:fill="FFFFFF"/>
                <w:lang w:val="en-US" w:eastAsia="zh-CN" w:bidi="ar"/>
              </w:rPr>
              <w:t>一</w:t>
            </w:r>
            <w:r>
              <w:rPr>
                <w:rFonts w:hint="default" w:ascii="Times New Roman" w:hAnsi="Times New Roman" w:eastAsia="仿宋" w:cs="Times New Roman"/>
                <w:b w:val="0"/>
                <w:bCs w:val="0"/>
                <w:i w:val="0"/>
                <w:iCs w:val="0"/>
                <w:caps w:val="0"/>
                <w:color w:val="auto"/>
                <w:spacing w:val="0"/>
                <w:kern w:val="0"/>
                <w:sz w:val="24"/>
                <w:szCs w:val="24"/>
                <w:shd w:val="clear" w:color="auto" w:fill="FFFFFF"/>
                <w:lang w:val="en-US" w:eastAsia="zh-CN" w:bidi="ar"/>
              </w:rPr>
              <w:t>个月</w:t>
            </w:r>
            <w:r>
              <w:rPr>
                <w:rFonts w:hint="default" w:ascii="Times New Roman" w:hAnsi="Times New Roman" w:eastAsia="仿宋" w:cs="Times New Roman"/>
                <w:b w:val="0"/>
                <w:bCs w:val="0"/>
                <w:i w:val="0"/>
                <w:iCs w:val="0"/>
                <w:caps w:val="0"/>
                <w:strike w:val="0"/>
                <w:dstrike w:val="0"/>
                <w:color w:val="auto"/>
                <w:spacing w:val="0"/>
                <w:kern w:val="0"/>
                <w:sz w:val="24"/>
                <w:szCs w:val="24"/>
                <w:shd w:val="clear" w:color="auto" w:fill="FFFFFF"/>
                <w:lang w:val="en-US" w:eastAsia="zh-CN" w:bidi="ar"/>
              </w:rPr>
              <w:t>第</w:t>
            </w:r>
            <w:r>
              <w:rPr>
                <w:rFonts w:hint="default" w:ascii="Times New Roman" w:hAnsi="Times New Roman" w:eastAsia="仿宋" w:cs="Times New Roman"/>
                <w:b w:val="0"/>
                <w:bCs w:val="0"/>
                <w:i w:val="0"/>
                <w:iCs w:val="0"/>
                <w:caps w:val="0"/>
                <w:strike/>
                <w:dstrike w:val="0"/>
                <w:color w:val="auto"/>
                <w:spacing w:val="0"/>
                <w:kern w:val="0"/>
                <w:sz w:val="24"/>
                <w:szCs w:val="24"/>
                <w:shd w:val="clear" w:color="auto" w:fill="FFFFFF"/>
                <w:lang w:val="en-US" w:eastAsia="zh-CN" w:bidi="ar"/>
              </w:rPr>
              <w:t>5个日历日</w:t>
            </w:r>
            <w:r>
              <w:rPr>
                <w:rFonts w:hint="default" w:ascii="Times New Roman" w:hAnsi="Times New Roman" w:eastAsia="仿宋" w:cs="Times New Roman"/>
                <w:b/>
                <w:bCs/>
                <w:i w:val="0"/>
                <w:iCs w:val="0"/>
                <w:caps w:val="0"/>
                <w:strike w:val="0"/>
                <w:dstrike w:val="0"/>
                <w:color w:val="auto"/>
                <w:spacing w:val="0"/>
                <w:kern w:val="0"/>
                <w:sz w:val="24"/>
                <w:szCs w:val="24"/>
                <w:u w:val="single"/>
                <w:shd w:val="clear" w:color="auto" w:fill="FFFFFF"/>
                <w:lang w:val="en-US" w:eastAsia="zh-CN" w:bidi="ar"/>
              </w:rPr>
              <w:t>6个交易日</w:t>
            </w:r>
            <w:r>
              <w:rPr>
                <w:rFonts w:hint="default" w:ascii="Times New Roman" w:hAnsi="Times New Roman" w:eastAsia="仿宋" w:cs="Times New Roman"/>
                <w:b w:val="0"/>
                <w:bCs w:val="0"/>
                <w:i w:val="0"/>
                <w:iCs w:val="0"/>
                <w:caps w:val="0"/>
                <w:color w:val="auto"/>
                <w:spacing w:val="0"/>
                <w:kern w:val="0"/>
                <w:sz w:val="24"/>
                <w:szCs w:val="24"/>
                <w:shd w:val="clear" w:color="auto" w:fill="FFFFFF"/>
                <w:lang w:val="en-US" w:eastAsia="zh-CN" w:bidi="ar"/>
              </w:rPr>
              <w:t>后的5个交易日内集中审核，第二次在申请截止日后的5个交易日内集中审核。</w:t>
            </w:r>
          </w:p>
          <w:p>
            <w:pPr>
              <w:keepNext w:val="0"/>
              <w:keepLines w:val="0"/>
              <w:widowControl/>
              <w:suppressLineNumbers w:val="0"/>
              <w:spacing w:line="360" w:lineRule="auto"/>
              <w:ind w:firstLine="481" w:firstLineChars="200"/>
              <w:jc w:val="both"/>
              <w:rPr>
                <w:rFonts w:hint="default" w:ascii="Times New Roman" w:hAnsi="Times New Roman" w:eastAsia="仿宋" w:cs="Times New Roman"/>
                <w:b/>
                <w:color w:val="auto"/>
                <w:kern w:val="0"/>
                <w:sz w:val="24"/>
                <w:szCs w:val="24"/>
                <w:u w:val="single"/>
                <w:lang w:val="en-US" w:eastAsia="zh-CN" w:bidi="ar"/>
              </w:rPr>
            </w:pPr>
            <w:r>
              <w:rPr>
                <w:rFonts w:hint="default" w:ascii="Times New Roman" w:hAnsi="Times New Roman" w:eastAsia="仿宋" w:cs="Times New Roman"/>
                <w:b/>
                <w:bCs/>
                <w:i w:val="0"/>
                <w:iCs w:val="0"/>
                <w:caps w:val="0"/>
                <w:color w:val="auto"/>
                <w:spacing w:val="0"/>
                <w:kern w:val="0"/>
                <w:sz w:val="24"/>
                <w:szCs w:val="24"/>
                <w:u w:val="single"/>
                <w:shd w:val="clear" w:color="auto" w:fill="FFFFFF"/>
                <w:lang w:val="en-US" w:eastAsia="zh-CN" w:bidi="ar"/>
              </w:rPr>
              <w:t>交易所可以根据情况调整临近交割月份套期保值持仓额度的申请和审核时间</w:t>
            </w:r>
            <w:r>
              <w:rPr>
                <w:rFonts w:hint="eastAsia" w:eastAsia="仿宋" w:cs="Times New Roman"/>
                <w:b/>
                <w:bCs/>
                <w:i w:val="0"/>
                <w:iCs w:val="0"/>
                <w:caps w:val="0"/>
                <w:color w:val="auto"/>
                <w:spacing w:val="0"/>
                <w:kern w:val="0"/>
                <w:sz w:val="24"/>
                <w:szCs w:val="24"/>
                <w:u w:val="single"/>
                <w:shd w:val="clear" w:color="auto" w:fill="FFFFFF"/>
                <w:lang w:val="en-US" w:eastAsia="zh-CN" w:bidi="ar"/>
              </w:rPr>
              <w:t>，并向市场公布</w:t>
            </w:r>
            <w:r>
              <w:rPr>
                <w:rFonts w:hint="default" w:ascii="Times New Roman" w:hAnsi="Times New Roman" w:eastAsia="仿宋" w:cs="Times New Roman"/>
                <w:b/>
                <w:bCs/>
                <w:i w:val="0"/>
                <w:iCs w:val="0"/>
                <w:caps w:val="0"/>
                <w:color w:val="auto"/>
                <w:spacing w:val="0"/>
                <w:kern w:val="0"/>
                <w:sz w:val="24"/>
                <w:szCs w:val="24"/>
                <w:u w:val="single"/>
                <w:shd w:val="clear" w:color="auto" w:fill="FFFFFF"/>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360" w:lineRule="auto"/>
              <w:ind w:left="0" w:firstLine="481" w:firstLineChars="200"/>
              <w:jc w:val="both"/>
              <w:rPr>
                <w:rFonts w:hint="default" w:ascii="Times New Roman" w:hAnsi="Times New Roman" w:eastAsia="仿宋" w:cs="Times New Roman"/>
                <w:color w:val="auto"/>
                <w:kern w:val="0"/>
                <w:sz w:val="24"/>
                <w:szCs w:val="24"/>
                <w:lang w:val="en-US" w:eastAsia="zh-CN" w:bidi="ar"/>
              </w:rPr>
            </w:pPr>
            <w:r>
              <w:rPr>
                <w:rFonts w:hint="default" w:ascii="Times New Roman" w:hAnsi="Times New Roman" w:eastAsia="仿宋" w:cs="Times New Roman"/>
                <w:b/>
                <w:bCs/>
                <w:color w:val="auto"/>
                <w:kern w:val="0"/>
                <w:sz w:val="24"/>
                <w:szCs w:val="24"/>
                <w:lang w:val="en-US" w:eastAsia="zh-CN" w:bidi="ar"/>
              </w:rPr>
              <w:t>第十六条</w:t>
            </w:r>
            <w:r>
              <w:rPr>
                <w:rFonts w:hint="default" w:ascii="Times New Roman" w:hAnsi="Times New Roman" w:eastAsia="仿宋" w:cs="Times New Roman"/>
                <w:color w:val="auto"/>
                <w:kern w:val="0"/>
                <w:sz w:val="24"/>
                <w:szCs w:val="24"/>
                <w:lang w:val="en-US" w:eastAsia="zh-CN" w:bidi="ar"/>
              </w:rPr>
              <w:t xml:space="preserve"> 临近交割月份套期保值持仓额度使用时间为交割月前一个月第16个日历日至合约最后交易日。</w:t>
            </w:r>
          </w:p>
        </w:tc>
        <w:tc>
          <w:tcPr>
            <w:tcW w:w="41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360" w:lineRule="auto"/>
              <w:ind w:left="0" w:firstLine="481" w:firstLineChars="200"/>
              <w:jc w:val="both"/>
              <w:rPr>
                <w:rFonts w:hint="default" w:ascii="Times New Roman" w:hAnsi="Times New Roman" w:eastAsia="仿宋" w:cs="Times New Roman"/>
                <w:b/>
                <w:bCs/>
                <w:color w:val="auto"/>
                <w:kern w:val="0"/>
                <w:sz w:val="24"/>
                <w:szCs w:val="24"/>
                <w:lang w:val="en-US" w:eastAsia="zh-CN" w:bidi="ar"/>
              </w:rPr>
            </w:pPr>
            <w:r>
              <w:rPr>
                <w:rFonts w:hint="default" w:ascii="Times New Roman" w:hAnsi="Times New Roman" w:eastAsia="仿宋" w:cs="Times New Roman"/>
                <w:b/>
                <w:bCs/>
                <w:color w:val="auto"/>
                <w:kern w:val="0"/>
                <w:sz w:val="24"/>
                <w:szCs w:val="24"/>
                <w:lang w:val="en-US" w:eastAsia="zh-CN" w:bidi="ar"/>
              </w:rPr>
              <w:t>第十六条</w:t>
            </w:r>
            <w:r>
              <w:rPr>
                <w:rFonts w:hint="default" w:ascii="Times New Roman" w:hAnsi="Times New Roman" w:eastAsia="仿宋" w:cs="Times New Roman"/>
                <w:color w:val="auto"/>
                <w:kern w:val="0"/>
                <w:sz w:val="24"/>
                <w:szCs w:val="24"/>
                <w:lang w:val="en-US" w:eastAsia="zh-CN" w:bidi="ar"/>
              </w:rPr>
              <w:t xml:space="preserve"> 临近交割月份套期保值持仓额度使用时间为交割月前一个月</w:t>
            </w:r>
            <w:r>
              <w:rPr>
                <w:rFonts w:hint="default" w:ascii="Times New Roman" w:hAnsi="Times New Roman" w:eastAsia="仿宋" w:cs="Times New Roman"/>
                <w:strike w:val="0"/>
                <w:dstrike w:val="0"/>
                <w:color w:val="auto"/>
                <w:kern w:val="0"/>
                <w:sz w:val="24"/>
                <w:szCs w:val="24"/>
                <w:lang w:val="en-US" w:eastAsia="zh-CN" w:bidi="ar"/>
              </w:rPr>
              <w:t>第</w:t>
            </w:r>
            <w:r>
              <w:rPr>
                <w:rFonts w:hint="default" w:ascii="Times New Roman" w:hAnsi="Times New Roman" w:eastAsia="仿宋" w:cs="Times New Roman"/>
                <w:strike/>
                <w:dstrike w:val="0"/>
                <w:color w:val="auto"/>
                <w:kern w:val="0"/>
                <w:sz w:val="24"/>
                <w:szCs w:val="24"/>
                <w:lang w:val="en-US" w:eastAsia="zh-CN" w:bidi="ar"/>
              </w:rPr>
              <w:t>16个日历日</w:t>
            </w:r>
            <w:r>
              <w:rPr>
                <w:rFonts w:hint="default" w:ascii="Times New Roman" w:hAnsi="Times New Roman" w:eastAsia="仿宋" w:cs="Times New Roman"/>
                <w:b/>
                <w:bCs/>
                <w:strike w:val="0"/>
                <w:dstrike w:val="0"/>
                <w:color w:val="auto"/>
                <w:kern w:val="0"/>
                <w:sz w:val="24"/>
                <w:szCs w:val="24"/>
                <w:u w:val="single"/>
                <w:lang w:val="en-US" w:eastAsia="zh-CN" w:bidi="ar"/>
              </w:rPr>
              <w:t>15个交易日</w:t>
            </w:r>
            <w:r>
              <w:rPr>
                <w:rFonts w:hint="default" w:ascii="Times New Roman" w:hAnsi="Times New Roman" w:eastAsia="仿宋" w:cs="Times New Roman"/>
                <w:color w:val="auto"/>
                <w:kern w:val="0"/>
                <w:sz w:val="24"/>
                <w:szCs w:val="24"/>
                <w:lang w:val="en-US" w:eastAsia="zh-CN" w:bidi="ar"/>
              </w:rPr>
              <w:t>至合约最后交易日。</w:t>
            </w:r>
          </w:p>
        </w:tc>
      </w:tr>
    </w:tbl>
    <w:p>
      <w:pPr>
        <w:tabs>
          <w:tab w:val="left" w:pos="717"/>
        </w:tabs>
        <w:bidi w:val="0"/>
        <w:jc w:val="left"/>
        <w:rPr>
          <w:rFonts w:hint="eastAsia"/>
          <w:lang w:val="en-US" w:eastAsia="zh-CN"/>
        </w:rPr>
      </w:pPr>
    </w:p>
    <w:p>
      <w:pPr>
        <w:rPr>
          <w:rFonts w:hint="eastAsia" w:ascii="黑体" w:hAnsi="黑体" w:eastAsia="黑体" w:cs="黑体"/>
          <w:sz w:val="32"/>
          <w:szCs w:val="32"/>
          <w:lang w:val="en-US" w:eastAsia="zh-CN"/>
        </w:rPr>
        <w:sectPr>
          <w:pgSz w:w="11906" w:h="16838"/>
          <w:pgMar w:top="1440" w:right="1800" w:bottom="1440" w:left="1800" w:header="720" w:footer="720" w:gutter="0"/>
          <w:pgNumType w:fmt="decimal"/>
          <w:cols w:space="720" w:num="1"/>
          <w:docGrid w:type="lines" w:linePitch="312" w:charSpace="0"/>
        </w:sectPr>
      </w:pPr>
    </w:p>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附件6</w:t>
      </w:r>
    </w:p>
    <w:p>
      <w:pPr>
        <w:keepNext w:val="0"/>
        <w:keepLines w:val="0"/>
        <w:pageBreakBefore w:val="0"/>
        <w:widowControl/>
        <w:kinsoku/>
        <w:wordWrap/>
        <w:overflowPunct/>
        <w:topLinePunct/>
        <w:autoSpaceDE/>
        <w:autoSpaceDN/>
        <w:bidi w:val="0"/>
        <w:adjustRightInd w:val="0"/>
        <w:snapToGrid w:val="0"/>
        <w:spacing w:before="100" w:beforeLines="100" w:after="100" w:afterLines="100" w:line="240" w:lineRule="auto"/>
        <w:ind w:left="0" w:leftChars="0"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0" w:name="_Toc5441"/>
      <w:bookmarkStart w:id="1" w:name="_Toc27569"/>
      <w:r>
        <w:rPr>
          <w:rFonts w:hint="eastAsia" w:ascii="宋体" w:hAnsi="宋体" w:eastAsia="宋体" w:cs="宋体"/>
          <w:b/>
          <w:kern w:val="44"/>
          <w:sz w:val="36"/>
          <w:szCs w:val="36"/>
          <w:highlight w:val="none"/>
          <w:lang w:val="en-US" w:eastAsia="zh-CN" w:bidi="ar-SA"/>
        </w:rPr>
        <w:t>郑州商品交易所套期保值管理办法</w:t>
      </w:r>
      <w:bookmarkEnd w:id="0"/>
      <w:bookmarkEnd w:id="1"/>
    </w:p>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日郑州商品交易所第九届理事会第六次会议审议通过，第十四条新增第三款自发布之日起实施；其他修订适用于发布之日起新挂牌的期货合约及其对应的期权合约，自首个新挂牌期货合约挂牌之日起实施）</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contextualSpacing/>
        <w:jc w:val="both"/>
        <w:textAlignment w:val="auto"/>
        <w:rPr>
          <w:rFonts w:hint="eastAsia" w:ascii="宋体" w:hAnsi="宋体" w:eastAsia="宋体" w:cs="宋体"/>
          <w:kern w:val="0"/>
          <w:sz w:val="21"/>
          <w:szCs w:val="21"/>
          <w:highlight w:val="none"/>
        </w:rPr>
      </w:pPr>
    </w:p>
    <w:p>
      <w:pPr>
        <w:keepNext w:val="0"/>
        <w:keepLines w:val="0"/>
        <w:pageBreakBefore w:val="0"/>
        <w:widowControl/>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 w:name="_Toc12841"/>
      <w:r>
        <w:rPr>
          <w:rFonts w:hint="eastAsia" w:ascii="宋体" w:hAnsi="宋体" w:eastAsia="宋体" w:cs="宋体"/>
          <w:b/>
          <w:kern w:val="44"/>
          <w:sz w:val="32"/>
          <w:szCs w:val="24"/>
          <w:highlight w:val="none"/>
          <w:lang w:val="en-US" w:eastAsia="zh-CN" w:bidi="ar-SA"/>
        </w:rPr>
        <w:t>第一章 总则</w:t>
      </w:r>
      <w:bookmarkEnd w:id="2"/>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 xml:space="preserve">第一条 </w:t>
      </w:r>
      <w:r>
        <w:rPr>
          <w:rFonts w:hint="eastAsia" w:ascii="宋体" w:hAnsi="宋体" w:eastAsia="宋体" w:cs="宋体"/>
          <w:kern w:val="0"/>
          <w:sz w:val="24"/>
          <w:highlight w:val="none"/>
        </w:rPr>
        <w:t>为了促进套期保值业务规范发展，充分发挥套期保值功能，根据《郑州商品交易所交易规则》等有关规定，制定本办法。</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 xml:space="preserve">第二条 </w:t>
      </w:r>
      <w:r>
        <w:rPr>
          <w:rFonts w:hint="eastAsia" w:ascii="宋体" w:hAnsi="宋体" w:eastAsia="宋体" w:cs="宋体"/>
          <w:kern w:val="0"/>
          <w:sz w:val="24"/>
          <w:highlight w:val="none"/>
        </w:rPr>
        <w:t>郑州商品交易所（以下简称交易所）套期保值持仓实行额度管理制度。</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按套期保值持仓额度使用阶段，套期保值持仓额度分为一般月份套期保值持仓额度和临近交割月份套期保值持仓额度。</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按套期保值持仓额度申请和使用方向，套期保值持仓额度分为买入套期保值持仓额度和卖出套期保值持仓额度。买入套期保值持仓额度可以用于建立期货合约买方向、看涨期权合约买方向、看跌期权合约卖方向的套期保值持仓；卖出套期保值持仓额度可以用于建立期货合约卖方向、看涨期权合约卖方向、看跌期权合约买方向的套期保值持仓。</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第三条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在办理套期保值业务时，委托期货公司会员从事期货交易的客户，应当委托期货公司会员办理。委托境外特殊经纪参与者从事期货交易的客户，应当委托境外特殊经纪参与者办理。委托境外</w:t>
      </w:r>
      <w:r>
        <w:rPr>
          <w:rFonts w:hint="eastAsia" w:ascii="宋体" w:hAnsi="宋体" w:eastAsia="宋体" w:cs="宋体"/>
          <w:kern w:val="0"/>
          <w:sz w:val="24"/>
          <w:highlight w:val="none"/>
          <w:lang w:eastAsia="zh-CN"/>
        </w:rPr>
        <w:t>中介</w:t>
      </w:r>
      <w:r>
        <w:rPr>
          <w:rFonts w:hint="eastAsia" w:ascii="宋体" w:hAnsi="宋体" w:eastAsia="宋体" w:cs="宋体"/>
          <w:kern w:val="0"/>
          <w:sz w:val="24"/>
          <w:highlight w:val="none"/>
        </w:rPr>
        <w:t>机构从事期货交易的客户，应当委托境外</w:t>
      </w:r>
      <w:r>
        <w:rPr>
          <w:rFonts w:hint="eastAsia" w:ascii="宋体" w:hAnsi="宋体" w:eastAsia="宋体" w:cs="宋体"/>
          <w:kern w:val="0"/>
          <w:sz w:val="24"/>
          <w:highlight w:val="none"/>
          <w:lang w:eastAsia="zh-CN"/>
        </w:rPr>
        <w:t>中介</w:t>
      </w:r>
      <w:r>
        <w:rPr>
          <w:rFonts w:hint="eastAsia" w:ascii="宋体" w:hAnsi="宋体" w:eastAsia="宋体" w:cs="宋体"/>
          <w:kern w:val="0"/>
          <w:sz w:val="24"/>
          <w:highlight w:val="none"/>
        </w:rPr>
        <w:t>机构办理，境外</w:t>
      </w:r>
      <w:r>
        <w:rPr>
          <w:rFonts w:hint="eastAsia" w:ascii="宋体" w:hAnsi="宋体" w:eastAsia="宋体" w:cs="宋体"/>
          <w:kern w:val="0"/>
          <w:sz w:val="24"/>
          <w:highlight w:val="none"/>
          <w:lang w:eastAsia="zh-CN"/>
        </w:rPr>
        <w:t>中介</w:t>
      </w:r>
      <w:r>
        <w:rPr>
          <w:rFonts w:hint="eastAsia" w:ascii="宋体" w:hAnsi="宋体" w:eastAsia="宋体" w:cs="宋体"/>
          <w:kern w:val="0"/>
          <w:sz w:val="24"/>
          <w:highlight w:val="none"/>
        </w:rPr>
        <w:t>机构再委托期货公司会员</w:t>
      </w:r>
      <w:r>
        <w:rPr>
          <w:rFonts w:hint="eastAsia" w:ascii="宋体" w:hAnsi="宋体" w:eastAsia="宋体" w:cs="宋体"/>
          <w:kern w:val="0"/>
          <w:sz w:val="24"/>
          <w:highlight w:val="none"/>
          <w:lang w:eastAsia="zh-CN"/>
        </w:rPr>
        <w:t>或境外特殊经纪参与者</w:t>
      </w:r>
      <w:r>
        <w:rPr>
          <w:rFonts w:hint="eastAsia" w:ascii="宋体" w:hAnsi="宋体" w:eastAsia="宋体" w:cs="宋体"/>
          <w:kern w:val="0"/>
          <w:sz w:val="24"/>
          <w:highlight w:val="none"/>
        </w:rPr>
        <w:t>办理。非期货公司会员和境外特殊非经纪参与者直接向交易所办理申报手续。</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期货公司会员或境外特殊经纪参与者对客户的申报进行审核后，按本办法向交易所办理申报手续，并完整保存客户的套期保值申请材料，以备交易所抽查。非期货公司会员、境外特殊非经纪参与者的套期保值申请材料应当</w:t>
      </w:r>
      <w:r>
        <w:rPr>
          <w:rFonts w:hint="eastAsia" w:ascii="宋体" w:hAnsi="宋体" w:eastAsia="宋体" w:cs="宋体"/>
          <w:kern w:val="0"/>
          <w:sz w:val="24"/>
          <w:highlight w:val="none"/>
          <w:lang w:eastAsia="zh-CN"/>
        </w:rPr>
        <w:t>自行</w:t>
      </w:r>
      <w:r>
        <w:rPr>
          <w:rFonts w:hint="eastAsia" w:ascii="宋体" w:hAnsi="宋体" w:eastAsia="宋体" w:cs="宋体"/>
          <w:kern w:val="0"/>
          <w:sz w:val="24"/>
          <w:highlight w:val="none"/>
        </w:rPr>
        <w:t>保存完整，以备交易所抽查。</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第四条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申请套期保值持仓额度的非期货公司会员、境外特殊非经纪参与者或者客户应当是具备与申请品种相关的经营资格的企业或为相关现货企业提供风险管理服务的经营机构。</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 xml:space="preserve">第五条 </w:t>
      </w:r>
      <w:r>
        <w:rPr>
          <w:rFonts w:hint="eastAsia" w:ascii="宋体" w:hAnsi="宋体" w:eastAsia="宋体" w:cs="宋体"/>
          <w:kern w:val="0"/>
          <w:sz w:val="24"/>
          <w:highlight w:val="none"/>
        </w:rPr>
        <w:t>会员、境外特殊参与者、境外</w:t>
      </w:r>
      <w:r>
        <w:rPr>
          <w:rFonts w:hint="eastAsia" w:ascii="宋体" w:hAnsi="宋体" w:eastAsia="宋体" w:cs="宋体"/>
          <w:kern w:val="0"/>
          <w:sz w:val="24"/>
          <w:highlight w:val="none"/>
          <w:lang w:eastAsia="zh-CN"/>
        </w:rPr>
        <w:t>中介</w:t>
      </w:r>
      <w:r>
        <w:rPr>
          <w:rFonts w:hint="eastAsia" w:ascii="宋体" w:hAnsi="宋体" w:eastAsia="宋体" w:cs="宋体"/>
          <w:kern w:val="0"/>
          <w:sz w:val="24"/>
          <w:highlight w:val="none"/>
        </w:rPr>
        <w:t>机构和客户在交易所从事套期保值业务，应当遵守本办法。</w:t>
      </w:r>
    </w:p>
    <w:p>
      <w:pPr>
        <w:keepNext w:val="0"/>
        <w:keepLines w:val="0"/>
        <w:pageBreakBefore w:val="0"/>
        <w:widowControl/>
        <w:kinsoku/>
        <w:wordWrap/>
        <w:overflowPunct/>
        <w:topLinePunct/>
        <w:autoSpaceDE/>
        <w:autoSpaceDN/>
        <w:bidi w:val="0"/>
        <w:adjustRightInd w:val="0"/>
        <w:snapToGrid w:val="0"/>
        <w:spacing w:before="157" w:beforeLines="50" w:after="157" w:afterLines="5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3" w:name="_Toc13146"/>
      <w:r>
        <w:rPr>
          <w:rFonts w:hint="eastAsia" w:ascii="宋体" w:hAnsi="宋体" w:eastAsia="宋体" w:cs="宋体"/>
          <w:b/>
          <w:kern w:val="44"/>
          <w:sz w:val="32"/>
          <w:szCs w:val="24"/>
          <w:highlight w:val="none"/>
          <w:lang w:val="en-US" w:eastAsia="zh-CN" w:bidi="ar-SA"/>
        </w:rPr>
        <w:t>第二章 一般月份套期保值持仓额度的申请与审核</w:t>
      </w:r>
      <w:bookmarkEnd w:id="3"/>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第六条</w:t>
      </w:r>
      <w:r>
        <w:rPr>
          <w:rFonts w:hint="eastAsia" w:ascii="宋体" w:hAnsi="宋体" w:eastAsia="宋体" w:cs="宋体"/>
          <w:kern w:val="0"/>
          <w:sz w:val="24"/>
          <w:highlight w:val="none"/>
        </w:rPr>
        <w:t xml:space="preserve"> 一般月份套期保值持仓额度申请方式分为按合约申请和按品种申请。非期货公司会员、境外特殊非经纪参与者或者客户按合约方式申请一般月份套期保值持仓额度的，获批额度只能用于对应合约；非期货公司会员、境外特殊非经纪参与者或者客户按品种方式申请一般月份套期保值持仓额度的，获批额度可以用于该品种已挂牌的所有合约。</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适用按品种方式申请一般月份套期保值持仓额度的具体品种由交易所另行通知，其他品种适用按合约方式申请一般月份套期保值持仓额度。交易所可以根据市场情况，调整品种适用的一般月份套期保值持仓额度申请方式、使用时间及获批额度。</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 xml:space="preserve">第七条 </w:t>
      </w:r>
      <w:r>
        <w:rPr>
          <w:rFonts w:hint="eastAsia" w:ascii="宋体" w:hAnsi="宋体" w:eastAsia="宋体" w:cs="宋体"/>
          <w:kern w:val="0"/>
          <w:sz w:val="24"/>
          <w:highlight w:val="none"/>
        </w:rPr>
        <w:t>申请一般月份套期保值持仓额度的非期货公司会员、境外特殊非经纪参与者或者客户，应当填写《郑州商品交易所一般月份套期保值持仓额度申请表》，并向交易所提交下列材料：</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（一）企业营业执照副本或者公司注册证书等能够证明经营范围的文件；</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（二）申请品种上一年度现货经营规模；</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（三）申请品种当年或者套期保值期间的现货经营计划；</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（四）企业套期保值交易方案；</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（五）交易所要求的其他材料。</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第八条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szCs w:val="24"/>
          <w:highlight w:val="none"/>
          <w:lang w:val="en-US" w:eastAsia="zh-CN"/>
        </w:rPr>
        <w:t>按合约方式申请一般月份套期保值持仓额度的，应当在套期保值期货合约挂牌至交割月前一个月的第9个交易日之间提出，逾期交易所不再受理该合约套期保值持仓额度的申请。</w:t>
      </w:r>
      <w:r>
        <w:rPr>
          <w:rFonts w:hint="eastAsia" w:ascii="宋体" w:hAnsi="宋体" w:eastAsia="宋体" w:cs="宋体"/>
          <w:kern w:val="0"/>
          <w:sz w:val="24"/>
          <w:highlight w:val="none"/>
        </w:rPr>
        <w:t>非期货公司会员、境外特殊非经纪参与者或者客户可以一次申请多个合约的一般月份套期保值持仓额度。</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第九条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按品种方式申请一般月份套期保值持仓额度的，在全年的任一交易日均可提出，获批额度自获批之日至申请之日下一年度6月30日之间的交易日生效。获批一般月份套期保值持仓额度的非期货公司会员、境外特殊非经纪参与者或者客户，在该品种已挂牌的所有合约获得数量相等的一般月份套期保值持仓额度。</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第十条</w:t>
      </w:r>
      <w:r>
        <w:rPr>
          <w:rFonts w:hint="eastAsia" w:ascii="宋体" w:hAnsi="宋体" w:eastAsia="宋体" w:cs="宋体"/>
          <w:kern w:val="0"/>
          <w:sz w:val="24"/>
          <w:highlight w:val="none"/>
        </w:rPr>
        <w:t xml:space="preserve"> 按合约方式申请一般月份套期保值持仓额度的，交易所按非期货公司会员、境外特殊非经纪参与者或者客户的主体资格是否符合、现货经营状况、套期保值申请品种、持仓方向、持仓数量以及历史违规情况等因素，确定其一般月份套期保值持仓额度。</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按品种方式申请一般月份套期保值持仓额度的，交易所按非期货公司会员、境外特殊非经纪参与者或者客户的主体资格是否符合、现货经营状况以及历史违规情况等因素，确定其一般月份套期保值持仓额度。</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 xml:space="preserve">第十一条 </w:t>
      </w:r>
      <w:r>
        <w:rPr>
          <w:rFonts w:hint="eastAsia" w:ascii="宋体" w:hAnsi="宋体" w:eastAsia="宋体" w:cs="宋体"/>
          <w:kern w:val="0"/>
          <w:sz w:val="24"/>
          <w:highlight w:val="none"/>
        </w:rPr>
        <w:t>交易所收到完整的套期保值申请材料后5个交易日内进行审核并予以答复。</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 xml:space="preserve">第十二条 </w:t>
      </w:r>
      <w:r>
        <w:rPr>
          <w:rFonts w:hint="eastAsia" w:ascii="宋体" w:hAnsi="宋体" w:eastAsia="宋体" w:cs="宋体"/>
          <w:kern w:val="0"/>
          <w:sz w:val="24"/>
          <w:highlight w:val="none"/>
          <w:lang w:val="en-US" w:eastAsia="zh-CN"/>
        </w:rPr>
        <w:t>一般月份套期保值持仓额度使用时间为期货合约挂牌至交割月前一个月第14个交易日。交割月前一个月第15个交易日至交割月前一个月最后一个交易日，非期货公司会员、境外特殊非经纪参与者或者客户一般月份套期保值持仓额度可以按规定数额自动转化为该阶段的套期保值持仓额度，具体实施品种、实施时间及转化数额由交易所另行通知。</w:t>
      </w:r>
    </w:p>
    <w:p>
      <w:pPr>
        <w:keepNext w:val="0"/>
        <w:keepLines w:val="0"/>
        <w:pageBreakBefore w:val="0"/>
        <w:widowControl/>
        <w:kinsoku/>
        <w:wordWrap/>
        <w:overflowPunct/>
        <w:topLinePunct/>
        <w:autoSpaceDE/>
        <w:autoSpaceDN/>
        <w:bidi w:val="0"/>
        <w:adjustRightInd w:val="0"/>
        <w:snapToGrid w:val="0"/>
        <w:spacing w:before="157" w:beforeLines="50" w:after="157" w:afterLines="5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4" w:name="_Toc20475"/>
      <w:r>
        <w:rPr>
          <w:rFonts w:hint="eastAsia" w:ascii="宋体" w:hAnsi="宋体" w:eastAsia="宋体" w:cs="宋体"/>
          <w:b/>
          <w:kern w:val="44"/>
          <w:sz w:val="32"/>
          <w:szCs w:val="24"/>
          <w:highlight w:val="none"/>
          <w:lang w:val="en-US" w:eastAsia="zh-CN" w:bidi="ar-SA"/>
        </w:rPr>
        <w:t>第三章 临近交割月份套期保值持仓额度的申请与审核</w:t>
      </w:r>
      <w:bookmarkEnd w:id="4"/>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 xml:space="preserve">第十三条 </w:t>
      </w:r>
      <w:r>
        <w:rPr>
          <w:rFonts w:hint="eastAsia" w:ascii="宋体" w:hAnsi="宋体" w:eastAsia="宋体" w:cs="宋体"/>
          <w:kern w:val="0"/>
          <w:sz w:val="24"/>
          <w:highlight w:val="none"/>
        </w:rPr>
        <w:t>申请临近交割月份套期保值持仓额度的非期货公司会员、境外特殊非经纪参与者或者客户，应当填写《郑州商品交易所临近交割月份套期保值持仓额度申请表》，并向交易所提交下列材料：</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（一）企业营业执照副本或者公司注册证书等能够证明经营范围的文件；</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（二）申请品种上一年度现货经营规模；</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（三）证明临近交割月份套期保值交易需求真实性的相关材料，如当年或者套期保值期间的现货经营计划、加工订单、购销合同、发票、仓单、库存证明、拥有实物的其他证明等；</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（四）企业套期保值交易方案；</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（五）交易所要求的其他材料。</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b/>
          <w:bCs/>
          <w:kern w:val="0"/>
          <w:sz w:val="24"/>
          <w:szCs w:val="24"/>
          <w:highlight w:val="none"/>
        </w:rPr>
        <w:t>第十四条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szCs w:val="24"/>
          <w:highlight w:val="none"/>
          <w:lang w:val="en-US" w:eastAsia="zh-CN"/>
        </w:rPr>
        <w:t>临近交割月份套期保值持仓额度的申请应当在套期保值期货合约交割月前二个月第1个交易日至交割月前一个月第16个交易日之间提出，逾期交易所不再受理该合约套期保值持仓额度的申请。</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交易所对临近交割月份套期保值持仓额度申请分两次集中审核并予以答复。第一次在交割月前一个月第6个交易日后的5个交易日内集中审核，第二次在申请截止日后的5个交易日内集中审核。</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交易所可以根据情况调整临近交割月份套期保值持仓额度的申请和审核时间，并向市场公布。</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第十五条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对临近交割月份套期保值持仓额度申请，交易所按非期货公司会员、境外特殊非经纪参与者或者客户的主体资格是否符合、现货经营状况、套期保值申请品种、持仓方向和数量、历史违规情况、历史套期保值持仓额度使用情况、对应期货及期权合约整体持仓情况、可供交割商品的数量以及期现价格是否背离等因素，确定其临近交割月份套期保值持仓额度。</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全年各合约月份临近交割月份套期保值持仓额度累计不超过其当年生产能力、当年生产计划或者上一年度该商品经营数量。</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第十六条</w:t>
      </w:r>
      <w:r>
        <w:rPr>
          <w:rFonts w:hint="eastAsia" w:ascii="宋体" w:hAnsi="宋体" w:eastAsia="宋体" w:cs="宋体"/>
          <w:b/>
          <w:bCs/>
          <w:kern w:val="0"/>
          <w:sz w:val="24"/>
          <w:highlight w:val="none"/>
        </w:rPr>
        <w:t xml:space="preserve"> </w:t>
      </w:r>
      <w:r>
        <w:rPr>
          <w:rFonts w:hint="eastAsia" w:ascii="宋体" w:hAnsi="宋体" w:eastAsia="宋体" w:cs="宋体"/>
          <w:kern w:val="0"/>
          <w:sz w:val="24"/>
          <w:highlight w:val="none"/>
        </w:rPr>
        <w:t>临近交割月份套期保值持仓额度使用时间为交割月前一个月第15个交易日至合约最后交易日。</w:t>
      </w:r>
    </w:p>
    <w:p>
      <w:pPr>
        <w:keepNext w:val="0"/>
        <w:keepLines w:val="0"/>
        <w:pageBreakBefore w:val="0"/>
        <w:widowControl/>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5" w:name="_Toc25003"/>
      <w:r>
        <w:rPr>
          <w:rFonts w:hint="eastAsia" w:ascii="宋体" w:hAnsi="宋体" w:eastAsia="宋体" w:cs="宋体"/>
          <w:b/>
          <w:kern w:val="44"/>
          <w:sz w:val="32"/>
          <w:szCs w:val="24"/>
          <w:highlight w:val="none"/>
          <w:lang w:val="en-US" w:eastAsia="zh-CN" w:bidi="ar-SA"/>
        </w:rPr>
        <w:t>第四章 套期保值交易</w:t>
      </w:r>
      <w:bookmarkEnd w:id="5"/>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第十七条</w:t>
      </w:r>
      <w:r>
        <w:rPr>
          <w:rFonts w:hint="eastAsia" w:ascii="宋体" w:hAnsi="宋体" w:eastAsia="宋体" w:cs="宋体"/>
          <w:kern w:val="0"/>
          <w:sz w:val="24"/>
          <w:highlight w:val="none"/>
        </w:rPr>
        <w:t xml:space="preserve"> 获批套期保值持仓额度的非期货公司会员、境外特殊非经纪参与者或者客户，可通过交易指令直接建立套期保值持仓，也可通过对历史持仓确认的方式建立套期保值持仓。</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第十八条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按品种方式申请并获批一般月份套期保值持仓额度的非期货公司会员、境外特殊非经纪参与者或者客户，套期保值持仓和投机持仓合计不得超过交易所规定的限额，具体限额由交易所另行通知，其中套期保值持仓不得超过获批的套期保值持仓额度，投机持仓不得超过相应投机持仓限仓标准。</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第十九条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非期货公司会员、境外特殊非经纪参与者或者客户进行套期保值交易时，任一交易日全年期货、期权合约一般月份套期保值持仓合计不得超过其在该商品相应保值方向的年度经营量。</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第二十条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非期货公司会员、境外特殊非经纪参与者或者客户进行套期保值交易时，持仓超过交易所规定限额的，应当在下一交易日第一节交易结束前自行调整；逾期未进行调整或调整后仍不符合要求的，交易所可以采取谈话提醒、书面警示、调整或者取消其套期保值持仓额度、限制开仓、强行平仓等措施。</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第二十一条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期权行权时，期权套期保值持仓转化为相应的期货套期保值持仓。</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 xml:space="preserve">第二十二条 </w:t>
      </w:r>
      <w:r>
        <w:rPr>
          <w:rFonts w:hint="eastAsia" w:ascii="宋体" w:hAnsi="宋体" w:eastAsia="宋体" w:cs="宋体"/>
          <w:kern w:val="0"/>
          <w:sz w:val="24"/>
          <w:highlight w:val="none"/>
        </w:rPr>
        <w:t>套期保值持仓额度自交割月第一个交易日起（含该日）不得重复使用。</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第二十三条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交易所可以对套期保值交易的保证金、手续费采取优惠措施。</w:t>
      </w:r>
    </w:p>
    <w:p>
      <w:pPr>
        <w:keepNext w:val="0"/>
        <w:keepLines w:val="0"/>
        <w:pageBreakBefore w:val="0"/>
        <w:widowControl/>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6" w:name="_Toc183957266"/>
      <w:bookmarkStart w:id="7" w:name="_Toc18705"/>
      <w:bookmarkStart w:id="8" w:name="_Toc305139423"/>
      <w:bookmarkStart w:id="9" w:name="_Toc307150671"/>
      <w:bookmarkStart w:id="10" w:name="_Toc23891"/>
      <w:bookmarkStart w:id="11" w:name="_Toc305139253"/>
      <w:bookmarkStart w:id="12" w:name="_Toc394498367"/>
      <w:r>
        <w:rPr>
          <w:rFonts w:hint="eastAsia" w:ascii="宋体" w:hAnsi="宋体" w:eastAsia="宋体" w:cs="宋体"/>
          <w:b/>
          <w:kern w:val="44"/>
          <w:sz w:val="32"/>
          <w:szCs w:val="24"/>
          <w:highlight w:val="none"/>
          <w:lang w:val="en-US" w:eastAsia="zh-CN" w:bidi="ar-SA"/>
        </w:rPr>
        <w:t>第五章</w:t>
      </w:r>
      <w:bookmarkEnd w:id="6"/>
      <w:r>
        <w:rPr>
          <w:rFonts w:hint="eastAsia" w:ascii="宋体" w:hAnsi="宋体" w:eastAsia="宋体" w:cs="宋体"/>
          <w:b/>
          <w:kern w:val="44"/>
          <w:sz w:val="32"/>
          <w:szCs w:val="24"/>
          <w:highlight w:val="none"/>
          <w:lang w:val="en-US" w:eastAsia="zh-CN" w:bidi="ar-SA"/>
        </w:rPr>
        <w:t xml:space="preserve"> 套期保值监督与管理</w:t>
      </w:r>
      <w:bookmarkEnd w:id="7"/>
      <w:bookmarkEnd w:id="8"/>
      <w:bookmarkEnd w:id="9"/>
      <w:bookmarkEnd w:id="10"/>
      <w:bookmarkEnd w:id="11"/>
      <w:bookmarkEnd w:id="12"/>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 xml:space="preserve">第二十四条 </w:t>
      </w:r>
      <w:r>
        <w:rPr>
          <w:rFonts w:hint="eastAsia" w:ascii="宋体" w:hAnsi="宋体" w:eastAsia="宋体" w:cs="宋体"/>
          <w:kern w:val="0"/>
          <w:sz w:val="24"/>
          <w:highlight w:val="none"/>
        </w:rPr>
        <w:t>交易所对非期货公司会员、境外特殊非经纪参与者或者客户获批套期保值持仓额度的使用情况进行监督管理。</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第二十五条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交易所对非期货公司会员、境外特殊非经纪参与者或者客户提供的有关生产经营状况、资信情况及期货、期权、现货市场交易行为进行监督和调查，会员、境外特殊参与者及相关客户应予协助和配合。</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交易所可以要求获批套期保值持仓额度的非期货公司会员、境外特殊非经纪参与者或者客户报告现货、期货及期权交易情况，补充相关材料。</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第二十六条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非期货公司会员、境外特殊非经纪参与者或者客户在获批套期保值持仓额度期间，企业情况发生重大变化，可能对套期保值业务造成较大影响的，应当及时向交易所报告。交易所可以根据套期保值企业的经营状况，调整其套期保值持仓额度。</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第二十七条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当某品种现货市场发生重大变化或者期货合约交易行情特殊致使市场风险明显增大时，交易所可以调整部分或者全部非期货公司会员、境外特殊非经纪参与者或者客户的套期保值持仓额度。</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第二十八条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非期货公司会员、境外特殊非经纪参与者或者客户需要调整套期保值持仓额度时，应当及时向交易所提出变更申请。</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第二十九条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获批套期保值持仓额度的非期货公司会员、境外特殊非经纪参与者或者客户有下列情形之一的，交易所可以对其采取谈话提醒、书面警示、调整或者取消其套期保值持仓额度、限制开仓、限期平仓、强行平仓等措施。</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（一）利用套期保值额度频繁进行开平仓交易的；</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（二）临近交割月份交易行为不符合经济合理性，且无法说明正当理由的；</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（三）交易所认定的其他不符合套期保值目的的情形。</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第三十条</w:t>
      </w:r>
      <w:r>
        <w:rPr>
          <w:rFonts w:hint="eastAsia" w:ascii="宋体" w:hAnsi="宋体" w:eastAsia="宋体" w:cs="宋体"/>
          <w:b/>
          <w:bCs/>
          <w:kern w:val="0"/>
          <w:sz w:val="24"/>
          <w:highlight w:val="none"/>
        </w:rPr>
        <w:t xml:space="preserve"> </w:t>
      </w:r>
      <w:r>
        <w:rPr>
          <w:rFonts w:hint="eastAsia" w:ascii="宋体" w:hAnsi="宋体" w:eastAsia="宋体" w:cs="宋体"/>
          <w:kern w:val="0"/>
          <w:sz w:val="24"/>
          <w:highlight w:val="none"/>
        </w:rPr>
        <w:t>非期货公司会员、境外特殊非经纪参与者或者客户在进行套期保值申请或者交易时，存在提供虚假材料等欺诈行为、不如实申报实际控制关系、未按本办法履行报告义务或者其他违反交易所规定行为的，交易所可以对其采取谈话提醒、书面警示、不受理其套期保值申请、调整或者取消其套期保值持仓额度等措施，情节严重的，按照《郑州商品交易所违规处理办法》的有关规定处理。</w:t>
      </w:r>
    </w:p>
    <w:p>
      <w:pPr>
        <w:keepNext w:val="0"/>
        <w:keepLines w:val="0"/>
        <w:pageBreakBefore w:val="0"/>
        <w:widowControl/>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3" w:name="_Toc183958948"/>
      <w:bookmarkEnd w:id="13"/>
      <w:bookmarkStart w:id="14" w:name="_Toc227383793"/>
      <w:bookmarkEnd w:id="14"/>
      <w:bookmarkStart w:id="15" w:name="_Toc187548359"/>
      <w:bookmarkEnd w:id="15"/>
      <w:bookmarkStart w:id="16" w:name="_Toc183957267"/>
      <w:bookmarkStart w:id="17" w:name="_Toc394498368"/>
      <w:bookmarkStart w:id="18" w:name="_Toc305139254"/>
      <w:bookmarkStart w:id="19" w:name="_Toc305139424"/>
      <w:bookmarkStart w:id="20" w:name="_Toc25062"/>
      <w:bookmarkStart w:id="21" w:name="_Toc307150672"/>
      <w:bookmarkStart w:id="22" w:name="_Toc989"/>
      <w:r>
        <w:rPr>
          <w:rFonts w:hint="eastAsia" w:ascii="宋体" w:hAnsi="宋体" w:eastAsia="宋体" w:cs="宋体"/>
          <w:b/>
          <w:kern w:val="44"/>
          <w:sz w:val="32"/>
          <w:szCs w:val="24"/>
          <w:highlight w:val="none"/>
          <w:lang w:val="en-US" w:eastAsia="zh-CN" w:bidi="ar-SA"/>
        </w:rPr>
        <w:t>第六章 附</w:t>
      </w:r>
      <w:bookmarkEnd w:id="16"/>
      <w:r>
        <w:rPr>
          <w:rFonts w:hint="eastAsia" w:ascii="宋体" w:hAnsi="宋体" w:eastAsia="宋体" w:cs="宋体"/>
          <w:b/>
          <w:kern w:val="44"/>
          <w:sz w:val="32"/>
          <w:szCs w:val="24"/>
          <w:highlight w:val="none"/>
          <w:lang w:val="en-US" w:eastAsia="zh-CN" w:bidi="ar-SA"/>
        </w:rPr>
        <w:t xml:space="preserve"> 则</w:t>
      </w:r>
      <w:bookmarkEnd w:id="17"/>
      <w:bookmarkEnd w:id="18"/>
      <w:bookmarkEnd w:id="19"/>
      <w:bookmarkEnd w:id="20"/>
      <w:bookmarkEnd w:id="21"/>
      <w:bookmarkEnd w:id="22"/>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rPr>
        <w:t>第三十一条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本办法解释权属于郑州商品交易所。</w:t>
      </w:r>
    </w:p>
    <w:p>
      <w:pPr>
        <w:ind w:firstLine="481" w:firstLineChars="200"/>
        <w:rPr>
          <w:rFonts w:ascii="仿宋" w:hAnsi="仿宋" w:eastAsia="仿宋"/>
          <w:sz w:val="32"/>
        </w:rPr>
      </w:pPr>
      <w:r>
        <w:rPr>
          <w:rFonts w:hint="eastAsia" w:ascii="宋体" w:hAnsi="宋体" w:eastAsia="宋体" w:cs="宋体"/>
          <w:b/>
          <w:bCs/>
          <w:kern w:val="0"/>
          <w:sz w:val="24"/>
          <w:szCs w:val="24"/>
          <w:highlight w:val="none"/>
        </w:rPr>
        <w:t>第三十二条</w:t>
      </w:r>
      <w:r>
        <w:rPr>
          <w:rFonts w:hint="eastAsia" w:ascii="宋体" w:hAnsi="宋体" w:eastAsia="宋体" w:cs="宋体"/>
          <w:kern w:val="0"/>
          <w:sz w:val="24"/>
          <w:highlight w:val="none"/>
        </w:rPr>
        <w:t xml:space="preserve"> 本办法自</w:t>
      </w:r>
      <w:r>
        <w:rPr>
          <w:rFonts w:hint="eastAsia" w:ascii="宋体" w:hAnsi="宋体" w:eastAsia="宋体" w:cs="宋体"/>
          <w:kern w:val="0"/>
          <w:sz w:val="24"/>
          <w:highlight w:val="none"/>
          <w:lang w:val="en-US" w:eastAsia="zh-CN"/>
        </w:rPr>
        <w:t>2026</w:t>
      </w:r>
      <w:r>
        <w:rPr>
          <w:rFonts w:hint="eastAsia" w:ascii="宋体" w:hAnsi="宋体" w:eastAsia="宋体" w:cs="宋体"/>
          <w:kern w:val="0"/>
          <w:sz w:val="24"/>
          <w:highlight w:val="none"/>
        </w:rPr>
        <w:t>年</w:t>
      </w:r>
      <w:r>
        <w:rPr>
          <w:rFonts w:hint="eastAsia" w:ascii="宋体" w:hAnsi="宋体" w:eastAsia="宋体" w:cs="宋体"/>
          <w:kern w:val="0"/>
          <w:sz w:val="24"/>
          <w:highlight w:val="none"/>
          <w:lang w:val="en-US" w:eastAsia="zh-CN"/>
        </w:rPr>
        <w:t>11</w:t>
      </w:r>
      <w:r>
        <w:rPr>
          <w:rFonts w:hint="eastAsia" w:ascii="宋体" w:hAnsi="宋体" w:eastAsia="宋体" w:cs="宋体"/>
          <w:kern w:val="0"/>
          <w:sz w:val="24"/>
          <w:highlight w:val="none"/>
        </w:rPr>
        <w:t>月</w:t>
      </w:r>
      <w:r>
        <w:rPr>
          <w:rFonts w:hint="eastAsia" w:ascii="宋体" w:hAnsi="宋体" w:cs="宋体"/>
          <w:kern w:val="0"/>
          <w:sz w:val="24"/>
          <w:highlight w:val="none"/>
          <w:lang w:val="en-US" w:eastAsia="zh-CN"/>
        </w:rPr>
        <w:t>6</w:t>
      </w:r>
      <w:r>
        <w:rPr>
          <w:rFonts w:hint="eastAsia" w:ascii="宋体" w:hAnsi="宋体" w:eastAsia="宋体" w:cs="宋体"/>
          <w:kern w:val="0"/>
          <w:sz w:val="24"/>
          <w:highlight w:val="none"/>
        </w:rPr>
        <w:t>日起施行。</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Noto Sans CJK SC">
    <w:panose1 w:val="020B0500000000000000"/>
    <w:charset w:val="86"/>
    <w:family w:val="auto"/>
    <w:pitch w:val="default"/>
    <w:sig w:usb0="30000003" w:usb1="2BDF3C10" w:usb2="00000016" w:usb3="00000000" w:csb0="602E0107" w:csb1="00000000"/>
  </w:font>
  <w:font w:name="楷体">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00"/>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ordWrap w:val="0"/>
      <w:jc w:val="right"/>
      <w:rPr>
        <w:sz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sz w:val="28"/>
      </w:rPr>
    </w:pPr>
    <w:r>
      <w:rPr>
        <w:rFonts w:hint="eastAsia"/>
        <w:sz w:val="28"/>
      </w:rPr>
      <w:t>—</w:t>
    </w:r>
    <w:r>
      <w:rPr>
        <w:rStyle w:val="10"/>
        <w:sz w:val="28"/>
      </w:rPr>
      <w:fldChar w:fldCharType="begin"/>
    </w:r>
    <w:r>
      <w:rPr>
        <w:rStyle w:val="10"/>
        <w:sz w:val="28"/>
      </w:rPr>
      <w:instrText xml:space="preserve"> PAGE </w:instrText>
    </w:r>
    <w:r>
      <w:rPr>
        <w:rStyle w:val="10"/>
        <w:sz w:val="28"/>
      </w:rPr>
      <w:fldChar w:fldCharType="separate"/>
    </w:r>
    <w:r>
      <w:rPr>
        <w:rStyle w:val="10"/>
        <w:sz w:val="28"/>
      </w:rPr>
      <w:t>4</w:t>
    </w:r>
    <w:r>
      <w:rPr>
        <w:rStyle w:val="10"/>
        <w:sz w:val="28"/>
      </w:rPr>
      <w:fldChar w:fldCharType="end"/>
    </w:r>
    <w:r>
      <w:rPr>
        <w:rFonts w:hint="eastAsia"/>
        <w:sz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jc w:val="right"/>
      <w:rPr>
        <w:rFonts w:hint="eastAsia"/>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E8A"/>
    <w:rsid w:val="000001F5"/>
    <w:rsid w:val="000003DC"/>
    <w:rsid w:val="000014F8"/>
    <w:rsid w:val="00002A40"/>
    <w:rsid w:val="00002BEB"/>
    <w:rsid w:val="00002E26"/>
    <w:rsid w:val="00004296"/>
    <w:rsid w:val="00004C6F"/>
    <w:rsid w:val="00004EB1"/>
    <w:rsid w:val="00005702"/>
    <w:rsid w:val="000073AA"/>
    <w:rsid w:val="00010417"/>
    <w:rsid w:val="00011183"/>
    <w:rsid w:val="00012607"/>
    <w:rsid w:val="0001260C"/>
    <w:rsid w:val="00014A55"/>
    <w:rsid w:val="000169B4"/>
    <w:rsid w:val="0002049C"/>
    <w:rsid w:val="000242DE"/>
    <w:rsid w:val="0002676C"/>
    <w:rsid w:val="00026C87"/>
    <w:rsid w:val="00027299"/>
    <w:rsid w:val="00030567"/>
    <w:rsid w:val="000329D1"/>
    <w:rsid w:val="0003324C"/>
    <w:rsid w:val="00034F86"/>
    <w:rsid w:val="00036407"/>
    <w:rsid w:val="00044139"/>
    <w:rsid w:val="0005173D"/>
    <w:rsid w:val="0005205B"/>
    <w:rsid w:val="00052C5E"/>
    <w:rsid w:val="0005492E"/>
    <w:rsid w:val="00056C26"/>
    <w:rsid w:val="00060795"/>
    <w:rsid w:val="000608B0"/>
    <w:rsid w:val="000617CC"/>
    <w:rsid w:val="00061A4A"/>
    <w:rsid w:val="0006518A"/>
    <w:rsid w:val="0006663E"/>
    <w:rsid w:val="00067B6F"/>
    <w:rsid w:val="00067BE9"/>
    <w:rsid w:val="00074328"/>
    <w:rsid w:val="00074E4B"/>
    <w:rsid w:val="000754DD"/>
    <w:rsid w:val="00081302"/>
    <w:rsid w:val="000820C9"/>
    <w:rsid w:val="00082102"/>
    <w:rsid w:val="00082D2E"/>
    <w:rsid w:val="0008334C"/>
    <w:rsid w:val="0008416A"/>
    <w:rsid w:val="00085DE8"/>
    <w:rsid w:val="000900EC"/>
    <w:rsid w:val="000901D1"/>
    <w:rsid w:val="00094CFF"/>
    <w:rsid w:val="000967AC"/>
    <w:rsid w:val="00097D09"/>
    <w:rsid w:val="000A140C"/>
    <w:rsid w:val="000A5168"/>
    <w:rsid w:val="000A5A3D"/>
    <w:rsid w:val="000B1E3C"/>
    <w:rsid w:val="000B31FF"/>
    <w:rsid w:val="000B3E74"/>
    <w:rsid w:val="000B5091"/>
    <w:rsid w:val="000B5688"/>
    <w:rsid w:val="000B7916"/>
    <w:rsid w:val="000C172F"/>
    <w:rsid w:val="000C17CA"/>
    <w:rsid w:val="000C3315"/>
    <w:rsid w:val="000C356C"/>
    <w:rsid w:val="000C4C59"/>
    <w:rsid w:val="000C7636"/>
    <w:rsid w:val="000D0540"/>
    <w:rsid w:val="000D606B"/>
    <w:rsid w:val="000D7306"/>
    <w:rsid w:val="000D762C"/>
    <w:rsid w:val="000E0627"/>
    <w:rsid w:val="000E06FA"/>
    <w:rsid w:val="000E5475"/>
    <w:rsid w:val="000E76FB"/>
    <w:rsid w:val="000F23E7"/>
    <w:rsid w:val="000F29FC"/>
    <w:rsid w:val="000F2DBF"/>
    <w:rsid w:val="000F40AA"/>
    <w:rsid w:val="001033A4"/>
    <w:rsid w:val="001062DA"/>
    <w:rsid w:val="001065BE"/>
    <w:rsid w:val="00110A8C"/>
    <w:rsid w:val="00110E85"/>
    <w:rsid w:val="00110E86"/>
    <w:rsid w:val="001213D3"/>
    <w:rsid w:val="0012151D"/>
    <w:rsid w:val="001228B3"/>
    <w:rsid w:val="00124271"/>
    <w:rsid w:val="00125339"/>
    <w:rsid w:val="0012557A"/>
    <w:rsid w:val="001314E3"/>
    <w:rsid w:val="00133D3D"/>
    <w:rsid w:val="00134BCD"/>
    <w:rsid w:val="00134E02"/>
    <w:rsid w:val="001356A6"/>
    <w:rsid w:val="00136D74"/>
    <w:rsid w:val="00137D11"/>
    <w:rsid w:val="00140916"/>
    <w:rsid w:val="001409DF"/>
    <w:rsid w:val="001433B9"/>
    <w:rsid w:val="00143967"/>
    <w:rsid w:val="00143D92"/>
    <w:rsid w:val="001441F0"/>
    <w:rsid w:val="001441F8"/>
    <w:rsid w:val="001447A0"/>
    <w:rsid w:val="0014593B"/>
    <w:rsid w:val="0014676B"/>
    <w:rsid w:val="00147675"/>
    <w:rsid w:val="00151823"/>
    <w:rsid w:val="00153C74"/>
    <w:rsid w:val="00154105"/>
    <w:rsid w:val="00156318"/>
    <w:rsid w:val="00156457"/>
    <w:rsid w:val="00162E48"/>
    <w:rsid w:val="00163388"/>
    <w:rsid w:val="00163ECE"/>
    <w:rsid w:val="00164038"/>
    <w:rsid w:val="00164B62"/>
    <w:rsid w:val="00164F46"/>
    <w:rsid w:val="001706AC"/>
    <w:rsid w:val="00171E7C"/>
    <w:rsid w:val="00171F06"/>
    <w:rsid w:val="0017384B"/>
    <w:rsid w:val="00176367"/>
    <w:rsid w:val="00180471"/>
    <w:rsid w:val="00181992"/>
    <w:rsid w:val="00181DFD"/>
    <w:rsid w:val="0018239C"/>
    <w:rsid w:val="001861A4"/>
    <w:rsid w:val="001862D9"/>
    <w:rsid w:val="00190997"/>
    <w:rsid w:val="00191680"/>
    <w:rsid w:val="00192AD1"/>
    <w:rsid w:val="00194106"/>
    <w:rsid w:val="001A0003"/>
    <w:rsid w:val="001A0DA0"/>
    <w:rsid w:val="001A356C"/>
    <w:rsid w:val="001A52B1"/>
    <w:rsid w:val="001A7B8A"/>
    <w:rsid w:val="001B2208"/>
    <w:rsid w:val="001B3392"/>
    <w:rsid w:val="001B3B4A"/>
    <w:rsid w:val="001B616B"/>
    <w:rsid w:val="001B6997"/>
    <w:rsid w:val="001B6D33"/>
    <w:rsid w:val="001B6EF1"/>
    <w:rsid w:val="001C0D37"/>
    <w:rsid w:val="001C1EBD"/>
    <w:rsid w:val="001C2DA1"/>
    <w:rsid w:val="001C4BA8"/>
    <w:rsid w:val="001C4E7B"/>
    <w:rsid w:val="001C5CE6"/>
    <w:rsid w:val="001C7403"/>
    <w:rsid w:val="001D2C75"/>
    <w:rsid w:val="001D3188"/>
    <w:rsid w:val="001D33B7"/>
    <w:rsid w:val="001D6F9A"/>
    <w:rsid w:val="001E18EE"/>
    <w:rsid w:val="001E18F9"/>
    <w:rsid w:val="001E366C"/>
    <w:rsid w:val="001E4DE0"/>
    <w:rsid w:val="001E4FD8"/>
    <w:rsid w:val="001E66F0"/>
    <w:rsid w:val="001F04EB"/>
    <w:rsid w:val="001F261A"/>
    <w:rsid w:val="001F3D02"/>
    <w:rsid w:val="001F4C5C"/>
    <w:rsid w:val="001F52D8"/>
    <w:rsid w:val="001F5336"/>
    <w:rsid w:val="001F7336"/>
    <w:rsid w:val="001F7DEE"/>
    <w:rsid w:val="002027A7"/>
    <w:rsid w:val="002030EA"/>
    <w:rsid w:val="002064B3"/>
    <w:rsid w:val="0021318F"/>
    <w:rsid w:val="00213A1D"/>
    <w:rsid w:val="0021433B"/>
    <w:rsid w:val="00215DED"/>
    <w:rsid w:val="002203D1"/>
    <w:rsid w:val="002205AB"/>
    <w:rsid w:val="0022195F"/>
    <w:rsid w:val="0022333C"/>
    <w:rsid w:val="00223499"/>
    <w:rsid w:val="0022466A"/>
    <w:rsid w:val="002265F2"/>
    <w:rsid w:val="00227684"/>
    <w:rsid w:val="002308AD"/>
    <w:rsid w:val="00230BBB"/>
    <w:rsid w:val="0023113C"/>
    <w:rsid w:val="002339F9"/>
    <w:rsid w:val="00233A04"/>
    <w:rsid w:val="00233AA1"/>
    <w:rsid w:val="002342EC"/>
    <w:rsid w:val="00236543"/>
    <w:rsid w:val="00236A42"/>
    <w:rsid w:val="002373CA"/>
    <w:rsid w:val="00237510"/>
    <w:rsid w:val="002411B9"/>
    <w:rsid w:val="00241BA8"/>
    <w:rsid w:val="002425E4"/>
    <w:rsid w:val="00242C8C"/>
    <w:rsid w:val="00244C30"/>
    <w:rsid w:val="002465C0"/>
    <w:rsid w:val="00247137"/>
    <w:rsid w:val="00251A65"/>
    <w:rsid w:val="002520CF"/>
    <w:rsid w:val="0025352C"/>
    <w:rsid w:val="00253770"/>
    <w:rsid w:val="002548CD"/>
    <w:rsid w:val="00257D88"/>
    <w:rsid w:val="0026069B"/>
    <w:rsid w:val="002658FB"/>
    <w:rsid w:val="002669A1"/>
    <w:rsid w:val="00267DAA"/>
    <w:rsid w:val="00270700"/>
    <w:rsid w:val="00270AE1"/>
    <w:rsid w:val="002719A7"/>
    <w:rsid w:val="002735CC"/>
    <w:rsid w:val="0027432D"/>
    <w:rsid w:val="0028016B"/>
    <w:rsid w:val="00280F80"/>
    <w:rsid w:val="00281DBB"/>
    <w:rsid w:val="002829F2"/>
    <w:rsid w:val="0028462F"/>
    <w:rsid w:val="00286088"/>
    <w:rsid w:val="00287836"/>
    <w:rsid w:val="00287BED"/>
    <w:rsid w:val="00291BA0"/>
    <w:rsid w:val="00291DD3"/>
    <w:rsid w:val="00291E6A"/>
    <w:rsid w:val="002953EA"/>
    <w:rsid w:val="00295707"/>
    <w:rsid w:val="00297E3F"/>
    <w:rsid w:val="002A08CD"/>
    <w:rsid w:val="002A0A8F"/>
    <w:rsid w:val="002A2D8E"/>
    <w:rsid w:val="002A3208"/>
    <w:rsid w:val="002B18F5"/>
    <w:rsid w:val="002B1977"/>
    <w:rsid w:val="002B21D8"/>
    <w:rsid w:val="002B53B4"/>
    <w:rsid w:val="002B5E5D"/>
    <w:rsid w:val="002B79A7"/>
    <w:rsid w:val="002C067B"/>
    <w:rsid w:val="002C2288"/>
    <w:rsid w:val="002C2AD8"/>
    <w:rsid w:val="002C401D"/>
    <w:rsid w:val="002C49BB"/>
    <w:rsid w:val="002C545C"/>
    <w:rsid w:val="002C54DF"/>
    <w:rsid w:val="002C66E0"/>
    <w:rsid w:val="002D4C09"/>
    <w:rsid w:val="002D5C89"/>
    <w:rsid w:val="002D6773"/>
    <w:rsid w:val="002E1A35"/>
    <w:rsid w:val="002E25FB"/>
    <w:rsid w:val="002E3400"/>
    <w:rsid w:val="002E39C3"/>
    <w:rsid w:val="002E39F5"/>
    <w:rsid w:val="002E481D"/>
    <w:rsid w:val="002E7A81"/>
    <w:rsid w:val="002F1A51"/>
    <w:rsid w:val="002F4C97"/>
    <w:rsid w:val="002F5419"/>
    <w:rsid w:val="0030292D"/>
    <w:rsid w:val="00306EBE"/>
    <w:rsid w:val="0031001B"/>
    <w:rsid w:val="00312BA8"/>
    <w:rsid w:val="003149DA"/>
    <w:rsid w:val="00317E1B"/>
    <w:rsid w:val="00321B8F"/>
    <w:rsid w:val="00321C8E"/>
    <w:rsid w:val="003223F2"/>
    <w:rsid w:val="003226A6"/>
    <w:rsid w:val="003231B1"/>
    <w:rsid w:val="0032481B"/>
    <w:rsid w:val="003301BB"/>
    <w:rsid w:val="0033099F"/>
    <w:rsid w:val="003314C9"/>
    <w:rsid w:val="00333080"/>
    <w:rsid w:val="00336655"/>
    <w:rsid w:val="0033681A"/>
    <w:rsid w:val="00340820"/>
    <w:rsid w:val="00344236"/>
    <w:rsid w:val="00344F8F"/>
    <w:rsid w:val="003461AD"/>
    <w:rsid w:val="00347FB0"/>
    <w:rsid w:val="00350091"/>
    <w:rsid w:val="00352A3F"/>
    <w:rsid w:val="003561DD"/>
    <w:rsid w:val="003602CA"/>
    <w:rsid w:val="0036356D"/>
    <w:rsid w:val="00364976"/>
    <w:rsid w:val="00365F05"/>
    <w:rsid w:val="0037359E"/>
    <w:rsid w:val="0037586C"/>
    <w:rsid w:val="0037605A"/>
    <w:rsid w:val="00377265"/>
    <w:rsid w:val="003801B1"/>
    <w:rsid w:val="00382171"/>
    <w:rsid w:val="00382985"/>
    <w:rsid w:val="003849B5"/>
    <w:rsid w:val="00384FA8"/>
    <w:rsid w:val="00386551"/>
    <w:rsid w:val="00387FA7"/>
    <w:rsid w:val="00390ABB"/>
    <w:rsid w:val="003913E8"/>
    <w:rsid w:val="00392985"/>
    <w:rsid w:val="003930F1"/>
    <w:rsid w:val="0039314B"/>
    <w:rsid w:val="00393181"/>
    <w:rsid w:val="00395343"/>
    <w:rsid w:val="003967D5"/>
    <w:rsid w:val="003A107E"/>
    <w:rsid w:val="003A133D"/>
    <w:rsid w:val="003A7001"/>
    <w:rsid w:val="003A748A"/>
    <w:rsid w:val="003A7807"/>
    <w:rsid w:val="003A7D1E"/>
    <w:rsid w:val="003B01E2"/>
    <w:rsid w:val="003B51C1"/>
    <w:rsid w:val="003B7506"/>
    <w:rsid w:val="003B7561"/>
    <w:rsid w:val="003B75E3"/>
    <w:rsid w:val="003B75EE"/>
    <w:rsid w:val="003C051B"/>
    <w:rsid w:val="003C151A"/>
    <w:rsid w:val="003C1A4A"/>
    <w:rsid w:val="003C2638"/>
    <w:rsid w:val="003C3470"/>
    <w:rsid w:val="003C4245"/>
    <w:rsid w:val="003C5A99"/>
    <w:rsid w:val="003D0613"/>
    <w:rsid w:val="003D0967"/>
    <w:rsid w:val="003D19D2"/>
    <w:rsid w:val="003D556B"/>
    <w:rsid w:val="003D7F73"/>
    <w:rsid w:val="003E0362"/>
    <w:rsid w:val="003E1029"/>
    <w:rsid w:val="003E2FE4"/>
    <w:rsid w:val="003E4471"/>
    <w:rsid w:val="003E6C9F"/>
    <w:rsid w:val="003E73A5"/>
    <w:rsid w:val="003E7595"/>
    <w:rsid w:val="003E787F"/>
    <w:rsid w:val="003F01B2"/>
    <w:rsid w:val="003F0D09"/>
    <w:rsid w:val="003F4183"/>
    <w:rsid w:val="003F6309"/>
    <w:rsid w:val="003F6ED2"/>
    <w:rsid w:val="003F769A"/>
    <w:rsid w:val="003F7EF5"/>
    <w:rsid w:val="0040148C"/>
    <w:rsid w:val="004018D9"/>
    <w:rsid w:val="00403A9B"/>
    <w:rsid w:val="00404591"/>
    <w:rsid w:val="00405FD8"/>
    <w:rsid w:val="00406F84"/>
    <w:rsid w:val="00407062"/>
    <w:rsid w:val="00410188"/>
    <w:rsid w:val="00410991"/>
    <w:rsid w:val="00411DB1"/>
    <w:rsid w:val="004126B3"/>
    <w:rsid w:val="00416877"/>
    <w:rsid w:val="00420EDB"/>
    <w:rsid w:val="00423645"/>
    <w:rsid w:val="00423667"/>
    <w:rsid w:val="00425A35"/>
    <w:rsid w:val="004269A5"/>
    <w:rsid w:val="00426A35"/>
    <w:rsid w:val="0043178A"/>
    <w:rsid w:val="00433114"/>
    <w:rsid w:val="00433274"/>
    <w:rsid w:val="00433B15"/>
    <w:rsid w:val="004374B5"/>
    <w:rsid w:val="004408B1"/>
    <w:rsid w:val="00440D54"/>
    <w:rsid w:val="00440F13"/>
    <w:rsid w:val="004414FB"/>
    <w:rsid w:val="00442279"/>
    <w:rsid w:val="00444D7A"/>
    <w:rsid w:val="00446281"/>
    <w:rsid w:val="00446447"/>
    <w:rsid w:val="00446938"/>
    <w:rsid w:val="004473BE"/>
    <w:rsid w:val="0045364B"/>
    <w:rsid w:val="0046210E"/>
    <w:rsid w:val="00462A8C"/>
    <w:rsid w:val="00466AFC"/>
    <w:rsid w:val="00470443"/>
    <w:rsid w:val="00470D46"/>
    <w:rsid w:val="0047312A"/>
    <w:rsid w:val="00473ED2"/>
    <w:rsid w:val="00474229"/>
    <w:rsid w:val="00480E20"/>
    <w:rsid w:val="004821A8"/>
    <w:rsid w:val="004829A0"/>
    <w:rsid w:val="00484774"/>
    <w:rsid w:val="00485652"/>
    <w:rsid w:val="00486416"/>
    <w:rsid w:val="00490F3B"/>
    <w:rsid w:val="004921FC"/>
    <w:rsid w:val="00492DE1"/>
    <w:rsid w:val="0049421E"/>
    <w:rsid w:val="0049451D"/>
    <w:rsid w:val="00496FBD"/>
    <w:rsid w:val="00497FC8"/>
    <w:rsid w:val="004A089A"/>
    <w:rsid w:val="004A0F82"/>
    <w:rsid w:val="004A5508"/>
    <w:rsid w:val="004A59DC"/>
    <w:rsid w:val="004A627A"/>
    <w:rsid w:val="004B0CDC"/>
    <w:rsid w:val="004B2684"/>
    <w:rsid w:val="004B39FE"/>
    <w:rsid w:val="004B4495"/>
    <w:rsid w:val="004B63B0"/>
    <w:rsid w:val="004C14F0"/>
    <w:rsid w:val="004C1BB7"/>
    <w:rsid w:val="004C23D2"/>
    <w:rsid w:val="004C3FD8"/>
    <w:rsid w:val="004C47BC"/>
    <w:rsid w:val="004C7DC3"/>
    <w:rsid w:val="004D0874"/>
    <w:rsid w:val="004D0C9D"/>
    <w:rsid w:val="004D0D5C"/>
    <w:rsid w:val="004D1EE3"/>
    <w:rsid w:val="004D2CD1"/>
    <w:rsid w:val="004D57D3"/>
    <w:rsid w:val="004D7963"/>
    <w:rsid w:val="004E1889"/>
    <w:rsid w:val="004E390F"/>
    <w:rsid w:val="004E5897"/>
    <w:rsid w:val="004E683C"/>
    <w:rsid w:val="004E7E37"/>
    <w:rsid w:val="004E7F35"/>
    <w:rsid w:val="004F0AD2"/>
    <w:rsid w:val="004F3A0C"/>
    <w:rsid w:val="004F49CC"/>
    <w:rsid w:val="004F5AB1"/>
    <w:rsid w:val="005001D1"/>
    <w:rsid w:val="00500FB7"/>
    <w:rsid w:val="0050160E"/>
    <w:rsid w:val="00501C80"/>
    <w:rsid w:val="00503228"/>
    <w:rsid w:val="005046CA"/>
    <w:rsid w:val="005048F5"/>
    <w:rsid w:val="00505011"/>
    <w:rsid w:val="00505EDB"/>
    <w:rsid w:val="00507749"/>
    <w:rsid w:val="00507CE6"/>
    <w:rsid w:val="00514116"/>
    <w:rsid w:val="005153FE"/>
    <w:rsid w:val="0052702A"/>
    <w:rsid w:val="00527C0C"/>
    <w:rsid w:val="00527D39"/>
    <w:rsid w:val="00535129"/>
    <w:rsid w:val="005379F1"/>
    <w:rsid w:val="00540AA8"/>
    <w:rsid w:val="00541262"/>
    <w:rsid w:val="00541F96"/>
    <w:rsid w:val="00542C13"/>
    <w:rsid w:val="00545CBA"/>
    <w:rsid w:val="00546229"/>
    <w:rsid w:val="00546406"/>
    <w:rsid w:val="00551A87"/>
    <w:rsid w:val="00551C0C"/>
    <w:rsid w:val="00554132"/>
    <w:rsid w:val="0055488E"/>
    <w:rsid w:val="00554FF2"/>
    <w:rsid w:val="0055541A"/>
    <w:rsid w:val="00555939"/>
    <w:rsid w:val="00556447"/>
    <w:rsid w:val="005621AA"/>
    <w:rsid w:val="005628BD"/>
    <w:rsid w:val="00564AE3"/>
    <w:rsid w:val="00564C50"/>
    <w:rsid w:val="005668E5"/>
    <w:rsid w:val="00566CC1"/>
    <w:rsid w:val="00567284"/>
    <w:rsid w:val="00571B6C"/>
    <w:rsid w:val="005729DA"/>
    <w:rsid w:val="005738F5"/>
    <w:rsid w:val="00574D60"/>
    <w:rsid w:val="00575806"/>
    <w:rsid w:val="005819FD"/>
    <w:rsid w:val="00581D48"/>
    <w:rsid w:val="00582539"/>
    <w:rsid w:val="00583F73"/>
    <w:rsid w:val="005846F6"/>
    <w:rsid w:val="0058594A"/>
    <w:rsid w:val="00590D0A"/>
    <w:rsid w:val="0059177F"/>
    <w:rsid w:val="00592AEE"/>
    <w:rsid w:val="00592EA1"/>
    <w:rsid w:val="00593014"/>
    <w:rsid w:val="0059455E"/>
    <w:rsid w:val="0059464C"/>
    <w:rsid w:val="00595D4E"/>
    <w:rsid w:val="005A1D09"/>
    <w:rsid w:val="005A3192"/>
    <w:rsid w:val="005A50CF"/>
    <w:rsid w:val="005A6A99"/>
    <w:rsid w:val="005B0920"/>
    <w:rsid w:val="005B2CFA"/>
    <w:rsid w:val="005B3EB0"/>
    <w:rsid w:val="005B4FEC"/>
    <w:rsid w:val="005B5660"/>
    <w:rsid w:val="005B59CF"/>
    <w:rsid w:val="005B6DD9"/>
    <w:rsid w:val="005C02E0"/>
    <w:rsid w:val="005C04FC"/>
    <w:rsid w:val="005C0873"/>
    <w:rsid w:val="005C1FB9"/>
    <w:rsid w:val="005C2E57"/>
    <w:rsid w:val="005C5072"/>
    <w:rsid w:val="005D1EB0"/>
    <w:rsid w:val="005D3662"/>
    <w:rsid w:val="005D514A"/>
    <w:rsid w:val="005D5928"/>
    <w:rsid w:val="005D592A"/>
    <w:rsid w:val="005D6191"/>
    <w:rsid w:val="005D6E7E"/>
    <w:rsid w:val="005D7939"/>
    <w:rsid w:val="005E0426"/>
    <w:rsid w:val="005E0D26"/>
    <w:rsid w:val="005E1791"/>
    <w:rsid w:val="005E3374"/>
    <w:rsid w:val="005E3E96"/>
    <w:rsid w:val="005E555F"/>
    <w:rsid w:val="005E5956"/>
    <w:rsid w:val="005E5BC9"/>
    <w:rsid w:val="005F12E8"/>
    <w:rsid w:val="005F21B2"/>
    <w:rsid w:val="005F4FB5"/>
    <w:rsid w:val="005F6138"/>
    <w:rsid w:val="005F713B"/>
    <w:rsid w:val="005F7E81"/>
    <w:rsid w:val="00601454"/>
    <w:rsid w:val="00602ADC"/>
    <w:rsid w:val="006037EF"/>
    <w:rsid w:val="00603D6E"/>
    <w:rsid w:val="00606801"/>
    <w:rsid w:val="00607C2B"/>
    <w:rsid w:val="00607DBD"/>
    <w:rsid w:val="00610591"/>
    <w:rsid w:val="00613D08"/>
    <w:rsid w:val="0061555B"/>
    <w:rsid w:val="00617CB2"/>
    <w:rsid w:val="00620DF9"/>
    <w:rsid w:val="00621317"/>
    <w:rsid w:val="00623308"/>
    <w:rsid w:val="006248CD"/>
    <w:rsid w:val="00624A63"/>
    <w:rsid w:val="00625B3C"/>
    <w:rsid w:val="0062699B"/>
    <w:rsid w:val="00630498"/>
    <w:rsid w:val="006314E1"/>
    <w:rsid w:val="006328C3"/>
    <w:rsid w:val="00632F5E"/>
    <w:rsid w:val="00633E7F"/>
    <w:rsid w:val="00635785"/>
    <w:rsid w:val="0063717C"/>
    <w:rsid w:val="00640929"/>
    <w:rsid w:val="00641386"/>
    <w:rsid w:val="00641C5C"/>
    <w:rsid w:val="00644D4D"/>
    <w:rsid w:val="00645213"/>
    <w:rsid w:val="006474F9"/>
    <w:rsid w:val="0065129A"/>
    <w:rsid w:val="00651AEC"/>
    <w:rsid w:val="00651D9C"/>
    <w:rsid w:val="00652D9B"/>
    <w:rsid w:val="006537A3"/>
    <w:rsid w:val="00653B1E"/>
    <w:rsid w:val="00653EDC"/>
    <w:rsid w:val="00654E70"/>
    <w:rsid w:val="00655591"/>
    <w:rsid w:val="006562F6"/>
    <w:rsid w:val="0066079D"/>
    <w:rsid w:val="00660A2F"/>
    <w:rsid w:val="00660B6E"/>
    <w:rsid w:val="006627B1"/>
    <w:rsid w:val="00663022"/>
    <w:rsid w:val="0066351A"/>
    <w:rsid w:val="00665C44"/>
    <w:rsid w:val="00665DDA"/>
    <w:rsid w:val="00670F02"/>
    <w:rsid w:val="0067102D"/>
    <w:rsid w:val="0067266B"/>
    <w:rsid w:val="00673F4C"/>
    <w:rsid w:val="006742EA"/>
    <w:rsid w:val="00674913"/>
    <w:rsid w:val="00674E39"/>
    <w:rsid w:val="00677267"/>
    <w:rsid w:val="0068138E"/>
    <w:rsid w:val="00684780"/>
    <w:rsid w:val="00686E1A"/>
    <w:rsid w:val="0069003D"/>
    <w:rsid w:val="0069003F"/>
    <w:rsid w:val="00692E94"/>
    <w:rsid w:val="006969B9"/>
    <w:rsid w:val="006A0F09"/>
    <w:rsid w:val="006A1AEA"/>
    <w:rsid w:val="006A2176"/>
    <w:rsid w:val="006A2184"/>
    <w:rsid w:val="006A3A0A"/>
    <w:rsid w:val="006A5DA6"/>
    <w:rsid w:val="006A6DE3"/>
    <w:rsid w:val="006A7851"/>
    <w:rsid w:val="006A7EA8"/>
    <w:rsid w:val="006B0ACE"/>
    <w:rsid w:val="006B2BDD"/>
    <w:rsid w:val="006B4965"/>
    <w:rsid w:val="006B4980"/>
    <w:rsid w:val="006C02A5"/>
    <w:rsid w:val="006C0447"/>
    <w:rsid w:val="006C129D"/>
    <w:rsid w:val="006C203E"/>
    <w:rsid w:val="006C38A4"/>
    <w:rsid w:val="006C49FD"/>
    <w:rsid w:val="006C4B97"/>
    <w:rsid w:val="006C50CD"/>
    <w:rsid w:val="006C6454"/>
    <w:rsid w:val="006C7AC8"/>
    <w:rsid w:val="006D149C"/>
    <w:rsid w:val="006D3857"/>
    <w:rsid w:val="006D4925"/>
    <w:rsid w:val="006D569A"/>
    <w:rsid w:val="006E31D8"/>
    <w:rsid w:val="006E6A2A"/>
    <w:rsid w:val="006F0484"/>
    <w:rsid w:val="006F080C"/>
    <w:rsid w:val="006F1359"/>
    <w:rsid w:val="006F158B"/>
    <w:rsid w:val="006F1E58"/>
    <w:rsid w:val="006F23CB"/>
    <w:rsid w:val="006F48E3"/>
    <w:rsid w:val="006F50AC"/>
    <w:rsid w:val="006F74A2"/>
    <w:rsid w:val="00700211"/>
    <w:rsid w:val="007011FA"/>
    <w:rsid w:val="00703268"/>
    <w:rsid w:val="0070466B"/>
    <w:rsid w:val="00704C41"/>
    <w:rsid w:val="00705B6C"/>
    <w:rsid w:val="0071126F"/>
    <w:rsid w:val="00716716"/>
    <w:rsid w:val="007174FB"/>
    <w:rsid w:val="0072193C"/>
    <w:rsid w:val="00722195"/>
    <w:rsid w:val="00722DF3"/>
    <w:rsid w:val="0072337C"/>
    <w:rsid w:val="007248DD"/>
    <w:rsid w:val="00725DC9"/>
    <w:rsid w:val="007353B7"/>
    <w:rsid w:val="007401A6"/>
    <w:rsid w:val="007411E7"/>
    <w:rsid w:val="007421F7"/>
    <w:rsid w:val="00743992"/>
    <w:rsid w:val="00746E50"/>
    <w:rsid w:val="00753B62"/>
    <w:rsid w:val="00756541"/>
    <w:rsid w:val="007577C1"/>
    <w:rsid w:val="00762951"/>
    <w:rsid w:val="00762D59"/>
    <w:rsid w:val="007645DA"/>
    <w:rsid w:val="00764E4E"/>
    <w:rsid w:val="00767AB0"/>
    <w:rsid w:val="00767CFD"/>
    <w:rsid w:val="00767F64"/>
    <w:rsid w:val="00770547"/>
    <w:rsid w:val="00770D97"/>
    <w:rsid w:val="00774CBB"/>
    <w:rsid w:val="00776102"/>
    <w:rsid w:val="00776C9C"/>
    <w:rsid w:val="00777225"/>
    <w:rsid w:val="00782F7F"/>
    <w:rsid w:val="00782FB3"/>
    <w:rsid w:val="00785516"/>
    <w:rsid w:val="00786FDC"/>
    <w:rsid w:val="007870B5"/>
    <w:rsid w:val="00787A85"/>
    <w:rsid w:val="00791FF4"/>
    <w:rsid w:val="00793217"/>
    <w:rsid w:val="007934D7"/>
    <w:rsid w:val="007936C6"/>
    <w:rsid w:val="007945EC"/>
    <w:rsid w:val="0079609E"/>
    <w:rsid w:val="00797651"/>
    <w:rsid w:val="007A0D07"/>
    <w:rsid w:val="007A1C3A"/>
    <w:rsid w:val="007A7856"/>
    <w:rsid w:val="007B045B"/>
    <w:rsid w:val="007B0F2F"/>
    <w:rsid w:val="007B225A"/>
    <w:rsid w:val="007B3428"/>
    <w:rsid w:val="007B3443"/>
    <w:rsid w:val="007B74D2"/>
    <w:rsid w:val="007C0A55"/>
    <w:rsid w:val="007C1F4B"/>
    <w:rsid w:val="007C406F"/>
    <w:rsid w:val="007C41F5"/>
    <w:rsid w:val="007C44FF"/>
    <w:rsid w:val="007D117D"/>
    <w:rsid w:val="007D50B2"/>
    <w:rsid w:val="007E1202"/>
    <w:rsid w:val="007E1648"/>
    <w:rsid w:val="007E1CF4"/>
    <w:rsid w:val="007E4F5C"/>
    <w:rsid w:val="007F0B9C"/>
    <w:rsid w:val="007F12DF"/>
    <w:rsid w:val="007F25BD"/>
    <w:rsid w:val="007F47CF"/>
    <w:rsid w:val="007F5054"/>
    <w:rsid w:val="00801CD4"/>
    <w:rsid w:val="008041DD"/>
    <w:rsid w:val="0080452C"/>
    <w:rsid w:val="00805924"/>
    <w:rsid w:val="008079BF"/>
    <w:rsid w:val="00807B60"/>
    <w:rsid w:val="00807BD8"/>
    <w:rsid w:val="00807C11"/>
    <w:rsid w:val="008105F4"/>
    <w:rsid w:val="008119D8"/>
    <w:rsid w:val="00811E93"/>
    <w:rsid w:val="008125CE"/>
    <w:rsid w:val="008146E6"/>
    <w:rsid w:val="00814C5F"/>
    <w:rsid w:val="008332E6"/>
    <w:rsid w:val="0083409E"/>
    <w:rsid w:val="008347C5"/>
    <w:rsid w:val="008353DC"/>
    <w:rsid w:val="00835DF3"/>
    <w:rsid w:val="008402AB"/>
    <w:rsid w:val="00840C50"/>
    <w:rsid w:val="00842221"/>
    <w:rsid w:val="00843C4D"/>
    <w:rsid w:val="008455D2"/>
    <w:rsid w:val="0085280D"/>
    <w:rsid w:val="00854C4A"/>
    <w:rsid w:val="00855939"/>
    <w:rsid w:val="00855A48"/>
    <w:rsid w:val="00857098"/>
    <w:rsid w:val="00857D9B"/>
    <w:rsid w:val="00860824"/>
    <w:rsid w:val="0086088F"/>
    <w:rsid w:val="00860F09"/>
    <w:rsid w:val="00862247"/>
    <w:rsid w:val="0086374F"/>
    <w:rsid w:val="0086458C"/>
    <w:rsid w:val="00865982"/>
    <w:rsid w:val="008677F8"/>
    <w:rsid w:val="00867CBC"/>
    <w:rsid w:val="0087311C"/>
    <w:rsid w:val="0087312B"/>
    <w:rsid w:val="00877623"/>
    <w:rsid w:val="00880FE3"/>
    <w:rsid w:val="00885AF3"/>
    <w:rsid w:val="008861DB"/>
    <w:rsid w:val="00886B5B"/>
    <w:rsid w:val="00887BC0"/>
    <w:rsid w:val="00890E4E"/>
    <w:rsid w:val="00892CEA"/>
    <w:rsid w:val="00893FA5"/>
    <w:rsid w:val="00895ED3"/>
    <w:rsid w:val="00896A7D"/>
    <w:rsid w:val="00896D80"/>
    <w:rsid w:val="00896F45"/>
    <w:rsid w:val="008975C2"/>
    <w:rsid w:val="00897F0A"/>
    <w:rsid w:val="008A29C6"/>
    <w:rsid w:val="008A3724"/>
    <w:rsid w:val="008A37A0"/>
    <w:rsid w:val="008A3D86"/>
    <w:rsid w:val="008A4369"/>
    <w:rsid w:val="008A6A41"/>
    <w:rsid w:val="008A7137"/>
    <w:rsid w:val="008A73A6"/>
    <w:rsid w:val="008A752D"/>
    <w:rsid w:val="008B0BEF"/>
    <w:rsid w:val="008B108E"/>
    <w:rsid w:val="008B4109"/>
    <w:rsid w:val="008B44D1"/>
    <w:rsid w:val="008B58D3"/>
    <w:rsid w:val="008B666D"/>
    <w:rsid w:val="008B726D"/>
    <w:rsid w:val="008C4D65"/>
    <w:rsid w:val="008C5808"/>
    <w:rsid w:val="008C6277"/>
    <w:rsid w:val="008C686F"/>
    <w:rsid w:val="008C69E6"/>
    <w:rsid w:val="008C791C"/>
    <w:rsid w:val="008C79E3"/>
    <w:rsid w:val="008C7A2C"/>
    <w:rsid w:val="008D1F8C"/>
    <w:rsid w:val="008D43F0"/>
    <w:rsid w:val="008D6A30"/>
    <w:rsid w:val="008D70A1"/>
    <w:rsid w:val="008D7E6C"/>
    <w:rsid w:val="008D7F8E"/>
    <w:rsid w:val="008E1CF1"/>
    <w:rsid w:val="008E4600"/>
    <w:rsid w:val="008E4864"/>
    <w:rsid w:val="008E5280"/>
    <w:rsid w:val="008F194F"/>
    <w:rsid w:val="008F23BA"/>
    <w:rsid w:val="008F707F"/>
    <w:rsid w:val="008F7AF0"/>
    <w:rsid w:val="0090427D"/>
    <w:rsid w:val="009049B0"/>
    <w:rsid w:val="00907630"/>
    <w:rsid w:val="00907746"/>
    <w:rsid w:val="00912290"/>
    <w:rsid w:val="009179C7"/>
    <w:rsid w:val="009213DC"/>
    <w:rsid w:val="00922713"/>
    <w:rsid w:val="0092514C"/>
    <w:rsid w:val="00925743"/>
    <w:rsid w:val="00926249"/>
    <w:rsid w:val="00927B12"/>
    <w:rsid w:val="00927DD5"/>
    <w:rsid w:val="00933314"/>
    <w:rsid w:val="00936376"/>
    <w:rsid w:val="00936625"/>
    <w:rsid w:val="00936727"/>
    <w:rsid w:val="0094190F"/>
    <w:rsid w:val="00941D9D"/>
    <w:rsid w:val="00941E8C"/>
    <w:rsid w:val="00942036"/>
    <w:rsid w:val="009435D7"/>
    <w:rsid w:val="00945CAD"/>
    <w:rsid w:val="00946101"/>
    <w:rsid w:val="009471A6"/>
    <w:rsid w:val="00950339"/>
    <w:rsid w:val="0095072D"/>
    <w:rsid w:val="009516B9"/>
    <w:rsid w:val="00951E05"/>
    <w:rsid w:val="00953FE9"/>
    <w:rsid w:val="00967314"/>
    <w:rsid w:val="00967401"/>
    <w:rsid w:val="00967C83"/>
    <w:rsid w:val="009735A6"/>
    <w:rsid w:val="00975B60"/>
    <w:rsid w:val="009773DF"/>
    <w:rsid w:val="00977777"/>
    <w:rsid w:val="00977B4E"/>
    <w:rsid w:val="00981747"/>
    <w:rsid w:val="00983412"/>
    <w:rsid w:val="00985E9D"/>
    <w:rsid w:val="0099036A"/>
    <w:rsid w:val="00990981"/>
    <w:rsid w:val="00991648"/>
    <w:rsid w:val="00992245"/>
    <w:rsid w:val="009A2431"/>
    <w:rsid w:val="009A3D9F"/>
    <w:rsid w:val="009A6D15"/>
    <w:rsid w:val="009A707D"/>
    <w:rsid w:val="009A79B7"/>
    <w:rsid w:val="009B0EFA"/>
    <w:rsid w:val="009B1069"/>
    <w:rsid w:val="009B1625"/>
    <w:rsid w:val="009B35A4"/>
    <w:rsid w:val="009B414D"/>
    <w:rsid w:val="009B6E50"/>
    <w:rsid w:val="009C19F3"/>
    <w:rsid w:val="009C1C67"/>
    <w:rsid w:val="009C5B82"/>
    <w:rsid w:val="009C787A"/>
    <w:rsid w:val="009D1570"/>
    <w:rsid w:val="009D3D00"/>
    <w:rsid w:val="009D433B"/>
    <w:rsid w:val="009E0A2C"/>
    <w:rsid w:val="009E1A47"/>
    <w:rsid w:val="009E4DFE"/>
    <w:rsid w:val="009F1B63"/>
    <w:rsid w:val="009F2AD7"/>
    <w:rsid w:val="009F42EE"/>
    <w:rsid w:val="009F6A61"/>
    <w:rsid w:val="009F7DA6"/>
    <w:rsid w:val="00A01A63"/>
    <w:rsid w:val="00A02121"/>
    <w:rsid w:val="00A03706"/>
    <w:rsid w:val="00A03D5B"/>
    <w:rsid w:val="00A05EE7"/>
    <w:rsid w:val="00A10A72"/>
    <w:rsid w:val="00A1115B"/>
    <w:rsid w:val="00A1204A"/>
    <w:rsid w:val="00A152FF"/>
    <w:rsid w:val="00A16314"/>
    <w:rsid w:val="00A216CB"/>
    <w:rsid w:val="00A220C3"/>
    <w:rsid w:val="00A22A2E"/>
    <w:rsid w:val="00A22BFF"/>
    <w:rsid w:val="00A232D8"/>
    <w:rsid w:val="00A2404E"/>
    <w:rsid w:val="00A26387"/>
    <w:rsid w:val="00A26689"/>
    <w:rsid w:val="00A31713"/>
    <w:rsid w:val="00A3235F"/>
    <w:rsid w:val="00A3251B"/>
    <w:rsid w:val="00A33E65"/>
    <w:rsid w:val="00A34BCB"/>
    <w:rsid w:val="00A3589C"/>
    <w:rsid w:val="00A3634C"/>
    <w:rsid w:val="00A36DA0"/>
    <w:rsid w:val="00A40684"/>
    <w:rsid w:val="00A411AF"/>
    <w:rsid w:val="00A41A0E"/>
    <w:rsid w:val="00A44164"/>
    <w:rsid w:val="00A44806"/>
    <w:rsid w:val="00A47B8F"/>
    <w:rsid w:val="00A50223"/>
    <w:rsid w:val="00A50A42"/>
    <w:rsid w:val="00A524D8"/>
    <w:rsid w:val="00A52DC2"/>
    <w:rsid w:val="00A543BD"/>
    <w:rsid w:val="00A54BC9"/>
    <w:rsid w:val="00A5671D"/>
    <w:rsid w:val="00A56F8A"/>
    <w:rsid w:val="00A57C25"/>
    <w:rsid w:val="00A66558"/>
    <w:rsid w:val="00A66F48"/>
    <w:rsid w:val="00A71A45"/>
    <w:rsid w:val="00A7556B"/>
    <w:rsid w:val="00A770CF"/>
    <w:rsid w:val="00A8210C"/>
    <w:rsid w:val="00A822DA"/>
    <w:rsid w:val="00A8355C"/>
    <w:rsid w:val="00A84C24"/>
    <w:rsid w:val="00A85B0F"/>
    <w:rsid w:val="00A87534"/>
    <w:rsid w:val="00A87A28"/>
    <w:rsid w:val="00A920DF"/>
    <w:rsid w:val="00A931F6"/>
    <w:rsid w:val="00A94938"/>
    <w:rsid w:val="00A955A8"/>
    <w:rsid w:val="00A956C6"/>
    <w:rsid w:val="00A97BCB"/>
    <w:rsid w:val="00AA1721"/>
    <w:rsid w:val="00AA1DCD"/>
    <w:rsid w:val="00AA373A"/>
    <w:rsid w:val="00AA5413"/>
    <w:rsid w:val="00AA580A"/>
    <w:rsid w:val="00AA732E"/>
    <w:rsid w:val="00AB2140"/>
    <w:rsid w:val="00AB2BBF"/>
    <w:rsid w:val="00AB5BDE"/>
    <w:rsid w:val="00AB645B"/>
    <w:rsid w:val="00AC00D7"/>
    <w:rsid w:val="00AC00DD"/>
    <w:rsid w:val="00AC0732"/>
    <w:rsid w:val="00AC08AE"/>
    <w:rsid w:val="00AC0F0D"/>
    <w:rsid w:val="00AC132D"/>
    <w:rsid w:val="00AC3B0A"/>
    <w:rsid w:val="00AC4733"/>
    <w:rsid w:val="00AC5236"/>
    <w:rsid w:val="00AC548F"/>
    <w:rsid w:val="00AC54B8"/>
    <w:rsid w:val="00AD0753"/>
    <w:rsid w:val="00AD0E8A"/>
    <w:rsid w:val="00AD43D3"/>
    <w:rsid w:val="00AD5279"/>
    <w:rsid w:val="00AD5DCE"/>
    <w:rsid w:val="00AD605C"/>
    <w:rsid w:val="00AD6FB9"/>
    <w:rsid w:val="00AD7588"/>
    <w:rsid w:val="00AE08E3"/>
    <w:rsid w:val="00AE128D"/>
    <w:rsid w:val="00AE1488"/>
    <w:rsid w:val="00AE1950"/>
    <w:rsid w:val="00AE1B03"/>
    <w:rsid w:val="00AE25F4"/>
    <w:rsid w:val="00AE405E"/>
    <w:rsid w:val="00AF1CFB"/>
    <w:rsid w:val="00AF1FEB"/>
    <w:rsid w:val="00AF6012"/>
    <w:rsid w:val="00AF7B07"/>
    <w:rsid w:val="00B01C55"/>
    <w:rsid w:val="00B02B5E"/>
    <w:rsid w:val="00B0344D"/>
    <w:rsid w:val="00B0592E"/>
    <w:rsid w:val="00B07113"/>
    <w:rsid w:val="00B075B3"/>
    <w:rsid w:val="00B10D5F"/>
    <w:rsid w:val="00B125C2"/>
    <w:rsid w:val="00B12B1A"/>
    <w:rsid w:val="00B1688C"/>
    <w:rsid w:val="00B20BDE"/>
    <w:rsid w:val="00B2177E"/>
    <w:rsid w:val="00B2248F"/>
    <w:rsid w:val="00B24AAA"/>
    <w:rsid w:val="00B262BF"/>
    <w:rsid w:val="00B3031F"/>
    <w:rsid w:val="00B30673"/>
    <w:rsid w:val="00B30C4E"/>
    <w:rsid w:val="00B31238"/>
    <w:rsid w:val="00B31809"/>
    <w:rsid w:val="00B326CD"/>
    <w:rsid w:val="00B32834"/>
    <w:rsid w:val="00B35C50"/>
    <w:rsid w:val="00B41B36"/>
    <w:rsid w:val="00B420D2"/>
    <w:rsid w:val="00B42745"/>
    <w:rsid w:val="00B42EDD"/>
    <w:rsid w:val="00B43346"/>
    <w:rsid w:val="00B45D4B"/>
    <w:rsid w:val="00B51218"/>
    <w:rsid w:val="00B52268"/>
    <w:rsid w:val="00B53A27"/>
    <w:rsid w:val="00B557E9"/>
    <w:rsid w:val="00B60C4C"/>
    <w:rsid w:val="00B60CFD"/>
    <w:rsid w:val="00B625B9"/>
    <w:rsid w:val="00B62BF8"/>
    <w:rsid w:val="00B63310"/>
    <w:rsid w:val="00B63BFD"/>
    <w:rsid w:val="00B63DF9"/>
    <w:rsid w:val="00B6597B"/>
    <w:rsid w:val="00B6620F"/>
    <w:rsid w:val="00B66D88"/>
    <w:rsid w:val="00B67F6B"/>
    <w:rsid w:val="00B71633"/>
    <w:rsid w:val="00B7236C"/>
    <w:rsid w:val="00B73B63"/>
    <w:rsid w:val="00B73E52"/>
    <w:rsid w:val="00B81214"/>
    <w:rsid w:val="00B826C1"/>
    <w:rsid w:val="00B8273B"/>
    <w:rsid w:val="00B837C8"/>
    <w:rsid w:val="00B84910"/>
    <w:rsid w:val="00B85465"/>
    <w:rsid w:val="00B85F9F"/>
    <w:rsid w:val="00B90F81"/>
    <w:rsid w:val="00B91B20"/>
    <w:rsid w:val="00B92FD6"/>
    <w:rsid w:val="00B9322D"/>
    <w:rsid w:val="00B95329"/>
    <w:rsid w:val="00B9569C"/>
    <w:rsid w:val="00B96591"/>
    <w:rsid w:val="00B969DE"/>
    <w:rsid w:val="00B97D6F"/>
    <w:rsid w:val="00BA0BB5"/>
    <w:rsid w:val="00BA17B5"/>
    <w:rsid w:val="00BA27DC"/>
    <w:rsid w:val="00BA2DF8"/>
    <w:rsid w:val="00BA30DE"/>
    <w:rsid w:val="00BA3AC8"/>
    <w:rsid w:val="00BA3E0A"/>
    <w:rsid w:val="00BA4043"/>
    <w:rsid w:val="00BA5D6D"/>
    <w:rsid w:val="00BA6545"/>
    <w:rsid w:val="00BB0C65"/>
    <w:rsid w:val="00BB5446"/>
    <w:rsid w:val="00BB5B0C"/>
    <w:rsid w:val="00BB6BA7"/>
    <w:rsid w:val="00BC3A1E"/>
    <w:rsid w:val="00BC4949"/>
    <w:rsid w:val="00BC5690"/>
    <w:rsid w:val="00BC68FA"/>
    <w:rsid w:val="00BC77C9"/>
    <w:rsid w:val="00BC77D9"/>
    <w:rsid w:val="00BC7BB8"/>
    <w:rsid w:val="00BD138D"/>
    <w:rsid w:val="00BD273D"/>
    <w:rsid w:val="00BD28CC"/>
    <w:rsid w:val="00BD3161"/>
    <w:rsid w:val="00BD6F69"/>
    <w:rsid w:val="00BE1424"/>
    <w:rsid w:val="00BE266D"/>
    <w:rsid w:val="00BE6073"/>
    <w:rsid w:val="00BE657A"/>
    <w:rsid w:val="00BF36E1"/>
    <w:rsid w:val="00BF57C4"/>
    <w:rsid w:val="00BF5CAF"/>
    <w:rsid w:val="00BF656E"/>
    <w:rsid w:val="00C03FB7"/>
    <w:rsid w:val="00C04796"/>
    <w:rsid w:val="00C057E6"/>
    <w:rsid w:val="00C057F1"/>
    <w:rsid w:val="00C16987"/>
    <w:rsid w:val="00C16CAA"/>
    <w:rsid w:val="00C16EDA"/>
    <w:rsid w:val="00C22034"/>
    <w:rsid w:val="00C26D02"/>
    <w:rsid w:val="00C2777A"/>
    <w:rsid w:val="00C319D0"/>
    <w:rsid w:val="00C31F46"/>
    <w:rsid w:val="00C334F9"/>
    <w:rsid w:val="00C34053"/>
    <w:rsid w:val="00C3430E"/>
    <w:rsid w:val="00C34358"/>
    <w:rsid w:val="00C34E4D"/>
    <w:rsid w:val="00C354CE"/>
    <w:rsid w:val="00C40113"/>
    <w:rsid w:val="00C4072E"/>
    <w:rsid w:val="00C44513"/>
    <w:rsid w:val="00C44699"/>
    <w:rsid w:val="00C46773"/>
    <w:rsid w:val="00C467D2"/>
    <w:rsid w:val="00C5075D"/>
    <w:rsid w:val="00C51E91"/>
    <w:rsid w:val="00C521E6"/>
    <w:rsid w:val="00C56E47"/>
    <w:rsid w:val="00C57F87"/>
    <w:rsid w:val="00C6089B"/>
    <w:rsid w:val="00C61940"/>
    <w:rsid w:val="00C6457F"/>
    <w:rsid w:val="00C65F24"/>
    <w:rsid w:val="00C671DF"/>
    <w:rsid w:val="00C6751D"/>
    <w:rsid w:val="00C7285A"/>
    <w:rsid w:val="00C73465"/>
    <w:rsid w:val="00C759AB"/>
    <w:rsid w:val="00C7624B"/>
    <w:rsid w:val="00C76DF2"/>
    <w:rsid w:val="00C7788C"/>
    <w:rsid w:val="00C816F5"/>
    <w:rsid w:val="00C8258D"/>
    <w:rsid w:val="00C8457F"/>
    <w:rsid w:val="00C865CE"/>
    <w:rsid w:val="00C87D41"/>
    <w:rsid w:val="00C87E64"/>
    <w:rsid w:val="00C91B1B"/>
    <w:rsid w:val="00C9256C"/>
    <w:rsid w:val="00C926BF"/>
    <w:rsid w:val="00C93EB9"/>
    <w:rsid w:val="00C94270"/>
    <w:rsid w:val="00C94BE9"/>
    <w:rsid w:val="00C954D7"/>
    <w:rsid w:val="00C971CB"/>
    <w:rsid w:val="00CA101C"/>
    <w:rsid w:val="00CA5E1E"/>
    <w:rsid w:val="00CA61B9"/>
    <w:rsid w:val="00CA6973"/>
    <w:rsid w:val="00CB66D6"/>
    <w:rsid w:val="00CB6838"/>
    <w:rsid w:val="00CB6DB2"/>
    <w:rsid w:val="00CC0D3F"/>
    <w:rsid w:val="00CC12B2"/>
    <w:rsid w:val="00CC3C71"/>
    <w:rsid w:val="00CC50C2"/>
    <w:rsid w:val="00CC7A55"/>
    <w:rsid w:val="00CC7D3F"/>
    <w:rsid w:val="00CD1B9E"/>
    <w:rsid w:val="00CD2FD2"/>
    <w:rsid w:val="00CD3E50"/>
    <w:rsid w:val="00CD5582"/>
    <w:rsid w:val="00CE111A"/>
    <w:rsid w:val="00CE4367"/>
    <w:rsid w:val="00CE49CB"/>
    <w:rsid w:val="00CE5871"/>
    <w:rsid w:val="00CE6592"/>
    <w:rsid w:val="00CF1BAD"/>
    <w:rsid w:val="00CF459F"/>
    <w:rsid w:val="00D017C8"/>
    <w:rsid w:val="00D02A71"/>
    <w:rsid w:val="00D0503D"/>
    <w:rsid w:val="00D05D75"/>
    <w:rsid w:val="00D0728C"/>
    <w:rsid w:val="00D07899"/>
    <w:rsid w:val="00D13784"/>
    <w:rsid w:val="00D16388"/>
    <w:rsid w:val="00D16D22"/>
    <w:rsid w:val="00D17AFD"/>
    <w:rsid w:val="00D22A9E"/>
    <w:rsid w:val="00D23EC7"/>
    <w:rsid w:val="00D24FFA"/>
    <w:rsid w:val="00D25AAA"/>
    <w:rsid w:val="00D27253"/>
    <w:rsid w:val="00D27B17"/>
    <w:rsid w:val="00D30048"/>
    <w:rsid w:val="00D30B36"/>
    <w:rsid w:val="00D32169"/>
    <w:rsid w:val="00D325C0"/>
    <w:rsid w:val="00D333CC"/>
    <w:rsid w:val="00D34A40"/>
    <w:rsid w:val="00D36BD5"/>
    <w:rsid w:val="00D37E81"/>
    <w:rsid w:val="00D40B67"/>
    <w:rsid w:val="00D42869"/>
    <w:rsid w:val="00D42F81"/>
    <w:rsid w:val="00D438D0"/>
    <w:rsid w:val="00D55253"/>
    <w:rsid w:val="00D554AB"/>
    <w:rsid w:val="00D56841"/>
    <w:rsid w:val="00D56A40"/>
    <w:rsid w:val="00D56A5F"/>
    <w:rsid w:val="00D611B6"/>
    <w:rsid w:val="00D6277B"/>
    <w:rsid w:val="00D63127"/>
    <w:rsid w:val="00D63DB4"/>
    <w:rsid w:val="00D661DB"/>
    <w:rsid w:val="00D71F45"/>
    <w:rsid w:val="00D74831"/>
    <w:rsid w:val="00D76B2B"/>
    <w:rsid w:val="00D80904"/>
    <w:rsid w:val="00D828F6"/>
    <w:rsid w:val="00D84693"/>
    <w:rsid w:val="00D854E4"/>
    <w:rsid w:val="00D85EC0"/>
    <w:rsid w:val="00D87152"/>
    <w:rsid w:val="00D90FBC"/>
    <w:rsid w:val="00D91B97"/>
    <w:rsid w:val="00D97723"/>
    <w:rsid w:val="00DA7D9A"/>
    <w:rsid w:val="00DB0A3F"/>
    <w:rsid w:val="00DB27EE"/>
    <w:rsid w:val="00DB28FB"/>
    <w:rsid w:val="00DB6A3E"/>
    <w:rsid w:val="00DC0EC3"/>
    <w:rsid w:val="00DC0F65"/>
    <w:rsid w:val="00DC1048"/>
    <w:rsid w:val="00DC237F"/>
    <w:rsid w:val="00DC2CA0"/>
    <w:rsid w:val="00DC2D08"/>
    <w:rsid w:val="00DC3F93"/>
    <w:rsid w:val="00DC45CF"/>
    <w:rsid w:val="00DC4E72"/>
    <w:rsid w:val="00DC50F4"/>
    <w:rsid w:val="00DC656A"/>
    <w:rsid w:val="00DC7131"/>
    <w:rsid w:val="00DD11B5"/>
    <w:rsid w:val="00DD3C7B"/>
    <w:rsid w:val="00DD6356"/>
    <w:rsid w:val="00DE01DB"/>
    <w:rsid w:val="00DE581F"/>
    <w:rsid w:val="00DE66A3"/>
    <w:rsid w:val="00DE6E79"/>
    <w:rsid w:val="00DE7EBD"/>
    <w:rsid w:val="00DF039A"/>
    <w:rsid w:val="00DF06E0"/>
    <w:rsid w:val="00DF0D55"/>
    <w:rsid w:val="00DF18BA"/>
    <w:rsid w:val="00DF2301"/>
    <w:rsid w:val="00DF490F"/>
    <w:rsid w:val="00E0314A"/>
    <w:rsid w:val="00E07B73"/>
    <w:rsid w:val="00E10ABD"/>
    <w:rsid w:val="00E117BE"/>
    <w:rsid w:val="00E13A77"/>
    <w:rsid w:val="00E15966"/>
    <w:rsid w:val="00E15CBE"/>
    <w:rsid w:val="00E20FDD"/>
    <w:rsid w:val="00E22645"/>
    <w:rsid w:val="00E23AA0"/>
    <w:rsid w:val="00E25DE9"/>
    <w:rsid w:val="00E26B5D"/>
    <w:rsid w:val="00E30159"/>
    <w:rsid w:val="00E31982"/>
    <w:rsid w:val="00E33F76"/>
    <w:rsid w:val="00E3428A"/>
    <w:rsid w:val="00E37A09"/>
    <w:rsid w:val="00E4318A"/>
    <w:rsid w:val="00E438F0"/>
    <w:rsid w:val="00E44BA8"/>
    <w:rsid w:val="00E44F2E"/>
    <w:rsid w:val="00E457B5"/>
    <w:rsid w:val="00E50580"/>
    <w:rsid w:val="00E5193F"/>
    <w:rsid w:val="00E52078"/>
    <w:rsid w:val="00E52940"/>
    <w:rsid w:val="00E52D2C"/>
    <w:rsid w:val="00E542DA"/>
    <w:rsid w:val="00E5507C"/>
    <w:rsid w:val="00E56712"/>
    <w:rsid w:val="00E579A9"/>
    <w:rsid w:val="00E57F04"/>
    <w:rsid w:val="00E605A7"/>
    <w:rsid w:val="00E613CC"/>
    <w:rsid w:val="00E624F9"/>
    <w:rsid w:val="00E705F0"/>
    <w:rsid w:val="00E71885"/>
    <w:rsid w:val="00E72DC6"/>
    <w:rsid w:val="00E73D09"/>
    <w:rsid w:val="00E75E31"/>
    <w:rsid w:val="00E774AF"/>
    <w:rsid w:val="00E77787"/>
    <w:rsid w:val="00E77D87"/>
    <w:rsid w:val="00E812C0"/>
    <w:rsid w:val="00E8444A"/>
    <w:rsid w:val="00E86DB5"/>
    <w:rsid w:val="00E9023A"/>
    <w:rsid w:val="00E916E4"/>
    <w:rsid w:val="00E926A5"/>
    <w:rsid w:val="00E93037"/>
    <w:rsid w:val="00E9470E"/>
    <w:rsid w:val="00E962B4"/>
    <w:rsid w:val="00EA389E"/>
    <w:rsid w:val="00EA3A24"/>
    <w:rsid w:val="00EA4385"/>
    <w:rsid w:val="00EA62C4"/>
    <w:rsid w:val="00EA6740"/>
    <w:rsid w:val="00EB00FF"/>
    <w:rsid w:val="00EB0312"/>
    <w:rsid w:val="00EB05EC"/>
    <w:rsid w:val="00EB2878"/>
    <w:rsid w:val="00EB51FE"/>
    <w:rsid w:val="00EB5A15"/>
    <w:rsid w:val="00EB61A8"/>
    <w:rsid w:val="00EB76C8"/>
    <w:rsid w:val="00EB7708"/>
    <w:rsid w:val="00EC11CA"/>
    <w:rsid w:val="00EC289D"/>
    <w:rsid w:val="00EC41E0"/>
    <w:rsid w:val="00EC5520"/>
    <w:rsid w:val="00EC56F0"/>
    <w:rsid w:val="00ED1888"/>
    <w:rsid w:val="00ED19E6"/>
    <w:rsid w:val="00ED1CD1"/>
    <w:rsid w:val="00ED41AF"/>
    <w:rsid w:val="00ED4592"/>
    <w:rsid w:val="00ED74FD"/>
    <w:rsid w:val="00ED7A8A"/>
    <w:rsid w:val="00EE4C55"/>
    <w:rsid w:val="00EF1C85"/>
    <w:rsid w:val="00EF3011"/>
    <w:rsid w:val="00EF3C4E"/>
    <w:rsid w:val="00EF3F81"/>
    <w:rsid w:val="00EF49E7"/>
    <w:rsid w:val="00EF5BF2"/>
    <w:rsid w:val="00EF5E91"/>
    <w:rsid w:val="00EF75F0"/>
    <w:rsid w:val="00F0020D"/>
    <w:rsid w:val="00F037BD"/>
    <w:rsid w:val="00F03F1E"/>
    <w:rsid w:val="00F06094"/>
    <w:rsid w:val="00F06297"/>
    <w:rsid w:val="00F07D40"/>
    <w:rsid w:val="00F1363D"/>
    <w:rsid w:val="00F153E2"/>
    <w:rsid w:val="00F20FCF"/>
    <w:rsid w:val="00F237A4"/>
    <w:rsid w:val="00F24C2E"/>
    <w:rsid w:val="00F27A37"/>
    <w:rsid w:val="00F30847"/>
    <w:rsid w:val="00F30E5D"/>
    <w:rsid w:val="00F36148"/>
    <w:rsid w:val="00F3675D"/>
    <w:rsid w:val="00F41B17"/>
    <w:rsid w:val="00F41B27"/>
    <w:rsid w:val="00F41E71"/>
    <w:rsid w:val="00F443A4"/>
    <w:rsid w:val="00F44819"/>
    <w:rsid w:val="00F45324"/>
    <w:rsid w:val="00F45DE1"/>
    <w:rsid w:val="00F46CBE"/>
    <w:rsid w:val="00F472D4"/>
    <w:rsid w:val="00F51E7E"/>
    <w:rsid w:val="00F52C63"/>
    <w:rsid w:val="00F545E4"/>
    <w:rsid w:val="00F62151"/>
    <w:rsid w:val="00F7341A"/>
    <w:rsid w:val="00F80200"/>
    <w:rsid w:val="00F81575"/>
    <w:rsid w:val="00F81B18"/>
    <w:rsid w:val="00F872E6"/>
    <w:rsid w:val="00F903F5"/>
    <w:rsid w:val="00F9247A"/>
    <w:rsid w:val="00F93C3A"/>
    <w:rsid w:val="00F9469C"/>
    <w:rsid w:val="00F95ED5"/>
    <w:rsid w:val="00FA191F"/>
    <w:rsid w:val="00FA4AC7"/>
    <w:rsid w:val="00FA4D77"/>
    <w:rsid w:val="00FA5181"/>
    <w:rsid w:val="00FA6F6F"/>
    <w:rsid w:val="00FB579E"/>
    <w:rsid w:val="00FB607C"/>
    <w:rsid w:val="00FC00C1"/>
    <w:rsid w:val="00FC1394"/>
    <w:rsid w:val="00FC159E"/>
    <w:rsid w:val="00FC1BF1"/>
    <w:rsid w:val="00FC2AC2"/>
    <w:rsid w:val="00FC589E"/>
    <w:rsid w:val="00FC5C38"/>
    <w:rsid w:val="00FC64CD"/>
    <w:rsid w:val="00FC66E3"/>
    <w:rsid w:val="00FD0366"/>
    <w:rsid w:val="00FD118A"/>
    <w:rsid w:val="00FD21FE"/>
    <w:rsid w:val="00FD3356"/>
    <w:rsid w:val="00FD48B1"/>
    <w:rsid w:val="00FE1D7F"/>
    <w:rsid w:val="00FE2329"/>
    <w:rsid w:val="00FE3003"/>
    <w:rsid w:val="00FE4E25"/>
    <w:rsid w:val="00FF090C"/>
    <w:rsid w:val="00FF105A"/>
    <w:rsid w:val="00FF1069"/>
    <w:rsid w:val="00FF4889"/>
    <w:rsid w:val="00FF4F0E"/>
    <w:rsid w:val="00FF6844"/>
    <w:rsid w:val="00FF7A40"/>
    <w:rsid w:val="0BBA1103"/>
    <w:rsid w:val="0BCE9211"/>
    <w:rsid w:val="0DA739E9"/>
    <w:rsid w:val="277655FF"/>
    <w:rsid w:val="2DAEDA4B"/>
    <w:rsid w:val="347F2A0F"/>
    <w:rsid w:val="37BF2F1C"/>
    <w:rsid w:val="3DBBB1F2"/>
    <w:rsid w:val="3DE9AED7"/>
    <w:rsid w:val="3FFD7A51"/>
    <w:rsid w:val="4F6752A3"/>
    <w:rsid w:val="4FBAF4EB"/>
    <w:rsid w:val="4FFCB421"/>
    <w:rsid w:val="52F1E426"/>
    <w:rsid w:val="59DF56FD"/>
    <w:rsid w:val="59FB7489"/>
    <w:rsid w:val="5EED5813"/>
    <w:rsid w:val="5F803582"/>
    <w:rsid w:val="654DD362"/>
    <w:rsid w:val="66BFBB1B"/>
    <w:rsid w:val="66FF839F"/>
    <w:rsid w:val="679B4716"/>
    <w:rsid w:val="67E74A9E"/>
    <w:rsid w:val="6AEB54B0"/>
    <w:rsid w:val="6C5A403E"/>
    <w:rsid w:val="6D7D11E2"/>
    <w:rsid w:val="6EECDE7B"/>
    <w:rsid w:val="6FFD20E8"/>
    <w:rsid w:val="6FFFF671"/>
    <w:rsid w:val="714F49AE"/>
    <w:rsid w:val="74C9663E"/>
    <w:rsid w:val="74F2B1D8"/>
    <w:rsid w:val="76F7FC20"/>
    <w:rsid w:val="78031D0F"/>
    <w:rsid w:val="78FBACE1"/>
    <w:rsid w:val="7BBE9F13"/>
    <w:rsid w:val="7BDAA61A"/>
    <w:rsid w:val="7BFF0E5B"/>
    <w:rsid w:val="7CBCA4A8"/>
    <w:rsid w:val="7CFA92C0"/>
    <w:rsid w:val="7D6FF5EA"/>
    <w:rsid w:val="7D7C8817"/>
    <w:rsid w:val="7DBA38DA"/>
    <w:rsid w:val="7DD96CB9"/>
    <w:rsid w:val="7DFD8E16"/>
    <w:rsid w:val="7DFF4E05"/>
    <w:rsid w:val="7EF701F7"/>
    <w:rsid w:val="7F370D49"/>
    <w:rsid w:val="7F3FCFBF"/>
    <w:rsid w:val="7F6E3F83"/>
    <w:rsid w:val="7F7E645A"/>
    <w:rsid w:val="7F7F3CE8"/>
    <w:rsid w:val="7FEDAE38"/>
    <w:rsid w:val="7FEE3E56"/>
    <w:rsid w:val="7FEFD862"/>
    <w:rsid w:val="7FF7397B"/>
    <w:rsid w:val="7FFF8E36"/>
    <w:rsid w:val="7FFFADA6"/>
    <w:rsid w:val="9CFD36C7"/>
    <w:rsid w:val="9EDFAB6B"/>
    <w:rsid w:val="9EFF5D3A"/>
    <w:rsid w:val="9FFA6E49"/>
    <w:rsid w:val="A77F5A2F"/>
    <w:rsid w:val="ABFB1F5D"/>
    <w:rsid w:val="ABFEC6B7"/>
    <w:rsid w:val="AFBB6636"/>
    <w:rsid w:val="B3AF0CEC"/>
    <w:rsid w:val="BC3D16A8"/>
    <w:rsid w:val="BF7F470F"/>
    <w:rsid w:val="BFEF9775"/>
    <w:rsid w:val="BFFB62BB"/>
    <w:rsid w:val="C7BB089F"/>
    <w:rsid w:val="C7FFA0D5"/>
    <w:rsid w:val="CBB75937"/>
    <w:rsid w:val="CE798127"/>
    <w:rsid w:val="CFBFDD28"/>
    <w:rsid w:val="CFF61BB1"/>
    <w:rsid w:val="D3CF388E"/>
    <w:rsid w:val="D43B3181"/>
    <w:rsid w:val="D77D81C5"/>
    <w:rsid w:val="D8BE2347"/>
    <w:rsid w:val="DBB82ED0"/>
    <w:rsid w:val="DBBC83DF"/>
    <w:rsid w:val="DCBD016E"/>
    <w:rsid w:val="DDF92D53"/>
    <w:rsid w:val="DF3AD17A"/>
    <w:rsid w:val="DFCD573B"/>
    <w:rsid w:val="DFDFF629"/>
    <w:rsid w:val="DFFF7598"/>
    <w:rsid w:val="E4F4DC6E"/>
    <w:rsid w:val="E4FE1179"/>
    <w:rsid w:val="E5717519"/>
    <w:rsid w:val="E7CC4ADC"/>
    <w:rsid w:val="E927B59C"/>
    <w:rsid w:val="E9E6626F"/>
    <w:rsid w:val="EABEF015"/>
    <w:rsid w:val="EB871002"/>
    <w:rsid w:val="EDAF4A1B"/>
    <w:rsid w:val="EE559D71"/>
    <w:rsid w:val="EF78A6C3"/>
    <w:rsid w:val="EFD67184"/>
    <w:rsid w:val="F4FE46FC"/>
    <w:rsid w:val="F77C31A3"/>
    <w:rsid w:val="F7CF99BE"/>
    <w:rsid w:val="F8FE4445"/>
    <w:rsid w:val="F9B7BCAE"/>
    <w:rsid w:val="FB3FBC0B"/>
    <w:rsid w:val="FBF77911"/>
    <w:rsid w:val="FBFB5CAA"/>
    <w:rsid w:val="FCDD66B0"/>
    <w:rsid w:val="FD1BE35D"/>
    <w:rsid w:val="FD3CEF24"/>
    <w:rsid w:val="FDEDD16C"/>
    <w:rsid w:val="FDEF0FBD"/>
    <w:rsid w:val="FDFF91F3"/>
    <w:rsid w:val="FE954AC1"/>
    <w:rsid w:val="FEA278EA"/>
    <w:rsid w:val="FEBEE5DE"/>
    <w:rsid w:val="FED72ABA"/>
    <w:rsid w:val="FEFF3A2B"/>
    <w:rsid w:val="FF3B7E00"/>
    <w:rsid w:val="FF59F34E"/>
    <w:rsid w:val="FFABE65A"/>
    <w:rsid w:val="FFBFAEFE"/>
    <w:rsid w:val="FFEF67CD"/>
    <w:rsid w:val="FFF37D9E"/>
    <w:rsid w:val="FFFC9C01"/>
    <w:rsid w:val="FFFFAA8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tabs>
        <w:tab w:val="left" w:pos="1620"/>
      </w:tabs>
      <w:spacing w:before="100" w:beforeLines="100" w:after="100" w:afterLines="100" w:line="240" w:lineRule="auto"/>
      <w:ind w:firstLine="0" w:firstLineChars="0"/>
      <w:jc w:val="center"/>
      <w:outlineLvl w:val="0"/>
    </w:pPr>
    <w:rPr>
      <w:rFonts w:ascii="宋体" w:hAnsi="宋体" w:eastAsia="宋体" w:cs="宋体"/>
      <w:b/>
      <w:kern w:val="44"/>
      <w:sz w:val="32"/>
    </w:rPr>
  </w:style>
  <w:style w:type="paragraph" w:styleId="3">
    <w:name w:val="heading 2"/>
    <w:basedOn w:val="2"/>
    <w:next w:val="1"/>
    <w:unhideWhenUsed/>
    <w:qFormat/>
    <w:uiPriority w:val="9"/>
    <w:pPr>
      <w:spacing w:before="40" w:beforeLines="40" w:after="40" w:afterLines="40"/>
      <w:outlineLvl w:val="1"/>
    </w:p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2"/>
    <w:qFormat/>
    <w:uiPriority w:val="0"/>
    <w:rPr>
      <w:rFonts w:ascii="仿宋_GB2312" w:eastAsia="仿宋_GB2312"/>
      <w:sz w:val="32"/>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qFormat/>
    <w:uiPriority w:val="0"/>
  </w:style>
  <w:style w:type="character" w:customStyle="1" w:styleId="11">
    <w:name w:val="页脚 Char"/>
    <w:basedOn w:val="9"/>
    <w:link w:val="5"/>
    <w:qFormat/>
    <w:uiPriority w:val="0"/>
    <w:rPr>
      <w:rFonts w:ascii="Times New Roman" w:hAnsi="Times New Roman" w:eastAsia="宋体" w:cs="Times New Roman"/>
      <w:sz w:val="18"/>
      <w:szCs w:val="18"/>
    </w:rPr>
  </w:style>
  <w:style w:type="character" w:customStyle="1" w:styleId="12">
    <w:name w:val="日期 Char"/>
    <w:basedOn w:val="9"/>
    <w:link w:val="4"/>
    <w:qFormat/>
    <w:uiPriority w:val="0"/>
    <w:rPr>
      <w:rFonts w:ascii="仿宋_GB2312" w:hAnsi="Times New Roman" w:eastAsia="仿宋_GB2312" w:cs="Times New Roman"/>
      <w:sz w:val="32"/>
      <w:szCs w:val="24"/>
    </w:rPr>
  </w:style>
  <w:style w:type="character" w:customStyle="1" w:styleId="13">
    <w:name w:val="页眉 Char"/>
    <w:basedOn w:val="9"/>
    <w:link w:val="6"/>
    <w:qFormat/>
    <w:uiPriority w:val="99"/>
    <w:rPr>
      <w:rFonts w:ascii="Times New Roman" w:hAnsi="Times New Roman" w:eastAsia="宋体" w:cs="Times New Roman"/>
      <w:sz w:val="18"/>
      <w:szCs w:val="18"/>
    </w:rPr>
  </w:style>
  <w:style w:type="table" w:customStyle="1" w:styleId="14">
    <w:name w:val="网格型1"/>
    <w:basedOn w:val="7"/>
    <w:qFormat/>
    <w:uiPriority w:val="59"/>
    <w:pPr>
      <w:jc w:val="both"/>
    </w:pPr>
    <w:rPr>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242</Pages>
  <Words>178207</Words>
  <Characters>184730</Characters>
  <Lines>2</Lines>
  <Paragraphs>1</Paragraphs>
  <TotalTime>5</TotalTime>
  <ScaleCrop>false</ScaleCrop>
  <LinksUpToDate>false</LinksUpToDate>
  <CharactersWithSpaces>186777</CharactersWithSpaces>
  <Application>WPS Office_11.8.2.11810_F1E327BC-269C-435d-A152-05C5408002CA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2019-09-23T06:10:00Z</dcterms:created>
  <dc:creator>CN=李小鹏/OU=办公室/O=CZCE</dc:creator>
  <cp:lastModifiedBy>马世垚</cp:lastModifiedBy>
  <dcterms:modified xsi:type="dcterms:W3CDTF">2026-11-06T14:26:35Z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2052-11.8.2.11810</vt:lpwstr>
  </property>
  <property fmtid="{D5CDD505-2E9C-101B-9397-08002B2CF9AE}" pid="3" name="ICV">
    <vt:lpwstr>DEBBAF3887B7467EB4A14E9E35595575</vt:lpwstr>
  </property>
  <property fmtid="{D5CDD505-2E9C-101B-9397-08002B2CF9AE}" pid="4" name="DocID">
    <vt:lpwstr>660987854649</vt:lpwstr>
  </property>
</Properties>
</file>