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bookmarkStart w:id="0" w:name="_Toc29019"/>
      <w:r>
        <w:rPr>
          <w:rFonts w:hint="eastAsia"/>
          <w:lang w:val="en-US" w:eastAsia="zh-CN"/>
        </w:rPr>
        <w:t>郑州商品交易所白糖期权合约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白糖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白糖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6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68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合约标的物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白糖期货合约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合约类型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交易单位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1手（10吨）白糖期货合约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报价单位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最小变动价位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涨跌停板幅度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与白糖期货合约涨跌停板幅度相同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合约月份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常规期权：标的期货合约中的连续两个近月，其后月份在标的期货合约结算后持仓量达到5000手（单边）之后的第二个交易日挂牌系列期权：在标的期货合约交割月份前四个月第一个交易日挂牌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交易时间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上午9:00-11:30，下午13:30-15:00，以及交易所规定的其他交易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最后交易日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常规期权：标的期货合约交割月份前一个月第13个交易日，交易所可以根据国家法定节假日等调整最后交易日并向市场公布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系列期权：标的期货合约交割月份前两个月第13个交易日，交易所可以根据国家法定节假日等调整最后交易日并向市场公布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到期日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行权价格覆盖标的期货合约上一交易日结算价上下浮动1.5倍当日涨跌停板幅度对应的价格范围。行权价格≤3000元/吨，行权价格间距为50元/吨；3000元/吨＜行权价格≤10000元/吨，行权价格间距为100元/吨；行权价格＞10000元/吨，行权价格间距为200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行权方式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交易代码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常规期权：看涨期权为SR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合约月份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C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行权价格，看跌期权为SR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合约月份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P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系列期权：看涨期权为SR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合约月份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MS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C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行权价格，看跌期权为SR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合约月份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MS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P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none"/>
              </w:rPr>
              <w:t>—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上市交易所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before="157" w:beforeLines="50" w:after="157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宋体"/>
        </w:rPr>
        <w:br w:type="page"/>
      </w:r>
      <w:bookmarkStart w:id="1" w:name="_Toc3238"/>
      <w:r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  <w:t>郑州商品交易所棉花期权合约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棉花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棉花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68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合约标的物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棉花期货合约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合约类型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交易单位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1手棉花期货合约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报价单位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最小变动价位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涨跌停板幅度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与棉花期货合约涨跌停板幅度相同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合约月份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常规期权：标的期货合约中的连续两个近月，其后月份在标的期货合约结算后持仓量达到5000手（单边）之后的第二个交易日挂牌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系列期权：在标的期货合约交割月份前四个月第一个交易日挂牌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交易时间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最后交易日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常规期权：标的期货合约交割月份前一个月第13个交易日，交易所可以根据国家法定节假日等调整最后交易日并向市场公布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系列期权：标的期货合约交割月份前两个月第13个交易日，交易所可以根据国家法定节假日等调整最后交易日并向市场公布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到期日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行权价格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行权价格覆盖标的期货合约上一交易日结算价上下浮动1.5倍当日涨跌停板幅度对应的价格范围。行权价格≤10000元/吨，行权价格间距为100元/吨；10000元/吨＜行权价格≤20000元/吨，行权价格间距为200元/吨；行权价格＞20000元/吨，行权价格间距为400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行权方式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交易代码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常规期权：看涨期权为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CF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—合约月份—C—行权价格，看跌期权为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CF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—合约月份—P—行权价格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系列期权：看涨期权为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CF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—合约月份—MS—C—行权价格，看跌期权为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CF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—合约月份—MS—P—行权价格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上市交易所</w:t>
            </w:r>
          </w:p>
        </w:tc>
        <w:tc>
          <w:tcPr>
            <w:tcW w:w="6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before="157" w:beforeLines="50" w:after="157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24"/>
          <w:highlight w:val="none"/>
        </w:rPr>
        <w:br w:type="page"/>
      </w:r>
      <w:bookmarkStart w:id="2" w:name="_Toc4590"/>
      <w:r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  <w:t>郑州商品交易所精对苯二甲酸（PTA）期权合约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PTA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PTA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7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69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精对苯二甲酸（PTA）期货合约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1手PTA期货合约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与PTA期货合约涨跌停板幅度相同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看涨期权：TA—合约月份—C—行权价格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看跌期权：TA—合约月份—P—行权价格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lang w:eastAsia="zh-CN"/>
        </w:rPr>
        <w:br w:type="page"/>
      </w:r>
      <w:bookmarkStart w:id="3" w:name="_Toc31433"/>
      <w:r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  <w:t>郑州商品交易所甲醇期权合约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甲醇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甲醇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7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69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甲醇期货合约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1手甲醇期货合约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与甲醇期货合约涨跌停板幅度相同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2500元/吨，行权价格间距为25元/吨；2500元/吨＜行权价格≤5000元/吨，行权价格间距为50元/吨；行权价格＞5000元/吨，行权价格间距为100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看涨期权：MA—合约月份—C—行权价格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看跌期权：MA—合约月份—P—行权价格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br w:type="page"/>
      </w:r>
      <w:bookmarkStart w:id="4" w:name="_Toc7057"/>
      <w:r>
        <w:rPr>
          <w:rFonts w:hint="eastAsia" w:ascii="宋体" w:hAnsi="宋体" w:cs="宋体"/>
          <w:b/>
          <w:color w:val="auto"/>
          <w:kern w:val="44"/>
          <w:sz w:val="32"/>
          <w:lang w:val="en-US" w:eastAsia="zh-CN"/>
        </w:rPr>
        <w:t>郑州商品交易所菜籽粕期权合约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菜粕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菜粕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756" w:type="dxa"/>
        <w:tblInd w:w="-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69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菜籽粕期货合约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1手菜籽粕期货合约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与菜籽粕期货合约涨跌停板幅度相同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常规期权：标的期货合约中的连续两个近月，其后月份在标的期货合约结算后持仓量达到5000手（单边）之后的第二个交易日挂牌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系列期权：在标的期货合约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eastAsia="zh-CN"/>
              </w:rPr>
              <w:t>（除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8月、9月合约外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交割月份前四个月第一个交易日挂牌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常规期权：标的期货合约交割月份前一个月第13个交易日，交易所可以根据国家法定节假日等调整最后交易日并向市场公布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系列期权：标的期货合约交割月份前两个月第13个交易日，交易所可以根据国家法定节假日等调整最后交易日并向市场公布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2500元/吨，行权价格间距为25元/吨；2500元/吨＜行权价格≤5000元/吨，行权价格间距为50元/吨；行权价格＞5000元/吨，行权价格间距为100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常规期权：看涨期权为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RM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—合约月份—C—行权价格，看跌期权为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RM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—合约月份—P—行权价格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系列期权：看涨期权为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RM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—合约月份—MS—C—行权价格，看跌期权为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RM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—合约月份—MS—P—行权价格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before="157" w:beforeLines="50" w:after="157" w:afterLines="50"/>
        <w:jc w:val="center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szCs w:val="28"/>
          <w:highlight w:val="none"/>
        </w:rPr>
        <w:br w:type="page"/>
      </w:r>
      <w:bookmarkStart w:id="5" w:name="_Toc5857"/>
      <w:r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  <w:t>郑州商品交易所动力煤期权合约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动力煤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动力煤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741" w:type="dxa"/>
        <w:tblInd w:w="-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69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动力煤期货合约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1手动力煤期货合约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0.1元/吨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与动力煤期货合约涨跌停板幅度相同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行权价格覆盖标的期货合约上一交易日结算价上下浮动1.5倍当日涨跌停板幅度对应的价格范围。行权价格≤500元/吨，行权价格间距为5元/吨；行权价格＞500元/吨，行权价格间距为10元/吨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看涨期权：ZC—合约月份—C—行权价格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看跌期权：ZC—合约月份—P—行权价格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br w:type="page"/>
      </w:r>
      <w:bookmarkStart w:id="6" w:name="_Toc31979"/>
      <w:r>
        <w:rPr>
          <w:rFonts w:hint="eastAsia"/>
          <w:lang w:val="en-US" w:eastAsia="zh-CN"/>
        </w:rPr>
        <w:t>郑州商品交易所菜籽油期权合约</w:t>
      </w:r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菜油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菜油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66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6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菜籽油期货合约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1手菜籽油期货合约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与菜籽油期货合约涨跌停板幅度相同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常规期权：标的期货合约中的连续两个近月，其后月份在标的期货合约结算后持仓量达到5000手（单边）之后的第二个交易日挂牌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系列期权：在标的期货合约交割月份前四个月第一个交易日挂牌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常规期权：标的期货合约交割月份前一个月第13个交易日，交易所可以根据国家法定节假日等调整最后交易日并向市场公布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系列期权：标的期货合约交割月份前两个月第13个交易日，交易所可以根据国家法定节假日等调整最后交易日并向市场公布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常规期权：看涨期权为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OI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—合约月份—C—行权价格，看跌期权为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OI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—合约月份—P—行权价格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系列期权：看涨期权为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OI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—合约月份—MS—C—行权价格，看跌期权为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OI</w:t>
            </w: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  <w:t>—合约月份—MS—P—行权价格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before="157" w:beforeLines="50" w:after="157" w:afterLines="50"/>
        <w:jc w:val="center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宋体"/>
        </w:rPr>
        <w:br w:type="page"/>
      </w:r>
      <w:bookmarkStart w:id="7" w:name="_Toc12303"/>
      <w:r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  <w:t>郑州商品交易所花生期权合约</w:t>
      </w:r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花生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花生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659" w:type="dxa"/>
        <w:tblInd w:w="-5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68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花生期货合约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1手花生期货合约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与花生期货合约涨跌停板幅度相同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标的期货合约中的连续两个近月，其后月份在标的期货合约结算后持仓量达到5000手（单边）之后的第二个交易日挂牌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看涨期权：PK—合约月份—C—行权价格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看跌期权：PK—合约月份—P—行权价格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32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br w:type="page"/>
      </w:r>
      <w:bookmarkStart w:id="8" w:name="_Toc24393"/>
      <w:r>
        <w:rPr>
          <w:rFonts w:hint="eastAsia"/>
          <w:lang w:val="en-US" w:eastAsia="zh-CN"/>
        </w:rPr>
        <w:t>郑州商品交易所对二甲苯期权合约</w:t>
      </w:r>
      <w:bookmarkEnd w:id="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对二甲苯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对二甲苯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645" w:type="dxa"/>
        <w:tblInd w:w="-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68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对二甲苯期货合约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1手对二甲苯期货合约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与对二甲苯期货合约涨跌停板幅度相同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板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看涨期权：PX—合约月份—C—行权价格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看跌期权：PX—合约月份—P—行权价格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bookmarkStart w:id="9" w:name="_Toc20059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br w:type="page"/>
      </w:r>
      <w:r>
        <w:rPr>
          <w:rFonts w:hint="eastAsia"/>
          <w:lang w:val="en-US" w:eastAsia="zh-CN"/>
        </w:rPr>
        <w:t>郑州商品交易所烧碱期权合约</w:t>
      </w:r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烧碱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烧碱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5056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68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烧碱期货合约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1手烧碱期货合约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与烧碱期货合约涨跌停板幅度相同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2000元/吨，行权价格间距为20元/吨；2000元/吨＜行权价格≤4000元/吨，行权价格间距为40元/吨；行权价格＞4000元/吨，行权价格间距为80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看涨期权：SH—合约月份—C—行权价格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看跌期权：SH—合约月份—P—行权价格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line="240" w:lineRule="auto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spacing w:val="-6"/>
          <w:sz w:val="32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br w:type="page"/>
      </w:r>
      <w:bookmarkStart w:id="10" w:name="_Toc18137"/>
      <w:r>
        <w:rPr>
          <w:rFonts w:hint="eastAsia"/>
          <w:lang w:val="en-US" w:eastAsia="zh-CN"/>
        </w:rPr>
        <w:t>郑州商品交易所涤纶短纤期权合约</w:t>
      </w:r>
      <w:bookmarkEnd w:id="1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短纤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短纤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67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涤纶短纤期货合约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1手涤纶短纤期货合约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与涤纶短纤期货合约涨跌停板幅度相同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看涨期权：PF—合约月份—C—-行权价格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看跌期权：PF—合约月份—P—行权价格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line="240" w:lineRule="auto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sz w:val="32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before="157" w:beforeLines="50" w:after="157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br w:type="page"/>
      </w:r>
      <w:bookmarkStart w:id="11" w:name="_Toc6255"/>
      <w:r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  <w:t>郑州商品交易所纯碱期权合约</w:t>
      </w:r>
      <w:bookmarkEnd w:id="1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/>
          <w:color w:val="auto"/>
          <w:kern w:val="44"/>
          <w:sz w:val="32"/>
          <w:szCs w:val="24"/>
          <w:lang w:val="en-US" w:eastAsia="zh-CN" w:bidi="ar-SA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纯碱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纯碱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72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685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纯碱期货合约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1手纯碱期货合约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与纯碱期货合约涨跌停板幅度相同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1000元/吨，行权价格间距为10元/吨；1000元/吨＜行权价格≤2000元/吨，行权价格间距为20元/吨；行权价格＞2000元/吨，行权价格间距为40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看涨期权：SA—合约月份—C—行权价格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看跌期权：SA—合约月份—P—行权价格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br w:type="page"/>
      </w:r>
      <w:bookmarkStart w:id="12" w:name="_Toc3564"/>
      <w:r>
        <w:rPr>
          <w:rFonts w:hint="eastAsia"/>
          <w:lang w:val="en-US" w:eastAsia="zh-CN"/>
        </w:rPr>
        <w:t>郑州商品交易锰硅期权合约</w:t>
      </w:r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锰硅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锰硅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4913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670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锰硅期货合约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1手锰硅期货合约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与锰硅期货合约涨跌停板幅度相同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标的期货合约中的连续两个近月，其后月份在标的期货合约结算后持仓量达到5000手（单边）之后的第二个交易日挂牌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看涨期权：SM—合约月份—C—行权价格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看跌期权：SM—合约月份—P—行权价格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4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br w:type="page"/>
      </w:r>
      <w:bookmarkStart w:id="13" w:name="_Toc23655"/>
      <w:r>
        <w:rPr>
          <w:rFonts w:hint="eastAsia"/>
          <w:lang w:val="en-US" w:eastAsia="zh-CN"/>
        </w:rPr>
        <w:t>郑州商品交易所硅铁期权合约</w:t>
      </w:r>
      <w:bookmarkEnd w:id="1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硅铁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硅铁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4983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679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硅铁期货合约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1手硅铁期货合约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与硅铁期货合约涨跌停板幅度相同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标的期货合约中的连续两个近月，其后月份在标的期货合约结算后持仓量达到5000手（单边）之后的第二个交易日挂牌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看涨期权：SF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—合约月份—C—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看跌期权：SF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—合约月份—P—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3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br w:type="page"/>
      </w:r>
      <w:bookmarkStart w:id="14" w:name="_Toc23315"/>
      <w:r>
        <w:rPr>
          <w:rFonts w:hint="eastAsia"/>
          <w:lang w:val="en-US" w:eastAsia="zh-CN"/>
        </w:rPr>
        <w:t>郑州商品交易所尿素期权合约</w:t>
      </w:r>
      <w:bookmarkEnd w:id="1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尿素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尿素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862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696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尿素期货合约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1手尿素期货合约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与尿素期货合约涨跌停板幅度相同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1000元/吨，行权价格间距为10元/吨；1000元/吨＜行权价格≤2000元/吨，行权价格间距为20元/吨；行权价格＞2000元/吨，行权价格间距为40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看涨期权：UR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—合约月份—C—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看跌期权：UR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—合约月份—P—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</w:rPr>
        <w:br w:type="page"/>
      </w:r>
      <w:bookmarkStart w:id="15" w:name="_Toc31719"/>
      <w:r>
        <w:rPr>
          <w:rFonts w:hint="eastAsia"/>
          <w:lang w:val="en-US" w:eastAsia="zh-CN"/>
        </w:rPr>
        <w:t>郑州商品交易所鲜苹果期权合约</w:t>
      </w:r>
      <w:bookmarkEnd w:id="1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苹果</w:t>
      </w:r>
      <w:r>
        <w:rPr>
          <w:rFonts w:hint="default" w:ascii="宋体" w:hAnsi="宋体" w:cs="宋体"/>
          <w:kern w:val="2"/>
          <w:sz w:val="24"/>
          <w:highlight w:val="none"/>
        </w:rPr>
        <w:t>期货2711及后续合约对应的期权合约，自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苹果</w:t>
      </w:r>
      <w:r>
        <w:rPr>
          <w:rFonts w:hint="default" w:ascii="宋体" w:hAnsi="宋体" w:cs="宋体"/>
          <w:kern w:val="2"/>
          <w:sz w:val="24"/>
          <w:highlight w:val="none"/>
        </w:rPr>
        <w:t>期货2711合约挂牌之日起实施）</w:t>
      </w:r>
    </w:p>
    <w:tbl>
      <w:tblPr>
        <w:tblStyle w:val="7"/>
        <w:tblW w:w="503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69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鲜苹果期货合约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1手鲜苹果期货合约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与鲜苹果期货合约涨跌停板幅度相同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标的期货合约中的连续两个近月，其后月份在标的期货合约结算后持仓量达到5000手（单边）之后的第二个交易日挂牌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上午9：00—11：30，下午13：30—15：00，以及交易所规定的其他交易时间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看涨期权：AP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—合约月份—C—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看跌期权：AP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—合约月份—P—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4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620"/>
        </w:tabs>
        <w:kinsoku/>
        <w:wordWrap/>
        <w:overflowPunct/>
        <w:topLinePunct/>
        <w:autoSpaceDE/>
        <w:autoSpaceDN/>
        <w:bidi w:val="0"/>
        <w:spacing w:line="240" w:lineRule="auto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br w:type="page"/>
      </w:r>
      <w:bookmarkStart w:id="16" w:name="_Toc29009"/>
      <w:r>
        <w:rPr>
          <w:rFonts w:hint="eastAsia"/>
          <w:lang w:val="en-US" w:eastAsia="zh-CN"/>
        </w:rPr>
        <w:t>郑州商品交易所干制红枣期权合约</w:t>
      </w:r>
      <w:bookmarkEnd w:id="1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红枣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2</w:t>
      </w:r>
      <w:r>
        <w:rPr>
          <w:rFonts w:hint="default" w:ascii="宋体" w:hAnsi="宋体" w:cs="宋体"/>
          <w:kern w:val="2"/>
          <w:sz w:val="24"/>
          <w:highlight w:val="none"/>
        </w:rPr>
        <w:t>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红枣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2</w:t>
      </w:r>
      <w:r>
        <w:rPr>
          <w:rFonts w:hint="default" w:ascii="宋体" w:hAnsi="宋体" w:cs="宋体"/>
          <w:kern w:val="2"/>
          <w:sz w:val="24"/>
          <w:highlight w:val="none"/>
        </w:rPr>
        <w:t>合约挂牌之日起实施）</w:t>
      </w:r>
    </w:p>
    <w:tbl>
      <w:tblPr>
        <w:tblStyle w:val="7"/>
        <w:tblW w:w="864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69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干制红枣期货合约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1手干制红枣期货合约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与干制红枣期货合约涨跌停板幅度相同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标的期货合约中的连续两个近月，其后月份在标的期货合约结算后持仓量达到5000手（单边）之后的第二个交易日挂牌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上午9:00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11:30，下午1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:30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:00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，以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10000元/吨，行权价格间距为100元/吨；10000元/吨＜行权价格≤20000元/吨，行权价格间距为200元/吨；行权价格＞20000元/吨，行权价格间距为400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看涨期权：CJ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—合约月份—C—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看跌期权：CJ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—合约月份—P—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br w:type="page"/>
      </w:r>
      <w:bookmarkStart w:id="17" w:name="_Toc15892"/>
      <w:r>
        <w:rPr>
          <w:rFonts w:hint="eastAsia"/>
          <w:lang w:val="en-US" w:eastAsia="zh-CN"/>
        </w:rPr>
        <w:t>郑州商品交易所平板玻璃期权合约</w:t>
      </w:r>
      <w:bookmarkEnd w:id="1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玻璃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</w:t>
      </w:r>
      <w:r>
        <w:rPr>
          <w:rFonts w:hint="default" w:ascii="宋体" w:hAnsi="宋体" w:cs="宋体"/>
          <w:kern w:val="2"/>
          <w:sz w:val="24"/>
          <w:highlight w:val="none"/>
        </w:rPr>
        <w:t>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玻璃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</w:t>
      </w:r>
      <w:r>
        <w:rPr>
          <w:rFonts w:hint="default" w:ascii="宋体" w:hAnsi="宋体" w:cs="宋体"/>
          <w:kern w:val="2"/>
          <w:sz w:val="24"/>
          <w:highlight w:val="none"/>
        </w:rPr>
        <w:t>合约挂牌之日起实施）</w:t>
      </w:r>
    </w:p>
    <w:tbl>
      <w:tblPr>
        <w:tblStyle w:val="7"/>
        <w:tblW w:w="871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701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合约标的物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平板玻璃期货合约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合约类型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交易单位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1手平板玻璃期货合约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报价单位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最小变动价位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涨跌停板幅度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与平板玻璃期货合约涨跌停板幅度相同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合约月份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交易时间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上午9:00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11:30，下午1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:30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:00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，以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最后交易日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到期日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覆盖标的期货合约上一交易日结算价上下浮动1.5倍当日涨跌停板幅度对应的价格范围。行权价格≤1000元/吨，行权价格间距为10元/吨；1000元/吨＜行权价格≤2000元/吨，行权价格间距为20元/吨；行权价格＞2000元/吨，行权价格间距为40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行权方式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交易代码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看涨期权：FG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—合约月份—C—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看跌期权：FG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—合约月份—P—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上市交易所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br w:type="page"/>
      </w:r>
      <w:bookmarkStart w:id="18" w:name="_Toc29370"/>
      <w:r>
        <w:rPr>
          <w:rFonts w:hint="eastAsia"/>
          <w:lang w:val="en-US" w:eastAsia="zh-CN"/>
        </w:rPr>
        <w:t>郑州商品交易所瓶级聚酯切片期权合约</w:t>
      </w:r>
      <w:bookmarkEnd w:id="1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瓶片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</w:t>
      </w:r>
      <w:r>
        <w:rPr>
          <w:rFonts w:hint="default" w:ascii="宋体" w:hAnsi="宋体" w:cs="宋体"/>
          <w:kern w:val="2"/>
          <w:sz w:val="24"/>
          <w:highlight w:val="none"/>
        </w:rPr>
        <w:t>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瓶片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</w:t>
      </w:r>
      <w:r>
        <w:rPr>
          <w:rFonts w:hint="default" w:ascii="宋体" w:hAnsi="宋体" w:cs="宋体"/>
          <w:kern w:val="2"/>
          <w:sz w:val="24"/>
          <w:highlight w:val="none"/>
        </w:rPr>
        <w:t>合约挂牌之日起实施）</w:t>
      </w:r>
    </w:p>
    <w:tbl>
      <w:tblPr>
        <w:tblStyle w:val="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66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合约标的物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瓶级聚酯切片期货合约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合约类型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看涨期权、看跌期权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交易单位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1手瓶级聚酯切片期货合约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报价单位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元（人民币）/吨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最小变动价位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涨跌停板幅度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与瓶级聚酯切片期货合约涨跌停板幅度相同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合约月份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标的期货合约中的连续两个近月，其后月份在标的期货合约结算后持仓量达到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000手（单边）之后的第二个交易日挂牌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交易时间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上午9:00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11:30，下午13:30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15:00，以及交易所规定的其他交易时间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最后交易日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到期日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同最后交易日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1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</w:t>
            </w:r>
          </w:p>
        </w:tc>
        <w:tc>
          <w:tcPr>
            <w:tcW w:w="3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行权方式</w:t>
            </w:r>
          </w:p>
        </w:tc>
        <w:tc>
          <w:tcPr>
            <w:tcW w:w="3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交易代码</w:t>
            </w:r>
          </w:p>
        </w:tc>
        <w:tc>
          <w:tcPr>
            <w:tcW w:w="3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看涨期权：PR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—合约月份—C—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看跌期权：PR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—合约月份—P—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上市交易所</w:t>
            </w:r>
          </w:p>
        </w:tc>
        <w:tc>
          <w:tcPr>
            <w:tcW w:w="3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郑州商品交易所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br w:type="page"/>
      </w:r>
      <w:bookmarkStart w:id="19" w:name="_Toc24101"/>
      <w:r>
        <w:rPr>
          <w:rFonts w:hint="eastAsia"/>
          <w:lang w:val="en-US" w:eastAsia="zh-CN"/>
        </w:rPr>
        <w:t>郑州商品交易所丙烯期权合约</w:t>
      </w:r>
      <w:bookmarkEnd w:id="1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lang w:val="en-US" w:eastAsia="zh-CN"/>
        </w:rPr>
      </w:pPr>
      <w:r>
        <w:rPr>
          <w:rFonts w:hint="default" w:ascii="宋体" w:hAnsi="宋体" w:cs="宋体"/>
          <w:kern w:val="2"/>
          <w:sz w:val="24"/>
          <w:highlight w:val="none"/>
        </w:rPr>
        <w:t>（202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6</w:t>
      </w:r>
      <w:r>
        <w:rPr>
          <w:rFonts w:hint="default" w:ascii="宋体" w:hAnsi="宋体" w:cs="宋体"/>
          <w:kern w:val="2"/>
          <w:sz w:val="24"/>
          <w:highlight w:val="none"/>
        </w:rPr>
        <w:t>年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10</w:t>
      </w:r>
      <w:r>
        <w:rPr>
          <w:rFonts w:hint="default" w:ascii="宋体" w:hAnsi="宋体" w:cs="宋体"/>
          <w:kern w:val="2"/>
          <w:sz w:val="24"/>
          <w:highlight w:val="none"/>
        </w:rPr>
        <w:t>月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14</w:t>
      </w:r>
      <w:r>
        <w:rPr>
          <w:rFonts w:hint="default" w:ascii="宋体" w:hAnsi="宋体" w:cs="宋体"/>
          <w:kern w:val="2"/>
          <w:sz w:val="24"/>
          <w:highlight w:val="none"/>
        </w:rPr>
        <w:t>日郑州商品交易所第</w:t>
      </w:r>
      <w:r>
        <w:rPr>
          <w:rFonts w:hint="default" w:ascii="宋体" w:hAnsi="宋体" w:cs="宋体"/>
          <w:kern w:val="2"/>
          <w:sz w:val="24"/>
          <w:highlight w:val="none"/>
          <w:lang w:eastAsia="zh-CN"/>
        </w:rPr>
        <w:t>九</w:t>
      </w:r>
      <w:r>
        <w:rPr>
          <w:rFonts w:hint="default" w:ascii="宋体" w:hAnsi="宋体" w:cs="宋体"/>
          <w:kern w:val="2"/>
          <w:sz w:val="24"/>
          <w:highlight w:val="none"/>
        </w:rPr>
        <w:t>届理事会第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六</w:t>
      </w:r>
      <w:r>
        <w:rPr>
          <w:rFonts w:hint="default" w:ascii="宋体" w:hAnsi="宋体" w:cs="宋体"/>
          <w:kern w:val="2"/>
          <w:sz w:val="24"/>
          <w:highlight w:val="none"/>
        </w:rPr>
        <w:t>次会议审议通过，适用于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丙烯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</w:t>
      </w:r>
      <w:r>
        <w:rPr>
          <w:rFonts w:hint="default" w:ascii="宋体" w:hAnsi="宋体" w:cs="宋体"/>
          <w:kern w:val="2"/>
          <w:sz w:val="24"/>
          <w:highlight w:val="none"/>
        </w:rPr>
        <w:t>及后续合约对应的期权合约，自</w:t>
      </w:r>
      <w:r>
        <w:rPr>
          <w:rFonts w:hint="eastAsia" w:ascii="宋体" w:hAnsi="宋体" w:cs="宋体"/>
          <w:kern w:val="2"/>
          <w:sz w:val="24"/>
          <w:highlight w:val="none"/>
          <w:lang w:eastAsia="zh-CN"/>
        </w:rPr>
        <w:t>丙烯</w:t>
      </w:r>
      <w:r>
        <w:rPr>
          <w:rFonts w:hint="default" w:ascii="宋体" w:hAnsi="宋体" w:cs="宋体"/>
          <w:kern w:val="2"/>
          <w:sz w:val="24"/>
          <w:highlight w:val="none"/>
        </w:rPr>
        <w:t>期货271</w:t>
      </w:r>
      <w:r>
        <w:rPr>
          <w:rFonts w:hint="eastAsia" w:ascii="宋体" w:hAnsi="宋体" w:cs="宋体"/>
          <w:kern w:val="2"/>
          <w:sz w:val="24"/>
          <w:highlight w:val="none"/>
          <w:lang w:val="en-US" w:eastAsia="zh-CN"/>
        </w:rPr>
        <w:t>1</w:t>
      </w:r>
      <w:r>
        <w:rPr>
          <w:rFonts w:hint="default" w:ascii="宋体" w:hAnsi="宋体" w:cs="宋体"/>
          <w:kern w:val="2"/>
          <w:sz w:val="24"/>
          <w:highlight w:val="none"/>
        </w:rPr>
        <w:t>合约挂牌之日起实施）</w:t>
      </w:r>
    </w:p>
    <w:tbl>
      <w:tblPr>
        <w:tblStyle w:val="7"/>
        <w:tblW w:w="499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666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合约标的物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丙烯期货合约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合约类型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交易单位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1手丙烯期货合约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报价单位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最小变动价位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涨跌停板幅度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与丙烯期货合约涨跌停板幅度相同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合约月份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标的期货合约中的连续两个近月，其后月份在标的期货合约结算后持仓量达到10000手（单边）之后的第二个交易日挂牌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交易时间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上午9:00－11:30，下午13:30－15:00，以及交易所规定的其他交易时间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最后交易日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标的期货合约交割月份前一个月第13个交易日，交易所可以根据国家法定节假日等调整最后交易日并向市场公布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到期日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行权方式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交易代码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看涨期权：PL－合约月份－C－行权价格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看跌期权：PL－合约月份－P－行权价格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上市交易所</w:t>
            </w:r>
          </w:p>
        </w:tc>
        <w:tc>
          <w:tcPr>
            <w:tcW w:w="3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620"/>
              </w:tabs>
              <w:suppressAutoHyphens/>
              <w:kinsoku/>
              <w:wordWrap/>
              <w:overflowPunct/>
              <w:topLinePunct/>
              <w:autoSpaceDE/>
              <w:autoSpaceDN/>
              <w:bidi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郑州商品交易所</w:t>
            </w:r>
          </w:p>
        </w:tc>
      </w:tr>
    </w:tbl>
    <w:p>
      <w:pPr>
        <w:rPr>
          <w:rFonts w:ascii="仿宋" w:hAnsi="仿宋" w:eastAsia="仿宋"/>
          <w:sz w:val="32"/>
        </w:rPr>
      </w:pPr>
      <w:bookmarkStart w:id="20" w:name="_GoBack"/>
      <w:bookmarkEnd w:id="2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0BBA1103"/>
    <w:rsid w:val="0BCE9211"/>
    <w:rsid w:val="0DA739E9"/>
    <w:rsid w:val="277655FF"/>
    <w:rsid w:val="2DAEDA4B"/>
    <w:rsid w:val="347F2A0F"/>
    <w:rsid w:val="37BF2F1C"/>
    <w:rsid w:val="3DBBB1F2"/>
    <w:rsid w:val="3DE9AED7"/>
    <w:rsid w:val="3FFD7A51"/>
    <w:rsid w:val="4F6752A3"/>
    <w:rsid w:val="4FBAF4EB"/>
    <w:rsid w:val="4FFCB421"/>
    <w:rsid w:val="52F1E426"/>
    <w:rsid w:val="59DF56FD"/>
    <w:rsid w:val="59FB7489"/>
    <w:rsid w:val="5EED5813"/>
    <w:rsid w:val="5F803582"/>
    <w:rsid w:val="654DD362"/>
    <w:rsid w:val="66BFBB1B"/>
    <w:rsid w:val="66FF839F"/>
    <w:rsid w:val="679B4716"/>
    <w:rsid w:val="67E74A9E"/>
    <w:rsid w:val="6AEB54B0"/>
    <w:rsid w:val="6C5A403E"/>
    <w:rsid w:val="6D7D11E2"/>
    <w:rsid w:val="6EECDE7B"/>
    <w:rsid w:val="6FFD20E8"/>
    <w:rsid w:val="6FFFF671"/>
    <w:rsid w:val="714F49AE"/>
    <w:rsid w:val="74C9663E"/>
    <w:rsid w:val="74F2B1D8"/>
    <w:rsid w:val="76F7FC20"/>
    <w:rsid w:val="77BDCFCE"/>
    <w:rsid w:val="78031D0F"/>
    <w:rsid w:val="78FBACE1"/>
    <w:rsid w:val="7BBE9F13"/>
    <w:rsid w:val="7BDAA61A"/>
    <w:rsid w:val="7BFF0E5B"/>
    <w:rsid w:val="7CBCA4A8"/>
    <w:rsid w:val="7CFA92C0"/>
    <w:rsid w:val="7D6FF5EA"/>
    <w:rsid w:val="7D7C8817"/>
    <w:rsid w:val="7DBA38DA"/>
    <w:rsid w:val="7DD96CB9"/>
    <w:rsid w:val="7DFD8E16"/>
    <w:rsid w:val="7DFF4E05"/>
    <w:rsid w:val="7EF701F7"/>
    <w:rsid w:val="7F370D49"/>
    <w:rsid w:val="7F3FCFBF"/>
    <w:rsid w:val="7F6E3F83"/>
    <w:rsid w:val="7F7E645A"/>
    <w:rsid w:val="7F7F3CE8"/>
    <w:rsid w:val="7FEDAE38"/>
    <w:rsid w:val="7FEE3E56"/>
    <w:rsid w:val="7FEFD862"/>
    <w:rsid w:val="7FF7397B"/>
    <w:rsid w:val="7FFF8E36"/>
    <w:rsid w:val="7FFFADA6"/>
    <w:rsid w:val="9CFD36C7"/>
    <w:rsid w:val="9EDFAB6B"/>
    <w:rsid w:val="9EFF5D3A"/>
    <w:rsid w:val="9FFA6E49"/>
    <w:rsid w:val="A77F5A2F"/>
    <w:rsid w:val="ABFB1F5D"/>
    <w:rsid w:val="ABFEC6B7"/>
    <w:rsid w:val="AFBB6636"/>
    <w:rsid w:val="B3AF0CEC"/>
    <w:rsid w:val="BC3D16A8"/>
    <w:rsid w:val="BF7F470F"/>
    <w:rsid w:val="BFEF9775"/>
    <w:rsid w:val="BFFB62BB"/>
    <w:rsid w:val="C7BB089F"/>
    <w:rsid w:val="C7FFA0D5"/>
    <w:rsid w:val="CBB75937"/>
    <w:rsid w:val="CE798127"/>
    <w:rsid w:val="CFBFDD28"/>
    <w:rsid w:val="CFF61BB1"/>
    <w:rsid w:val="D3CF388E"/>
    <w:rsid w:val="D43B3181"/>
    <w:rsid w:val="D77D81C5"/>
    <w:rsid w:val="D8BE2347"/>
    <w:rsid w:val="DBB82ED0"/>
    <w:rsid w:val="DBBC83DF"/>
    <w:rsid w:val="DCBD016E"/>
    <w:rsid w:val="DF3AD17A"/>
    <w:rsid w:val="DFCD573B"/>
    <w:rsid w:val="DFDFF629"/>
    <w:rsid w:val="DFFF7598"/>
    <w:rsid w:val="E4F4DC6E"/>
    <w:rsid w:val="E4FE1179"/>
    <w:rsid w:val="E5717519"/>
    <w:rsid w:val="E7CC4ADC"/>
    <w:rsid w:val="E927B59C"/>
    <w:rsid w:val="E9E6626F"/>
    <w:rsid w:val="EABEF015"/>
    <w:rsid w:val="EB871002"/>
    <w:rsid w:val="EDAF4A1B"/>
    <w:rsid w:val="EE559D71"/>
    <w:rsid w:val="EF78A6C3"/>
    <w:rsid w:val="EFD67184"/>
    <w:rsid w:val="F4FE46FC"/>
    <w:rsid w:val="F77C31A3"/>
    <w:rsid w:val="F7CF99BE"/>
    <w:rsid w:val="F8FE4445"/>
    <w:rsid w:val="F9B7BCAE"/>
    <w:rsid w:val="FB3FBC0B"/>
    <w:rsid w:val="FBF77911"/>
    <w:rsid w:val="FBFB5CAA"/>
    <w:rsid w:val="FCDD66B0"/>
    <w:rsid w:val="FD1BE35D"/>
    <w:rsid w:val="FD3CEF24"/>
    <w:rsid w:val="FDEDD16C"/>
    <w:rsid w:val="FDEF0FBD"/>
    <w:rsid w:val="FDFF91F3"/>
    <w:rsid w:val="FE954AC1"/>
    <w:rsid w:val="FEA278EA"/>
    <w:rsid w:val="FEBEE5DE"/>
    <w:rsid w:val="FED72ABA"/>
    <w:rsid w:val="FEFF3A2B"/>
    <w:rsid w:val="FF3B7E00"/>
    <w:rsid w:val="FF59F34E"/>
    <w:rsid w:val="FFABE65A"/>
    <w:rsid w:val="FFBFAEFE"/>
    <w:rsid w:val="FFEF67CD"/>
    <w:rsid w:val="FFF37D9E"/>
    <w:rsid w:val="FFFC9C01"/>
    <w:rsid w:val="FFFFAA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1620"/>
      </w:tabs>
      <w:spacing w:before="100" w:beforeLines="100" w:after="100" w:afterLines="100" w:line="240" w:lineRule="auto"/>
      <w:ind w:firstLine="0" w:firstLineChars="0"/>
      <w:jc w:val="center"/>
      <w:outlineLvl w:val="0"/>
    </w:pPr>
    <w:rPr>
      <w:rFonts w:ascii="宋体" w:hAnsi="宋体" w:eastAsia="宋体" w:cs="宋体"/>
      <w:b/>
      <w:kern w:val="44"/>
      <w:sz w:val="32"/>
    </w:rPr>
  </w:style>
  <w:style w:type="paragraph" w:styleId="3">
    <w:name w:val="heading 2"/>
    <w:basedOn w:val="2"/>
    <w:next w:val="1"/>
    <w:unhideWhenUsed/>
    <w:qFormat/>
    <w:uiPriority w:val="9"/>
    <w:pPr>
      <w:spacing w:before="40" w:beforeLines="40" w:after="40" w:afterLines="40"/>
      <w:outlineLvl w:val="1"/>
    </w:p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2"/>
    <w:qFormat/>
    <w:uiPriority w:val="0"/>
    <w:rPr>
      <w:rFonts w:ascii="仿宋_GB2312" w:eastAsia="仿宋_GB2312"/>
      <w:sz w:val="32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4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3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4">
    <w:name w:val="网格型1"/>
    <w:basedOn w:val="7"/>
    <w:qFormat/>
    <w:uiPriority w:val="59"/>
    <w:pPr>
      <w:jc w:val="both"/>
    </w:pPr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242</Pages>
  <Words>178207</Words>
  <Characters>184730</Characters>
  <Lines>2</Lines>
  <Paragraphs>1</Paragraphs>
  <TotalTime>5</TotalTime>
  <ScaleCrop>false</ScaleCrop>
  <LinksUpToDate>false</LinksUpToDate>
  <CharactersWithSpaces>186777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2019-09-23T06:10:00Z</dcterms:created>
  <dc:creator>CN=李小鹏/OU=办公室/O=CZCE</dc:creator>
  <cp:lastModifiedBy>马世垚</cp:lastModifiedBy>
  <dcterms:modified xsi:type="dcterms:W3CDTF">2026-11-06T14:22:18Z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DEBBAF3887B7467EB4A14E9E35595575</vt:lpwstr>
  </property>
  <property fmtid="{D5CDD505-2E9C-101B-9397-08002B2CF9AE}" pid="4" name="DocID">
    <vt:lpwstr>660987854649</vt:lpwstr>
  </property>
</Properties>
</file>