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widowControl w:val="0"/>
        <w:bidi w:val="0"/>
        <w:spacing w:beforeLines="0" w:beforeAutospacing="0" w:afterLines="0" w:afterAutospacing="0" w:line="240" w:lineRule="auto"/>
        <w:ind w:left="0" w:leftChars="0" w:firstLine="0" w:firstLineChars="0"/>
        <w:jc w:val="both"/>
        <w:outlineLvl w:val="1"/>
        <w:rPr>
          <w:rFonts w:hint="default" w:ascii="Times New Roman" w:hAnsi="Times New Roman" w:eastAsia="黑体" w:cs="Times New Roman"/>
          <w:kern w:val="2"/>
          <w:sz w:val="32"/>
          <w:szCs w:val="24"/>
          <w:lang w:val="en-US" w:eastAsia="zh-CN" w:bidi="ar-SA"/>
        </w:rPr>
      </w:pPr>
      <w:bookmarkStart w:id="1" w:name="_GoBack"/>
      <w:bookmarkEnd w:id="1"/>
      <w:r>
        <w:rPr>
          <w:rFonts w:hint="eastAsia" w:ascii="Times New Roman" w:hAnsi="Times New Roman" w:eastAsia="黑体" w:cs="Times New Roman"/>
          <w:kern w:val="2"/>
          <w:sz w:val="32"/>
          <w:szCs w:val="24"/>
          <w:lang w:val="en-US" w:eastAsia="zh-CN" w:bidi="ar-SA"/>
        </w:rPr>
        <w:t>附件3</w:t>
      </w:r>
    </w:p>
    <w:p>
      <w:pPr>
        <w:keepNext/>
        <w:keepLines/>
        <w:widowControl w:val="0"/>
        <w:bidi w:val="0"/>
        <w:spacing w:beforeLines="0" w:beforeAutospacing="0" w:afterLines="0" w:afterAutospacing="0" w:line="240" w:lineRule="auto"/>
        <w:ind w:firstLine="0" w:firstLineChars="0"/>
        <w:jc w:val="center"/>
        <w:outlineLvl w:val="0"/>
        <w:rPr>
          <w:rFonts w:hint="eastAsia" w:ascii="Times New Roman" w:hAnsi="Times New Roman" w:eastAsia="方正小标宋简体" w:cs="Times New Roman"/>
          <w:kern w:val="44"/>
          <w:sz w:val="44"/>
          <w:szCs w:val="24"/>
          <w:lang w:val="en-US" w:eastAsia="zh-CN" w:bidi="ar-SA"/>
        </w:rPr>
      </w:pPr>
      <w:r>
        <w:rPr>
          <w:rFonts w:hint="eastAsia" w:ascii="Times New Roman" w:hAnsi="Times New Roman" w:eastAsia="方正小标宋简体" w:cs="Times New Roman"/>
          <w:kern w:val="44"/>
          <w:sz w:val="44"/>
          <w:szCs w:val="24"/>
          <w:lang w:val="en-US" w:eastAsia="zh-CN" w:bidi="ar-SA"/>
        </w:rPr>
        <w:t>《</w:t>
      </w:r>
      <w:r>
        <w:rPr>
          <w:rFonts w:hint="default" w:ascii="Times New Roman" w:hAnsi="Times New Roman" w:eastAsia="方正小标宋简体" w:cs="Times New Roman"/>
          <w:kern w:val="44"/>
          <w:sz w:val="44"/>
          <w:szCs w:val="24"/>
          <w:lang w:val="en-US" w:eastAsia="zh-CN" w:bidi="ar-SA"/>
        </w:rPr>
        <w:t>郑州商品交易所菜籽粕期货业务细则</w:t>
      </w:r>
      <w:r>
        <w:rPr>
          <w:rFonts w:hint="eastAsia" w:ascii="Times New Roman" w:hAnsi="Times New Roman" w:eastAsia="方正小标宋简体" w:cs="Times New Roman"/>
          <w:kern w:val="44"/>
          <w:sz w:val="44"/>
          <w:szCs w:val="24"/>
          <w:lang w:val="en-US" w:eastAsia="zh-CN" w:bidi="ar-SA"/>
        </w:rPr>
        <w:t>》</w:t>
      </w:r>
    </w:p>
    <w:p>
      <w:pPr>
        <w:jc w:val="center"/>
        <w:rPr>
          <w:rFonts w:hint="eastAsia" w:ascii="Times New Roman" w:hAnsi="Times New Roman" w:eastAsia="方正小标宋简体" w:cs="Times New Roman"/>
          <w:bCs/>
          <w:sz w:val="44"/>
          <w:szCs w:val="44"/>
          <w:lang w:eastAsia="zh-CN"/>
        </w:rPr>
      </w:pPr>
      <w:r>
        <w:rPr>
          <w:rFonts w:hint="eastAsia" w:ascii="Times New Roman" w:hAnsi="Times New Roman" w:eastAsia="方正小标宋简体" w:cs="Times New Roman"/>
          <w:kern w:val="44"/>
          <w:sz w:val="44"/>
          <w:szCs w:val="24"/>
          <w:lang w:val="en-US" w:eastAsia="zh-CN" w:bidi="ar-SA"/>
        </w:rPr>
        <w:t>修订条款对照表</w:t>
      </w:r>
      <w:r>
        <w:rPr>
          <w:rFonts w:hint="eastAsia" w:ascii="Times New Roman" w:hAnsi="Times New Roman" w:eastAsia="方正小标宋简体" w:cs="Times New Roman"/>
          <w:bCs/>
          <w:sz w:val="44"/>
          <w:szCs w:val="44"/>
          <w:lang w:eastAsia="zh-CN"/>
        </w:rPr>
        <w:t>（征求意见稿）</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仿宋" w:cs="Times New Roman"/>
                <w:sz w:val="24"/>
                <w:szCs w:val="24"/>
                <w:vertAlign w:val="baseline"/>
                <w:lang w:val="en-US" w:eastAsia="zh-CN"/>
              </w:rPr>
            </w:pPr>
            <w:r>
              <w:rPr>
                <w:rFonts w:hint="eastAsia" w:ascii="Times New Roman" w:hAnsi="Times New Roman" w:eastAsia="仿宋" w:cs="Times New Roman"/>
                <w:sz w:val="24"/>
                <w:szCs w:val="24"/>
                <w:vertAlign w:val="baseline"/>
                <w:lang w:val="en-US" w:eastAsia="zh-CN"/>
              </w:rPr>
              <w:t>现行条文</w:t>
            </w:r>
          </w:p>
        </w:tc>
        <w:tc>
          <w:tcPr>
            <w:tcW w:w="4261"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仿宋" w:cs="Times New Roman"/>
                <w:sz w:val="24"/>
                <w:szCs w:val="24"/>
                <w:vertAlign w:val="baseline"/>
                <w:lang w:val="en-US" w:eastAsia="zh-CN"/>
              </w:rPr>
            </w:pPr>
            <w:r>
              <w:rPr>
                <w:rFonts w:hint="eastAsia" w:ascii="Times New Roman" w:hAnsi="Times New Roman" w:eastAsia="仿宋" w:cs="Times New Roman"/>
                <w:sz w:val="24"/>
                <w:szCs w:val="24"/>
                <w:vertAlign w:val="baseline"/>
                <w:lang w:val="en-US" w:eastAsia="zh-CN"/>
              </w:rPr>
              <w:t>修订后条文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noWrap w:val="0"/>
            <w:vAlign w:val="center"/>
          </w:tcPr>
          <w:p>
            <w:pPr>
              <w:ind w:firstLine="480" w:firstLineChars="200"/>
              <w:jc w:val="left"/>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第十四条 菜粕期货标准仓单可以分为仓库标准仓单和厂库标准仓单。</w:t>
            </w:r>
          </w:p>
          <w:p>
            <w:pPr>
              <w:ind w:firstLine="480" w:firstLineChars="200"/>
              <w:jc w:val="left"/>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菜粕期货标准仓单为通用标准仓单。</w:t>
            </w:r>
          </w:p>
        </w:tc>
        <w:tc>
          <w:tcPr>
            <w:tcW w:w="4261" w:type="dxa"/>
            <w:noWrap w:val="0"/>
            <w:vAlign w:val="center"/>
          </w:tcPr>
          <w:p>
            <w:pPr>
              <w:ind w:firstLine="480" w:firstLineChars="200"/>
              <w:jc w:val="left"/>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第十四条 菜粕期货标准仓单可以分为仓库标准仓单和厂库标准仓单。</w:t>
            </w:r>
          </w:p>
          <w:p>
            <w:pPr>
              <w:ind w:firstLine="480" w:firstLineChars="200"/>
              <w:jc w:val="left"/>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菜粕期货标准仓单为</w:t>
            </w:r>
            <w:r>
              <w:rPr>
                <w:rFonts w:hint="eastAsia" w:ascii="Times New Roman" w:hAnsi="Times New Roman" w:eastAsia="仿宋" w:cs="Times New Roman"/>
                <w:b/>
                <w:bCs/>
                <w:sz w:val="24"/>
                <w:szCs w:val="24"/>
                <w:u w:val="single"/>
                <w:vertAlign w:val="baseline"/>
                <w:lang w:val="en-US" w:eastAsia="zh-CN"/>
              </w:rPr>
              <w:t>非</w:t>
            </w:r>
            <w:r>
              <w:rPr>
                <w:rFonts w:hint="default" w:ascii="Times New Roman" w:hAnsi="Times New Roman" w:eastAsia="仿宋" w:cs="Times New Roman"/>
                <w:sz w:val="24"/>
                <w:szCs w:val="24"/>
                <w:vertAlign w:val="baseline"/>
                <w:lang w:val="en-US" w:eastAsia="zh-CN"/>
              </w:rPr>
              <w:t>通用标准仓单。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noWrap w:val="0"/>
            <w:vAlign w:val="center"/>
          </w:tcPr>
          <w:p>
            <w:pPr>
              <w:ind w:firstLine="480" w:firstLineChars="200"/>
              <w:jc w:val="left"/>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第十八条</w:t>
            </w:r>
            <w:r>
              <w:rPr>
                <w:rFonts w:hint="eastAsia" w:ascii="Times New Roman" w:hAnsi="Times New Roman" w:eastAsia="仿宋" w:cs="Times New Roman"/>
                <w:sz w:val="24"/>
                <w:szCs w:val="24"/>
                <w:vertAlign w:val="baseline"/>
                <w:lang w:val="en-US" w:eastAsia="zh-CN"/>
              </w:rPr>
              <w:t> 菜粕期货替代交割品升贴水、仓库或者厂库升贴水在标准仓单注册、注销时划转，相应的增值税普通发票由标准仓单注册人向标准仓单注销人开具，仓库或者厂库负责监督。仓库或者厂库按照增值税适用税率收取押金，增值税普通发票开具后押金应予退还。</w:t>
            </w:r>
          </w:p>
        </w:tc>
        <w:tc>
          <w:tcPr>
            <w:tcW w:w="4261" w:type="dxa"/>
            <w:noWrap w:val="0"/>
            <w:vAlign w:val="center"/>
          </w:tcPr>
          <w:p>
            <w:pPr>
              <w:ind w:firstLine="480" w:firstLineChars="200"/>
              <w:jc w:val="left"/>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trike/>
                <w:dstrike w:val="0"/>
                <w:sz w:val="24"/>
                <w:szCs w:val="24"/>
                <w:u w:val="none"/>
                <w:vertAlign w:val="baseline"/>
                <w:lang w:val="en-US" w:eastAsia="zh-CN"/>
              </w:rPr>
              <w:t>第十八条</w:t>
            </w:r>
            <w:r>
              <w:rPr>
                <w:rFonts w:hint="eastAsia" w:ascii="Times New Roman" w:hAnsi="Times New Roman" w:eastAsia="仿宋" w:cs="Times New Roman"/>
                <w:strike/>
                <w:dstrike w:val="0"/>
                <w:sz w:val="24"/>
                <w:szCs w:val="24"/>
                <w:u w:val="none"/>
                <w:vertAlign w:val="baseline"/>
                <w:lang w:val="en-US" w:eastAsia="zh-CN"/>
              </w:rPr>
              <w:t> 菜粕期货替代交割品升贴水、仓库或者厂库升贴水在标准仓单注册、注销时划转，相应的增值税普通发票由标准仓单注册人向标准仓单注销人开具，仓库或者厂库负责监督。仓库或者厂库按照增值税适用税率收取押金，增值税普通发票开具后押金应予退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1" w:type="dxa"/>
            <w:noWrap w:val="0"/>
            <w:vAlign w:val="center"/>
          </w:tcPr>
          <w:p>
            <w:pPr>
              <w:ind w:firstLine="480" w:firstLineChars="200"/>
              <w:jc w:val="left"/>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第二十四条 基准交割品：符合《中华人民共和国国家标准饲料用菜籽粕》（GB/T 23736-2009，以下简称《菜粕国标》）四级质量标准、氢氧化钾蛋白质溶解度不低于35.0%的菜粕，粗脂肪和赖氨酸指标不作要求。</w:t>
            </w:r>
          </w:p>
        </w:tc>
        <w:tc>
          <w:tcPr>
            <w:tcW w:w="4261" w:type="dxa"/>
            <w:noWrap w:val="0"/>
            <w:vAlign w:val="center"/>
          </w:tcPr>
          <w:p>
            <w:pPr>
              <w:ind w:firstLine="480" w:firstLineChars="200"/>
              <w:jc w:val="left"/>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第二十</w:t>
            </w:r>
            <w:r>
              <w:rPr>
                <w:rFonts w:hint="default" w:ascii="Times New Roman" w:hAnsi="Times New Roman" w:eastAsia="仿宋" w:cs="Times New Roman"/>
                <w:strike/>
                <w:dstrike w:val="0"/>
                <w:sz w:val="24"/>
                <w:szCs w:val="24"/>
                <w:vertAlign w:val="baseline"/>
                <w:lang w:val="en-US" w:eastAsia="zh-CN"/>
              </w:rPr>
              <w:t>四</w:t>
            </w:r>
            <w:r>
              <w:rPr>
                <w:rFonts w:hint="eastAsia" w:ascii="Times New Roman" w:hAnsi="Times New Roman" w:eastAsia="仿宋" w:cs="Times New Roman"/>
                <w:b/>
                <w:bCs/>
                <w:sz w:val="24"/>
                <w:szCs w:val="24"/>
                <w:u w:val="single"/>
                <w:vertAlign w:val="baseline"/>
                <w:lang w:val="en-US" w:eastAsia="zh-CN"/>
              </w:rPr>
              <w:t>三</w:t>
            </w:r>
            <w:r>
              <w:rPr>
                <w:rFonts w:hint="default" w:ascii="Times New Roman" w:hAnsi="Times New Roman" w:eastAsia="仿宋" w:cs="Times New Roman"/>
                <w:sz w:val="24"/>
                <w:szCs w:val="24"/>
                <w:vertAlign w:val="baseline"/>
                <w:lang w:val="en-US" w:eastAsia="zh-CN"/>
              </w:rPr>
              <w:t xml:space="preserve">条 </w:t>
            </w:r>
            <w:r>
              <w:rPr>
                <w:rFonts w:hint="eastAsia" w:ascii="Times New Roman" w:hAnsi="Times New Roman" w:eastAsia="仿宋" w:cs="Times New Roman"/>
                <w:sz w:val="24"/>
                <w:szCs w:val="24"/>
                <w:lang w:val="en-US" w:eastAsia="zh-CN"/>
              </w:rPr>
              <w:t>基准交割品：</w:t>
            </w:r>
            <w:r>
              <w:rPr>
                <w:rFonts w:hint="default" w:ascii="Times New Roman" w:hAnsi="Times New Roman" w:eastAsia="仿宋" w:cs="Times New Roman"/>
                <w:strike/>
                <w:dstrike w:val="0"/>
                <w:sz w:val="24"/>
                <w:szCs w:val="24"/>
                <w:vertAlign w:val="baseline"/>
                <w:lang w:val="en-US" w:eastAsia="zh-CN"/>
              </w:rPr>
              <w:t>符合《中华人民共和国国家标准饲料用菜籽粕》（GB/T 23736-2009，以下简称《菜粕国标》）四级质量标准、氢氧化钾蛋白质溶解度不低于35.0%的菜粕，粗脂肪和赖氨酸指标不作要求。</w:t>
            </w:r>
            <w:r>
              <w:rPr>
                <w:rFonts w:hint="eastAsia" w:ascii="Times New Roman" w:hAnsi="Times New Roman" w:eastAsia="仿宋" w:cs="Times New Roman"/>
                <w:b/>
                <w:bCs/>
                <w:sz w:val="24"/>
                <w:szCs w:val="24"/>
                <w:u w:val="single"/>
                <w:lang w:val="en-US" w:eastAsia="zh-CN"/>
              </w:rPr>
              <w:t>36.0%≤粗蛋白质＜37.0%，粗纤维≤14.0%，粗灰分≤9.0%（以上三项均以湿基计，下同），水分≤12.0%，氢氧化钾蛋白质溶解度≥35.0%的国产菜粕。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noWrap w:val="0"/>
            <w:vAlign w:val="center"/>
          </w:tcPr>
          <w:p>
            <w:pPr>
              <w:ind w:firstLine="480" w:firstLineChars="200"/>
              <w:jc w:val="left"/>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第二十五条 替代交割品及升贴水：</w:t>
            </w:r>
          </w:p>
          <w:p>
            <w:pPr>
              <w:numPr>
                <w:ilvl w:val="0"/>
                <w:numId w:val="1"/>
              </w:numPr>
              <w:ind w:firstLine="480" w:firstLineChars="200"/>
              <w:jc w:val="left"/>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氢氧化钾蛋白质溶解度不低于35.0%，34.5%≤粗蛋白质＜35.0%，贴水35元/吨；34.0%≤粗蛋白质＜34.5%，贴水</w:t>
            </w:r>
            <w:r>
              <w:rPr>
                <w:rFonts w:hint="eastAsia" w:ascii="Times New Roman" w:hAnsi="Times New Roman" w:eastAsia="仿宋" w:cs="Times New Roman"/>
                <w:sz w:val="24"/>
                <w:szCs w:val="24"/>
                <w:vertAlign w:val="baseline"/>
                <w:lang w:val="en-US" w:eastAsia="zh-CN"/>
              </w:rPr>
              <w:t>60</w:t>
            </w:r>
            <w:r>
              <w:rPr>
                <w:rFonts w:hint="default" w:ascii="Times New Roman" w:hAnsi="Times New Roman" w:eastAsia="仿宋" w:cs="Times New Roman"/>
                <w:sz w:val="24"/>
                <w:szCs w:val="24"/>
                <w:vertAlign w:val="baseline"/>
                <w:lang w:val="en-US" w:eastAsia="zh-CN"/>
              </w:rPr>
              <w:t>元/吨，其他指标符合《菜粕国标》四级质量指标，其中粗脂肪和赖氨酸指标不作要求。</w:t>
            </w:r>
          </w:p>
          <w:p>
            <w:pPr>
              <w:numPr>
                <w:ilvl w:val="0"/>
                <w:numId w:val="1"/>
              </w:numPr>
              <w:ind w:firstLine="480" w:firstLineChars="200"/>
              <w:jc w:val="left"/>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sz w:val="24"/>
              </w:rPr>
              <w:t>符合基准交割品质量规定要求的进口菜粕可以替代交割，贴水50元/吨；符合本条第（一）项替代交割品质量规定要求的进口菜粕可以替代交割，再行贴水50元/吨；进口菜粕形状不作要求，进口菜粕原产地见交易所公告。</w:t>
            </w:r>
          </w:p>
        </w:tc>
        <w:tc>
          <w:tcPr>
            <w:tcW w:w="4261" w:type="dxa"/>
            <w:noWrap w:val="0"/>
            <w:vAlign w:val="center"/>
          </w:tcPr>
          <w:p>
            <w:pPr>
              <w:bidi w:val="0"/>
              <w:ind w:firstLine="480" w:firstLineChars="200"/>
              <w:jc w:val="left"/>
              <w:rPr>
                <w:rFonts w:hint="eastAsia" w:ascii="Times New Roman" w:hAnsi="Times New Roman" w:eastAsia="仿宋" w:cs="仿宋"/>
                <w:kern w:val="2"/>
                <w:sz w:val="24"/>
                <w:szCs w:val="24"/>
                <w:lang w:val="en-US" w:eastAsia="zh-CN" w:bidi="ar"/>
              </w:rPr>
            </w:pPr>
            <w:r>
              <w:rPr>
                <w:rFonts w:hint="default" w:ascii="Times New Roman" w:hAnsi="Times New Roman" w:eastAsia="仿宋" w:cs="Times New Roman"/>
                <w:sz w:val="24"/>
                <w:szCs w:val="24"/>
                <w:vertAlign w:val="baseline"/>
                <w:lang w:val="en-US" w:eastAsia="zh-CN"/>
              </w:rPr>
              <w:t>第二十</w:t>
            </w:r>
            <w:r>
              <w:rPr>
                <w:rFonts w:hint="default" w:ascii="Times New Roman" w:hAnsi="Times New Roman" w:eastAsia="仿宋" w:cs="Times New Roman"/>
                <w:strike/>
                <w:sz w:val="24"/>
                <w:szCs w:val="24"/>
                <w:vertAlign w:val="baseline"/>
                <w:lang w:val="en-US" w:eastAsia="zh-CN"/>
              </w:rPr>
              <w:t>五</w:t>
            </w:r>
            <w:r>
              <w:rPr>
                <w:rFonts w:hint="eastAsia" w:ascii="Times New Roman" w:hAnsi="Times New Roman" w:eastAsia="仿宋" w:cs="Times New Roman"/>
                <w:b/>
                <w:bCs/>
                <w:strike w:val="0"/>
                <w:sz w:val="24"/>
                <w:szCs w:val="24"/>
                <w:u w:val="single"/>
                <w:vertAlign w:val="baseline"/>
                <w:lang w:val="en-US" w:eastAsia="zh-CN"/>
              </w:rPr>
              <w:t>四</w:t>
            </w:r>
            <w:r>
              <w:rPr>
                <w:rFonts w:hint="default" w:ascii="Times New Roman" w:hAnsi="Times New Roman" w:eastAsia="仿宋" w:cs="Times New Roman"/>
                <w:sz w:val="24"/>
                <w:szCs w:val="24"/>
                <w:vertAlign w:val="baseline"/>
                <w:lang w:val="en-US" w:eastAsia="zh-CN"/>
              </w:rPr>
              <w:t>条</w:t>
            </w:r>
            <w:r>
              <w:rPr>
                <w:rFonts w:hint="eastAsia" w:ascii="Times New Roman" w:hAnsi="Times New Roman" w:eastAsia="仿宋" w:cs="Times New Roman"/>
                <w:sz w:val="24"/>
                <w:szCs w:val="24"/>
                <w:vertAlign w:val="baseline"/>
                <w:lang w:val="en-US" w:eastAsia="zh-CN"/>
              </w:rPr>
              <w:t xml:space="preserve"> </w:t>
            </w:r>
            <w:r>
              <w:rPr>
                <w:rFonts w:hint="eastAsia" w:ascii="Times New Roman" w:hAnsi="Times New Roman" w:eastAsia="仿宋" w:cs="仿宋"/>
                <w:kern w:val="2"/>
                <w:sz w:val="24"/>
                <w:szCs w:val="24"/>
                <w:lang w:val="en-US" w:eastAsia="zh-CN" w:bidi="ar"/>
              </w:rPr>
              <w:t>替代交割品及升贴水：</w:t>
            </w:r>
          </w:p>
          <w:p>
            <w:pPr>
              <w:numPr>
                <w:ilvl w:val="-1"/>
                <w:numId w:val="0"/>
              </w:numPr>
              <w:bidi w:val="0"/>
              <w:ind w:firstLine="480" w:firstLineChars="200"/>
              <w:jc w:val="left"/>
              <w:rPr>
                <w:rFonts w:hint="eastAsia" w:ascii="Times New Roman" w:hAnsi="Times New Roman" w:eastAsia="仿宋" w:cs="仿宋"/>
                <w:b/>
                <w:bCs/>
                <w:kern w:val="2"/>
                <w:sz w:val="24"/>
                <w:szCs w:val="24"/>
                <w:u w:val="single"/>
                <w:lang w:val="en-US" w:eastAsia="zh-CN" w:bidi="ar"/>
              </w:rPr>
            </w:pPr>
            <w:r>
              <w:rPr>
                <w:rFonts w:hint="eastAsia" w:ascii="Times New Roman" w:hAnsi="Times New Roman" w:eastAsia="仿宋" w:cs="仿宋"/>
                <w:kern w:val="2"/>
                <w:sz w:val="24"/>
                <w:szCs w:val="24"/>
                <w:lang w:val="en-US" w:eastAsia="zh-CN" w:bidi="ar"/>
              </w:rPr>
              <w:t>（一）</w:t>
            </w:r>
            <w:r>
              <w:rPr>
                <w:rFonts w:hint="default" w:ascii="Times New Roman" w:hAnsi="Times New Roman" w:eastAsia="仿宋" w:cs="Times New Roman"/>
                <w:strike/>
                <w:dstrike w:val="0"/>
                <w:sz w:val="24"/>
                <w:szCs w:val="24"/>
                <w:vertAlign w:val="baseline"/>
                <w:lang w:val="en-US" w:eastAsia="zh-CN"/>
              </w:rPr>
              <w:t>氢氧化钾蛋白质溶解度不低于35.0%，34.5%≤粗蛋白质＜35.0%，贴水35元/吨；34.0%≤粗蛋白质＜34.5%，贴水</w:t>
            </w:r>
            <w:r>
              <w:rPr>
                <w:rFonts w:hint="eastAsia" w:ascii="Times New Roman" w:hAnsi="Times New Roman" w:eastAsia="仿宋" w:cs="Times New Roman"/>
                <w:strike/>
                <w:dstrike w:val="0"/>
                <w:sz w:val="24"/>
                <w:szCs w:val="24"/>
                <w:vertAlign w:val="baseline"/>
                <w:lang w:val="en-US" w:eastAsia="zh-CN"/>
              </w:rPr>
              <w:t>60</w:t>
            </w:r>
            <w:r>
              <w:rPr>
                <w:rFonts w:hint="default" w:ascii="Times New Roman" w:hAnsi="Times New Roman" w:eastAsia="仿宋" w:cs="Times New Roman"/>
                <w:strike/>
                <w:dstrike w:val="0"/>
                <w:sz w:val="24"/>
                <w:szCs w:val="24"/>
                <w:vertAlign w:val="baseline"/>
                <w:lang w:val="en-US" w:eastAsia="zh-CN"/>
              </w:rPr>
              <w:t>元/吨，其他指标符合《菜粕国标》四级质量指标，其中粗脂肪和赖氨酸指标不作要求。</w:t>
            </w:r>
            <w:r>
              <w:rPr>
                <w:rFonts w:hint="eastAsia" w:ascii="Times New Roman" w:hAnsi="Times New Roman" w:eastAsia="仿宋" w:cs="仿宋"/>
                <w:b/>
                <w:bCs/>
                <w:kern w:val="2"/>
                <w:sz w:val="24"/>
                <w:szCs w:val="24"/>
                <w:u w:val="single"/>
                <w:lang w:val="en-US" w:eastAsia="zh-CN" w:bidi="ar"/>
              </w:rPr>
              <w:t>35.0%≤粗蛋白质＜36.0%的，其他指标符合基准交割品要求的国产菜</w:t>
            </w:r>
            <w:r>
              <w:rPr>
                <w:rFonts w:hint="eastAsia" w:ascii="Times New Roman" w:hAnsi="Times New Roman" w:eastAsia="仿宋" w:cs="仿宋"/>
                <w:b/>
                <w:bCs/>
                <w:kern w:val="2"/>
                <w:sz w:val="24"/>
                <w:szCs w:val="24"/>
                <w:highlight w:val="none"/>
                <w:u w:val="single"/>
                <w:lang w:val="en-US" w:eastAsia="zh-CN" w:bidi="ar"/>
              </w:rPr>
              <w:t>粕，贴水60元/吨；粗蛋白质≥37.0%，其他指标符合基准交割品要求的国产菜粕，升水60元</w:t>
            </w:r>
            <w:r>
              <w:rPr>
                <w:rFonts w:hint="eastAsia" w:ascii="Times New Roman" w:hAnsi="Times New Roman" w:eastAsia="仿宋" w:cs="仿宋"/>
                <w:b/>
                <w:bCs/>
                <w:kern w:val="2"/>
                <w:sz w:val="24"/>
                <w:szCs w:val="24"/>
                <w:u w:val="single"/>
                <w:lang w:val="en-US" w:eastAsia="zh-CN" w:bidi="ar"/>
              </w:rPr>
              <w:t>/吨。</w:t>
            </w:r>
          </w:p>
          <w:p>
            <w:pPr>
              <w:numPr>
                <w:ilvl w:val="-1"/>
                <w:numId w:val="0"/>
              </w:numPr>
              <w:bidi w:val="0"/>
              <w:ind w:firstLine="480" w:firstLineChars="200"/>
              <w:jc w:val="left"/>
              <w:rPr>
                <w:rFonts w:hint="default" w:ascii="Times New Roman" w:hAnsi="Times New Roman" w:eastAsia="仿宋" w:cs="仿宋"/>
                <w:b/>
                <w:bCs/>
                <w:kern w:val="2"/>
                <w:sz w:val="24"/>
                <w:szCs w:val="24"/>
                <w:u w:val="single"/>
                <w:lang w:val="en-US" w:eastAsia="zh-CN" w:bidi="ar"/>
              </w:rPr>
            </w:pPr>
            <w:r>
              <w:rPr>
                <w:rFonts w:hint="eastAsia" w:ascii="Times New Roman" w:hAnsi="Times New Roman" w:eastAsia="仿宋"/>
                <w:sz w:val="24"/>
                <w:lang w:eastAsia="zh-CN"/>
              </w:rPr>
              <w:t>（二）</w:t>
            </w:r>
            <w:r>
              <w:rPr>
                <w:rFonts w:hint="default" w:ascii="Times New Roman" w:hAnsi="Times New Roman" w:eastAsia="仿宋"/>
                <w:sz w:val="24"/>
              </w:rPr>
              <w:t>符合</w:t>
            </w:r>
            <w:r>
              <w:rPr>
                <w:rFonts w:hint="default" w:ascii="Times New Roman" w:hAnsi="Times New Roman" w:eastAsia="仿宋"/>
                <w:strike w:val="0"/>
                <w:sz w:val="24"/>
              </w:rPr>
              <w:t>基准</w:t>
            </w:r>
            <w:r>
              <w:rPr>
                <w:rFonts w:hint="default" w:ascii="Times New Roman" w:hAnsi="Times New Roman" w:eastAsia="仿宋"/>
                <w:sz w:val="24"/>
              </w:rPr>
              <w:t>交割品质量规定要求的进口菜粕可以替代交割，</w:t>
            </w:r>
            <w:r>
              <w:rPr>
                <w:rFonts w:hint="default" w:ascii="Times New Roman" w:hAnsi="Times New Roman" w:eastAsia="仿宋"/>
                <w:strike w:val="0"/>
                <w:sz w:val="24"/>
                <w:u w:val="none"/>
              </w:rPr>
              <w:t>贴水50元/吨；符合本条第（一）项替代交割品质量规定要求的进口菜粕可以替代交割，</w:t>
            </w:r>
            <w:r>
              <w:rPr>
                <w:rFonts w:hint="default" w:ascii="Times New Roman" w:hAnsi="Times New Roman" w:eastAsia="仿宋"/>
                <w:b/>
                <w:bCs/>
                <w:sz w:val="24"/>
                <w:u w:val="single"/>
              </w:rPr>
              <w:t>在第（一）项确定的升贴水的基础上，</w:t>
            </w:r>
            <w:r>
              <w:rPr>
                <w:rFonts w:hint="default" w:ascii="Times New Roman" w:hAnsi="Times New Roman" w:eastAsia="仿宋"/>
                <w:strike/>
                <w:sz w:val="24"/>
                <w:u w:val="none"/>
              </w:rPr>
              <w:t>再行</w:t>
            </w:r>
            <w:r>
              <w:rPr>
                <w:rFonts w:hint="default" w:ascii="Times New Roman" w:hAnsi="Times New Roman" w:eastAsia="仿宋"/>
                <w:strike w:val="0"/>
                <w:sz w:val="24"/>
                <w:u w:val="none"/>
              </w:rPr>
              <w:t>贴水50元/吨；</w:t>
            </w:r>
            <w:r>
              <w:rPr>
                <w:rFonts w:hint="default" w:ascii="Times New Roman" w:hAnsi="Times New Roman" w:eastAsia="仿宋"/>
                <w:sz w:val="24"/>
              </w:rPr>
              <w:t>进口菜粕形状不作要求，进口菜粕原产地见交易所公告。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noWrap w:val="0"/>
            <w:vAlign w:val="center"/>
          </w:tcPr>
          <w:p>
            <w:pPr>
              <w:ind w:left="0" w:leftChars="0" w:firstLine="0" w:firstLineChars="0"/>
              <w:jc w:val="left"/>
              <w:rPr>
                <w:rFonts w:hint="default" w:ascii="Times New Roman" w:hAnsi="Times New Roman" w:eastAsia="仿宋" w:cs="Times New Roman"/>
                <w:sz w:val="24"/>
                <w:szCs w:val="24"/>
                <w:vertAlign w:val="baseline"/>
                <w:lang w:val="en-US" w:eastAsia="zh-CN"/>
              </w:rPr>
            </w:pPr>
          </w:p>
        </w:tc>
        <w:tc>
          <w:tcPr>
            <w:tcW w:w="4261" w:type="dxa"/>
            <w:noWrap w:val="0"/>
            <w:vAlign w:val="center"/>
          </w:tcPr>
          <w:p>
            <w:pPr>
              <w:ind w:firstLine="480" w:firstLineChars="200"/>
              <w:jc w:val="left"/>
              <w:rPr>
                <w:rFonts w:hint="default" w:ascii="Times New Roman" w:hAnsi="Times New Roman" w:eastAsia="仿宋" w:cs="仿宋"/>
                <w:kern w:val="2"/>
                <w:sz w:val="24"/>
                <w:szCs w:val="24"/>
                <w:lang w:val="en-US" w:eastAsia="zh-CN" w:bidi="ar"/>
              </w:rPr>
            </w:pPr>
            <w:r>
              <w:rPr>
                <w:rFonts w:hint="default" w:ascii="Times New Roman" w:hAnsi="Times New Roman" w:eastAsia="仿宋" w:cs="Times New Roman"/>
                <w:sz w:val="24"/>
                <w:szCs w:val="24"/>
                <w:vertAlign w:val="baseline"/>
                <w:lang w:val="en-US" w:eastAsia="zh-CN"/>
              </w:rPr>
              <w:t>第二十</w:t>
            </w:r>
            <w:r>
              <w:rPr>
                <w:rFonts w:hint="eastAsia" w:ascii="Times New Roman" w:hAnsi="Times New Roman" w:eastAsia="仿宋" w:cs="Times New Roman"/>
                <w:sz w:val="24"/>
                <w:szCs w:val="24"/>
                <w:vertAlign w:val="baseline"/>
                <w:lang w:val="en-US" w:eastAsia="zh-CN"/>
              </w:rPr>
              <w:t>六</w:t>
            </w:r>
            <w:r>
              <w:rPr>
                <w:rFonts w:hint="default" w:ascii="Times New Roman" w:hAnsi="Times New Roman" w:eastAsia="仿宋" w:cs="Times New Roman"/>
                <w:sz w:val="24"/>
                <w:szCs w:val="24"/>
                <w:vertAlign w:val="baseline"/>
                <w:lang w:val="en-US" w:eastAsia="zh-CN"/>
              </w:rPr>
              <w:t>条 菜粕术语和定义、卫生要求及检验方法等按照《中华人民共和国国家标准 饲料用菜籽粕》（GB/T 23736-2009）、《中华人民共和国国家标准 饲料原料中氢氧化钾蛋白质溶解度的测定》（GB/T 46931-2025）及相关规范性引用文件执行。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noWrap w:val="0"/>
            <w:vAlign w:val="center"/>
          </w:tcPr>
          <w:p>
            <w:pPr>
              <w:keepNext w:val="0"/>
              <w:keepLines w:val="0"/>
              <w:pageBreakBefore w:val="0"/>
              <w:widowControl w:val="0"/>
              <w:kinsoku/>
              <w:wordWrap/>
              <w:overflowPunct/>
              <w:topLinePunct w:val="0"/>
              <w:autoSpaceDE/>
              <w:autoSpaceDN/>
              <w:bidi w:val="0"/>
              <w:adjustRightInd/>
              <w:snapToGrid/>
              <w:ind w:left="0" w:leftChars="0" w:firstLine="480" w:firstLineChars="200"/>
              <w:jc w:val="left"/>
              <w:textAlignment w:val="auto"/>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第二十七条 菜粕包装应当符合以下规定：包装物为新编织袋，编织袋不破、不漏；包装物无毒害物质污染，无油污，无霉变，无严重的煤灰、石灰、铁锈、泥土、水渍等污染。</w:t>
            </w:r>
          </w:p>
          <w:p>
            <w:pPr>
              <w:keepNext w:val="0"/>
              <w:keepLines w:val="0"/>
              <w:pageBreakBefore w:val="0"/>
              <w:widowControl w:val="0"/>
              <w:kinsoku/>
              <w:wordWrap/>
              <w:overflowPunct/>
              <w:topLinePunct w:val="0"/>
              <w:autoSpaceDE/>
              <w:autoSpaceDN/>
              <w:bidi w:val="0"/>
              <w:adjustRightInd/>
              <w:snapToGrid/>
              <w:ind w:left="0" w:leftChars="0" w:firstLine="480" w:firstLineChars="200"/>
              <w:jc w:val="left"/>
              <w:textAlignment w:val="auto"/>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国产菜粕编织袋上应当印有生产企业名称、地址、联系电话、产品名称、净重（千克）标识、是否转基因等信息，其中，生产企业应当取得《饲料生产企业审查合格证》。菜粕编织袋上应当缝制印有产品执行标准、质量指标、生产日期、产品保质期的标签，其中，产品保质期应当自生产日期起不低于6个月。</w:t>
            </w:r>
          </w:p>
          <w:p>
            <w:pPr>
              <w:keepNext w:val="0"/>
              <w:keepLines w:val="0"/>
              <w:pageBreakBefore w:val="0"/>
              <w:widowControl w:val="0"/>
              <w:kinsoku/>
              <w:wordWrap/>
              <w:overflowPunct/>
              <w:topLinePunct w:val="0"/>
              <w:autoSpaceDE/>
              <w:autoSpaceDN/>
              <w:bidi w:val="0"/>
              <w:adjustRightInd/>
              <w:snapToGrid/>
              <w:ind w:left="0" w:leftChars="0" w:firstLine="480" w:firstLineChars="200"/>
              <w:jc w:val="left"/>
              <w:textAlignment w:val="auto"/>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同一客户同一批次交割的菜粕，包装物规格应当统一。</w:t>
            </w:r>
          </w:p>
          <w:p>
            <w:pPr>
              <w:keepNext w:val="0"/>
              <w:keepLines w:val="0"/>
              <w:pageBreakBefore w:val="0"/>
              <w:widowControl w:val="0"/>
              <w:kinsoku/>
              <w:wordWrap/>
              <w:overflowPunct/>
              <w:topLinePunct w:val="0"/>
              <w:autoSpaceDE/>
              <w:autoSpaceDN/>
              <w:bidi w:val="0"/>
              <w:adjustRightInd/>
              <w:snapToGrid/>
              <w:ind w:left="0" w:leftChars="0" w:firstLine="480" w:firstLineChars="200"/>
              <w:jc w:val="left"/>
              <w:textAlignment w:val="auto"/>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进口菜粕储存和出库采用散装方式。</w:t>
            </w:r>
          </w:p>
        </w:tc>
        <w:tc>
          <w:tcPr>
            <w:tcW w:w="4261" w:type="dxa"/>
            <w:noWrap w:val="0"/>
            <w:vAlign w:val="center"/>
          </w:tcPr>
          <w:p>
            <w:pPr>
              <w:keepNext w:val="0"/>
              <w:keepLines w:val="0"/>
              <w:pageBreakBefore w:val="0"/>
              <w:widowControl w:val="0"/>
              <w:kinsoku/>
              <w:wordWrap/>
              <w:overflowPunct/>
              <w:topLinePunct w:val="0"/>
              <w:autoSpaceDE/>
              <w:autoSpaceDN/>
              <w:bidi w:val="0"/>
              <w:adjustRightInd/>
              <w:snapToGrid/>
              <w:ind w:left="0" w:leftChars="0" w:firstLine="480" w:firstLineChars="200"/>
              <w:jc w:val="left"/>
              <w:textAlignment w:val="auto"/>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第二十七条 菜粕包装应当符合以下规定：包装物为新编织袋，编织袋不破、不漏；包装物无毒害物质污染，无油污，无霉变，无严重的煤灰、石灰、铁锈、泥土、水渍等污染。</w:t>
            </w:r>
          </w:p>
          <w:p>
            <w:pPr>
              <w:keepNext w:val="0"/>
              <w:keepLines w:val="0"/>
              <w:pageBreakBefore w:val="0"/>
              <w:widowControl w:val="0"/>
              <w:kinsoku/>
              <w:wordWrap/>
              <w:overflowPunct/>
              <w:topLinePunct w:val="0"/>
              <w:autoSpaceDE/>
              <w:autoSpaceDN/>
              <w:bidi w:val="0"/>
              <w:adjustRightInd/>
              <w:snapToGrid/>
              <w:ind w:left="0" w:leftChars="0" w:firstLine="480" w:firstLineChars="200"/>
              <w:jc w:val="left"/>
              <w:textAlignment w:val="auto"/>
              <w:rPr>
                <w:rFonts w:hint="default" w:ascii="Times New Roman" w:hAnsi="Times New Roman" w:eastAsia="仿宋" w:cs="Times New Roman"/>
                <w:b/>
                <w:bCs/>
                <w:strike w:val="0"/>
                <w:dstrike w:val="0"/>
                <w:sz w:val="24"/>
                <w:szCs w:val="24"/>
                <w:u w:val="single"/>
                <w:vertAlign w:val="baseline"/>
                <w:lang w:val="en-US" w:eastAsia="zh-CN"/>
              </w:rPr>
            </w:pPr>
            <w:bookmarkStart w:id="0" w:name="OLE_LINK2"/>
            <w:r>
              <w:rPr>
                <w:rFonts w:hint="default" w:ascii="Times New Roman" w:hAnsi="Times New Roman" w:eastAsia="仿宋" w:cs="Times New Roman"/>
                <w:strike w:val="0"/>
                <w:dstrike w:val="0"/>
                <w:sz w:val="24"/>
                <w:szCs w:val="24"/>
                <w:vertAlign w:val="baseline"/>
                <w:lang w:val="en-US" w:eastAsia="zh-CN"/>
              </w:rPr>
              <w:t>国产菜粕编织袋上应当</w:t>
            </w:r>
            <w:r>
              <w:rPr>
                <w:rFonts w:hint="default" w:ascii="Times New Roman" w:hAnsi="Times New Roman" w:eastAsia="仿宋" w:cs="Times New Roman"/>
                <w:strike/>
                <w:dstrike w:val="0"/>
                <w:sz w:val="24"/>
                <w:szCs w:val="24"/>
                <w:vertAlign w:val="baseline"/>
                <w:lang w:val="en-US" w:eastAsia="zh-CN"/>
              </w:rPr>
              <w:t>印有</w:t>
            </w:r>
            <w:r>
              <w:rPr>
                <w:rFonts w:hint="eastAsia" w:ascii="Times New Roman" w:hAnsi="Times New Roman" w:eastAsia="仿宋" w:cs="Times New Roman"/>
                <w:b/>
                <w:bCs/>
                <w:strike w:val="0"/>
                <w:dstrike w:val="0"/>
                <w:sz w:val="24"/>
                <w:szCs w:val="24"/>
                <w:u w:val="single"/>
                <w:vertAlign w:val="baseline"/>
                <w:lang w:val="en-US" w:eastAsia="zh-CN"/>
              </w:rPr>
              <w:t>标识</w:t>
            </w:r>
            <w:r>
              <w:rPr>
                <w:rFonts w:hint="default" w:ascii="Times New Roman" w:hAnsi="Times New Roman" w:eastAsia="仿宋" w:cs="Times New Roman"/>
                <w:strike w:val="0"/>
                <w:dstrike w:val="0"/>
                <w:sz w:val="24"/>
                <w:szCs w:val="24"/>
                <w:vertAlign w:val="baseline"/>
                <w:lang w:val="en-US" w:eastAsia="zh-CN"/>
              </w:rPr>
              <w:t>生产企业名称、地址、联系电话、产品名称、净重（千克）</w:t>
            </w:r>
            <w:r>
              <w:rPr>
                <w:rFonts w:hint="eastAsia" w:ascii="Times New Roman" w:hAnsi="Times New Roman" w:eastAsia="仿宋" w:cs="Times New Roman"/>
                <w:strike w:val="0"/>
                <w:dstrike w:val="0"/>
                <w:sz w:val="24"/>
                <w:szCs w:val="24"/>
                <w:vertAlign w:val="baseline"/>
                <w:lang w:val="en-US" w:eastAsia="zh-CN"/>
              </w:rPr>
              <w:t>、</w:t>
            </w:r>
            <w:r>
              <w:rPr>
                <w:rFonts w:hint="default" w:ascii="Times New Roman" w:hAnsi="Times New Roman" w:eastAsia="仿宋" w:cs="Times New Roman"/>
                <w:strike/>
                <w:dstrike w:val="0"/>
                <w:sz w:val="24"/>
                <w:szCs w:val="24"/>
                <w:vertAlign w:val="baseline"/>
                <w:lang w:val="en-US" w:eastAsia="zh-CN"/>
              </w:rPr>
              <w:t>标识、是否转基因等信息，其中，生产企业应当取得《饲料生产企业审查合格证》。菜粕编织袋上应当缝制印有</w:t>
            </w:r>
            <w:r>
              <w:rPr>
                <w:rFonts w:hint="default" w:ascii="Times New Roman" w:hAnsi="Times New Roman" w:eastAsia="仿宋" w:cs="Times New Roman"/>
                <w:strike w:val="0"/>
                <w:dstrike w:val="0"/>
                <w:sz w:val="24"/>
                <w:szCs w:val="24"/>
                <w:vertAlign w:val="baseline"/>
                <w:lang w:val="en-US" w:eastAsia="zh-CN"/>
              </w:rPr>
              <w:t>产品执行标准、质量指标、生产日期、产品保质期</w:t>
            </w:r>
            <w:r>
              <w:rPr>
                <w:rFonts w:hint="default" w:ascii="Times New Roman" w:hAnsi="Times New Roman" w:eastAsia="仿宋" w:cs="Times New Roman"/>
                <w:strike/>
                <w:dstrike w:val="0"/>
                <w:sz w:val="24"/>
                <w:szCs w:val="24"/>
                <w:vertAlign w:val="baseline"/>
                <w:lang w:val="en-US" w:eastAsia="zh-CN"/>
              </w:rPr>
              <w:t>的标签</w:t>
            </w:r>
            <w:r>
              <w:rPr>
                <w:rFonts w:hint="default" w:ascii="Times New Roman" w:hAnsi="Times New Roman" w:eastAsia="仿宋" w:cs="Times New Roman"/>
                <w:strike w:val="0"/>
                <w:dstrike w:val="0"/>
                <w:sz w:val="24"/>
                <w:szCs w:val="24"/>
                <w:vertAlign w:val="baseline"/>
                <w:lang w:val="en-US" w:eastAsia="zh-CN"/>
              </w:rPr>
              <w:t>，其中，产品保质期应当自生产日期起不低于6个月。</w:t>
            </w:r>
            <w:r>
              <w:rPr>
                <w:rFonts w:hint="default" w:ascii="Times New Roman" w:hAnsi="Times New Roman" w:eastAsia="仿宋" w:cs="Times New Roman"/>
                <w:b/>
                <w:bCs/>
                <w:strike w:val="0"/>
                <w:dstrike w:val="0"/>
                <w:sz w:val="24"/>
                <w:szCs w:val="24"/>
                <w:u w:val="single"/>
                <w:vertAlign w:val="baseline"/>
                <w:lang w:val="en-US" w:eastAsia="zh-CN"/>
              </w:rPr>
              <w:t>采用转基因油菜籽生产的，应当进行标识。生产企业应当取得《饲料生产企业审查合格证》。</w:t>
            </w:r>
          </w:p>
          <w:bookmarkEnd w:id="0"/>
          <w:p>
            <w:pPr>
              <w:keepNext w:val="0"/>
              <w:keepLines w:val="0"/>
              <w:pageBreakBefore w:val="0"/>
              <w:widowControl w:val="0"/>
              <w:kinsoku/>
              <w:wordWrap/>
              <w:overflowPunct/>
              <w:topLinePunct w:val="0"/>
              <w:autoSpaceDE/>
              <w:autoSpaceDN/>
              <w:bidi w:val="0"/>
              <w:adjustRightInd/>
              <w:snapToGrid/>
              <w:ind w:left="0" w:leftChars="0" w:firstLine="480" w:firstLineChars="200"/>
              <w:jc w:val="left"/>
              <w:textAlignment w:val="auto"/>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同一客户同一批次交割的菜粕，包装物规格应当统一。</w:t>
            </w:r>
          </w:p>
          <w:p>
            <w:pPr>
              <w:ind w:firstLine="480" w:firstLineChars="200"/>
              <w:jc w:val="left"/>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进口菜粕储存和出库采用散装方式。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1" w:type="dxa"/>
            <w:noWrap w:val="0"/>
            <w:vAlign w:val="center"/>
          </w:tcPr>
          <w:p>
            <w:pPr>
              <w:ind w:firstLine="480" w:firstLineChars="200"/>
              <w:jc w:val="left"/>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第四十三条 进口菜粕出库时，厂库应当向提货人提供境外检验机构出具的品质证书和中国海关出具的入境货物检验检疫证明的复印件，并加盖厂库公章。</w:t>
            </w:r>
          </w:p>
        </w:tc>
        <w:tc>
          <w:tcPr>
            <w:tcW w:w="4261" w:type="dxa"/>
            <w:noWrap w:val="0"/>
            <w:vAlign w:val="center"/>
          </w:tcPr>
          <w:p>
            <w:pPr>
              <w:ind w:firstLine="480" w:firstLineChars="200"/>
              <w:jc w:val="left"/>
              <w:rPr>
                <w:rFonts w:hint="default" w:ascii="Times New Roman" w:hAnsi="Times New Roman" w:eastAsia="仿宋" w:cs="Times New Roman"/>
                <w:strike/>
                <w:dstrike w:val="0"/>
                <w:sz w:val="24"/>
                <w:szCs w:val="24"/>
                <w:vertAlign w:val="baseline"/>
                <w:lang w:val="en-US" w:eastAsia="zh-CN"/>
              </w:rPr>
            </w:pPr>
            <w:r>
              <w:rPr>
                <w:rFonts w:hint="default" w:ascii="Times New Roman" w:hAnsi="Times New Roman" w:eastAsia="仿宋" w:cs="Times New Roman"/>
                <w:strike/>
                <w:dstrike w:val="0"/>
                <w:sz w:val="24"/>
                <w:szCs w:val="24"/>
                <w:vertAlign w:val="baseline"/>
                <w:lang w:val="en-US" w:eastAsia="zh-CN"/>
              </w:rPr>
              <w:t>第四十三条 进口菜粕出库时，厂库应当向提货人提供境外检验机构出具的品质证书和中国海关出具的入境货物检验检疫证明的复印件，并加盖厂库公章。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noWrap w:val="0"/>
            <w:vAlign w:val="center"/>
          </w:tcPr>
          <w:p>
            <w:pPr>
              <w:ind w:firstLine="480" w:firstLineChars="200"/>
              <w:jc w:val="left"/>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第四十五条 厂库应当保证交割商品的质量符合交易所规定的交割标准，双方协商一致的除外。</w:t>
            </w:r>
          </w:p>
          <w:p>
            <w:pPr>
              <w:ind w:firstLine="480" w:firstLineChars="200"/>
              <w:jc w:val="left"/>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菜粕出库时，厂库应当在提货人监督下在货物装运到买方运输工具前进行抽样，经双方确认后共同封样。样品一式三份，一份由提货人保存，两份由厂库保存。厂库应当将样品保留至发货后30个日历日，作为发生质量争议时的处理依据。</w:t>
            </w:r>
          </w:p>
        </w:tc>
        <w:tc>
          <w:tcPr>
            <w:tcW w:w="4261" w:type="dxa"/>
            <w:noWrap w:val="0"/>
            <w:vAlign w:val="center"/>
          </w:tcPr>
          <w:p>
            <w:pPr>
              <w:bidi w:val="0"/>
              <w:ind w:firstLine="480" w:firstLineChars="200"/>
              <w:jc w:val="left"/>
              <w:rPr>
                <w:rFonts w:hint="eastAsia" w:ascii="Times New Roman" w:hAnsi="Times New Roman" w:eastAsia="仿宋" w:cs="仿宋"/>
                <w:kern w:val="2"/>
                <w:sz w:val="24"/>
                <w:szCs w:val="24"/>
                <w:lang w:val="en-US" w:eastAsia="zh-CN" w:bidi="ar"/>
              </w:rPr>
            </w:pPr>
            <w:r>
              <w:rPr>
                <w:rFonts w:hint="eastAsia" w:ascii="Times New Roman" w:hAnsi="Times New Roman" w:eastAsia="仿宋" w:cs="仿宋"/>
                <w:kern w:val="2"/>
                <w:sz w:val="24"/>
                <w:szCs w:val="24"/>
                <w:lang w:val="en-US" w:eastAsia="zh-CN" w:bidi="ar"/>
              </w:rPr>
              <w:t>第四十</w:t>
            </w:r>
            <w:r>
              <w:rPr>
                <w:rFonts w:hint="eastAsia" w:ascii="Times New Roman" w:hAnsi="Times New Roman" w:eastAsia="仿宋" w:cs="仿宋"/>
                <w:strike/>
                <w:dstrike w:val="0"/>
                <w:kern w:val="2"/>
                <w:sz w:val="24"/>
                <w:szCs w:val="24"/>
                <w:lang w:val="en-US" w:eastAsia="zh-CN" w:bidi="ar"/>
              </w:rPr>
              <w:t>五</w:t>
            </w:r>
            <w:r>
              <w:rPr>
                <w:rFonts w:hint="eastAsia" w:ascii="Times New Roman" w:hAnsi="Times New Roman" w:eastAsia="仿宋" w:cs="仿宋"/>
                <w:b/>
                <w:bCs/>
                <w:strike w:val="0"/>
                <w:dstrike w:val="0"/>
                <w:kern w:val="2"/>
                <w:sz w:val="24"/>
                <w:szCs w:val="24"/>
                <w:u w:val="single"/>
                <w:lang w:val="en-US" w:eastAsia="zh-CN" w:bidi="ar"/>
              </w:rPr>
              <w:t>四</w:t>
            </w:r>
            <w:r>
              <w:rPr>
                <w:rFonts w:hint="eastAsia" w:ascii="Times New Roman" w:hAnsi="Times New Roman" w:eastAsia="仿宋" w:cs="仿宋"/>
                <w:kern w:val="2"/>
                <w:sz w:val="24"/>
                <w:szCs w:val="24"/>
                <w:lang w:val="en-US" w:eastAsia="zh-CN" w:bidi="ar"/>
              </w:rPr>
              <w:t>条 厂库应当保证交割商品的质量符合交易所规定的交割标准，双方协商一致的除外。</w:t>
            </w:r>
          </w:p>
          <w:p>
            <w:pPr>
              <w:bidi w:val="0"/>
              <w:ind w:firstLine="481" w:firstLineChars="200"/>
              <w:jc w:val="left"/>
              <w:rPr>
                <w:rFonts w:hint="eastAsia" w:ascii="Times New Roman" w:hAnsi="Times New Roman" w:eastAsia="仿宋" w:cs="仿宋"/>
                <w:b/>
                <w:bCs/>
                <w:kern w:val="2"/>
                <w:sz w:val="24"/>
                <w:szCs w:val="24"/>
                <w:u w:val="single"/>
                <w:lang w:val="en-US" w:eastAsia="zh-CN" w:bidi="ar"/>
              </w:rPr>
            </w:pPr>
            <w:r>
              <w:rPr>
                <w:rFonts w:hint="eastAsia" w:ascii="Times New Roman" w:hAnsi="Times New Roman" w:eastAsia="仿宋" w:cs="仿宋"/>
                <w:b/>
                <w:bCs/>
                <w:kern w:val="2"/>
                <w:sz w:val="24"/>
                <w:szCs w:val="24"/>
                <w:u w:val="single"/>
                <w:lang w:val="en-US" w:eastAsia="zh-CN" w:bidi="ar"/>
              </w:rPr>
              <w:t>菜粕出库时，厂库向提货人提供符合交割标准的产品质量证明书。其中，进口菜粕出库时，厂库需额外提供中国海关出具的入境货物检验检疫证明的复印件，上述材料均需加盖厂库公章。</w:t>
            </w:r>
          </w:p>
          <w:p>
            <w:pPr>
              <w:ind w:firstLine="480" w:firstLineChars="200"/>
              <w:jc w:val="left"/>
              <w:rPr>
                <w:rFonts w:hint="default" w:ascii="Times New Roman" w:hAnsi="Times New Roman" w:eastAsia="仿宋" w:cs="Times New Roman"/>
                <w:sz w:val="24"/>
                <w:szCs w:val="24"/>
                <w:vertAlign w:val="baseline"/>
                <w:lang w:val="en-US" w:eastAsia="zh-CN"/>
              </w:rPr>
            </w:pPr>
            <w:r>
              <w:rPr>
                <w:rFonts w:hint="eastAsia" w:ascii="Times New Roman" w:hAnsi="Times New Roman" w:eastAsia="仿宋" w:cs="仿宋"/>
                <w:kern w:val="2"/>
                <w:sz w:val="24"/>
                <w:szCs w:val="24"/>
                <w:lang w:val="en-US" w:eastAsia="zh-CN" w:bidi="ar"/>
              </w:rPr>
              <w:t>菜粕出库时，厂库应当在提货人监督下在货物装运到买方运输工具前</w:t>
            </w:r>
            <w:r>
              <w:rPr>
                <w:rFonts w:hint="eastAsia" w:ascii="Times New Roman" w:hAnsi="Times New Roman" w:eastAsia="仿宋" w:cs="仿宋"/>
                <w:b/>
                <w:bCs/>
                <w:kern w:val="2"/>
                <w:sz w:val="24"/>
                <w:szCs w:val="24"/>
                <w:highlight w:val="none"/>
                <w:u w:val="single"/>
                <w:lang w:val="en-US" w:eastAsia="zh-CN" w:bidi="ar"/>
              </w:rPr>
              <w:t>按照国家相关标准及交易所有关规定</w:t>
            </w:r>
            <w:r>
              <w:rPr>
                <w:rFonts w:hint="eastAsia" w:ascii="Times New Roman" w:hAnsi="Times New Roman" w:eastAsia="仿宋" w:cs="仿宋"/>
                <w:kern w:val="2"/>
                <w:sz w:val="24"/>
                <w:szCs w:val="24"/>
                <w:lang w:val="en-US" w:eastAsia="zh-CN" w:bidi="ar"/>
              </w:rPr>
              <w:t>进行采样，</w:t>
            </w:r>
            <w:r>
              <w:rPr>
                <w:rFonts w:hint="eastAsia" w:ascii="Times New Roman" w:hAnsi="Times New Roman" w:eastAsia="仿宋" w:cs="仿宋"/>
                <w:b/>
                <w:bCs/>
                <w:kern w:val="2"/>
                <w:sz w:val="24"/>
                <w:szCs w:val="24"/>
                <w:u w:val="single"/>
                <w:lang w:val="en-US" w:eastAsia="zh-CN" w:bidi="ar"/>
              </w:rPr>
              <w:t>每200吨抽取一个样品，不足200吨的按200吨计，</w:t>
            </w:r>
            <w:r>
              <w:rPr>
                <w:rFonts w:hint="eastAsia" w:ascii="Times New Roman" w:hAnsi="Times New Roman" w:eastAsia="仿宋" w:cs="仿宋"/>
                <w:kern w:val="2"/>
                <w:sz w:val="24"/>
                <w:szCs w:val="24"/>
                <w:lang w:val="en-US" w:eastAsia="zh-CN" w:bidi="ar"/>
              </w:rPr>
              <w:t>经双方确认后共同封样。样品</w:t>
            </w:r>
            <w:r>
              <w:rPr>
                <w:rFonts w:hint="eastAsia" w:ascii="Times New Roman" w:hAnsi="Times New Roman" w:eastAsia="仿宋" w:cs="仿宋"/>
                <w:kern w:val="2"/>
                <w:sz w:val="24"/>
                <w:szCs w:val="24"/>
                <w:highlight w:val="none"/>
                <w:lang w:val="en-US" w:eastAsia="zh-CN" w:bidi="ar"/>
              </w:rPr>
              <w:t>一式三份</w:t>
            </w:r>
            <w:r>
              <w:rPr>
                <w:rFonts w:hint="eastAsia" w:ascii="Times New Roman" w:hAnsi="Times New Roman" w:eastAsia="仿宋" w:cs="仿宋"/>
                <w:kern w:val="2"/>
                <w:sz w:val="24"/>
                <w:szCs w:val="24"/>
                <w:lang w:val="en-US" w:eastAsia="zh-CN" w:bidi="ar"/>
              </w:rPr>
              <w:t>，一份由提货人保存，两份由厂库保存。厂库应当将样品保留至发货后30个日历日，作为发生质量争议时的处理依据。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noWrap w:val="0"/>
            <w:vAlign w:val="center"/>
          </w:tcPr>
          <w:p>
            <w:pPr>
              <w:ind w:firstLine="480" w:firstLineChars="200"/>
              <w:jc w:val="left"/>
              <w:rPr>
                <w:rFonts w:hint="default" w:ascii="Times New Roman" w:hAnsi="Times New Roman" w:eastAsia="仿宋" w:cs="Times New Roman"/>
                <w:sz w:val="24"/>
                <w:szCs w:val="24"/>
                <w:vertAlign w:val="baseline"/>
                <w:lang w:val="en-US" w:eastAsia="zh-CN"/>
              </w:rPr>
            </w:pPr>
            <w:r>
              <w:rPr>
                <w:rFonts w:hint="default" w:ascii="Times New Roman" w:hAnsi="Times New Roman" w:eastAsia="仿宋" w:cs="Times New Roman"/>
                <w:sz w:val="24"/>
                <w:szCs w:val="24"/>
                <w:vertAlign w:val="baseline"/>
                <w:lang w:val="en-US" w:eastAsia="zh-CN"/>
              </w:rPr>
              <w:t>第四十六条 提货人或者厂库对菜粕重量、质量有异议的，由提货人和厂库协商解决；协商不成的，可以向交易所申请一次复检，并由申请方预交复检及相关费用。重量异议应当在菜粕出库前提出；质量异议应当在菜粕出库之日起5个工作日内提出。具体流程按照《郑州商品交易所标准仓单管理办法》</w:t>
            </w:r>
            <w:r>
              <w:rPr>
                <w:rFonts w:hint="eastAsia" w:ascii="Times New Roman" w:hAnsi="Times New Roman" w:eastAsia="仿宋" w:cs="Times New Roman"/>
                <w:sz w:val="24"/>
                <w:szCs w:val="24"/>
                <w:vertAlign w:val="baseline"/>
                <w:lang w:val="en-US" w:eastAsia="zh-CN"/>
              </w:rPr>
              <w:t>“</w:t>
            </w:r>
            <w:r>
              <w:rPr>
                <w:rFonts w:hint="default" w:ascii="Times New Roman" w:hAnsi="Times New Roman" w:eastAsia="仿宋" w:cs="Times New Roman"/>
                <w:sz w:val="24"/>
                <w:szCs w:val="24"/>
                <w:vertAlign w:val="baseline"/>
                <w:lang w:val="en-US" w:eastAsia="zh-CN"/>
              </w:rPr>
              <w:t>厂库商品出库复检</w:t>
            </w:r>
            <w:r>
              <w:rPr>
                <w:rFonts w:hint="eastAsia" w:ascii="Times New Roman" w:hAnsi="Times New Roman" w:eastAsia="仿宋" w:cs="Times New Roman"/>
                <w:sz w:val="24"/>
                <w:szCs w:val="24"/>
                <w:vertAlign w:val="baseline"/>
                <w:lang w:val="en-US" w:eastAsia="zh-CN"/>
              </w:rPr>
              <w:t>”</w:t>
            </w:r>
            <w:r>
              <w:rPr>
                <w:rFonts w:hint="default" w:ascii="Times New Roman" w:hAnsi="Times New Roman" w:eastAsia="仿宋" w:cs="Times New Roman"/>
                <w:sz w:val="24"/>
                <w:szCs w:val="24"/>
                <w:vertAlign w:val="baseline"/>
                <w:lang w:val="en-US" w:eastAsia="zh-CN"/>
              </w:rPr>
              <w:t>有关规定办理。</w:t>
            </w:r>
          </w:p>
        </w:tc>
        <w:tc>
          <w:tcPr>
            <w:tcW w:w="4261" w:type="dxa"/>
            <w:noWrap w:val="0"/>
            <w:vAlign w:val="center"/>
          </w:tcPr>
          <w:p>
            <w:pPr>
              <w:ind w:firstLine="480" w:firstLineChars="200"/>
              <w:jc w:val="left"/>
              <w:rPr>
                <w:rFonts w:hint="eastAsia" w:ascii="Times New Roman" w:hAnsi="Times New Roman" w:eastAsia="仿宋" w:cs="仿宋"/>
                <w:kern w:val="2"/>
                <w:sz w:val="24"/>
                <w:szCs w:val="24"/>
                <w:lang w:val="en-US" w:eastAsia="zh-CN" w:bidi="ar"/>
              </w:rPr>
            </w:pPr>
            <w:r>
              <w:rPr>
                <w:rFonts w:hint="eastAsia" w:ascii="Times New Roman" w:hAnsi="Times New Roman" w:eastAsia="仿宋" w:cs="仿宋"/>
                <w:kern w:val="2"/>
                <w:sz w:val="24"/>
                <w:szCs w:val="24"/>
                <w:lang w:val="en-US" w:eastAsia="zh-CN" w:bidi="ar"/>
              </w:rPr>
              <w:t>第四十</w:t>
            </w:r>
            <w:r>
              <w:rPr>
                <w:rFonts w:hint="eastAsia" w:ascii="Times New Roman" w:hAnsi="Times New Roman" w:eastAsia="仿宋" w:cs="仿宋"/>
                <w:strike/>
                <w:dstrike w:val="0"/>
                <w:kern w:val="2"/>
                <w:sz w:val="24"/>
                <w:szCs w:val="24"/>
                <w:lang w:val="en-US" w:eastAsia="zh-CN" w:bidi="ar"/>
              </w:rPr>
              <w:t>六</w:t>
            </w:r>
            <w:r>
              <w:rPr>
                <w:rFonts w:hint="eastAsia" w:ascii="Times New Roman" w:hAnsi="Times New Roman" w:eastAsia="仿宋" w:cs="仿宋"/>
                <w:b/>
                <w:bCs/>
                <w:kern w:val="2"/>
                <w:sz w:val="24"/>
                <w:szCs w:val="24"/>
                <w:u w:val="single"/>
                <w:lang w:val="en-US" w:eastAsia="zh-CN" w:bidi="ar"/>
              </w:rPr>
              <w:t>五</w:t>
            </w:r>
            <w:r>
              <w:rPr>
                <w:rFonts w:hint="eastAsia" w:ascii="Times New Roman" w:hAnsi="Times New Roman" w:eastAsia="仿宋" w:cs="仿宋"/>
                <w:kern w:val="2"/>
                <w:sz w:val="24"/>
                <w:szCs w:val="24"/>
                <w:lang w:val="en-US" w:eastAsia="zh-CN" w:bidi="ar"/>
              </w:rPr>
              <w:t>条 提货人或者厂库对菜粕重量、质量有异议的，由提货人和厂库协商解决；协商不成的，可以向交易所申请一次复检，并由申请方预交复检及相关费用。重量异议应当在菜粕出库前提出；质量异议应当在菜粕出库之日起5个工作日内提出。</w:t>
            </w:r>
            <w:r>
              <w:rPr>
                <w:rFonts w:hint="eastAsia" w:ascii="Times New Roman" w:hAnsi="Times New Roman" w:eastAsia="仿宋" w:cs="仿宋"/>
                <w:b/>
                <w:bCs/>
                <w:kern w:val="2"/>
                <w:sz w:val="24"/>
                <w:szCs w:val="24"/>
                <w:u w:val="single"/>
                <w:lang w:val="en-US" w:eastAsia="zh-CN" w:bidi="ar"/>
              </w:rPr>
              <w:t>菜粕分批检验的，最终货物质量按每次检验结果单独核定。</w:t>
            </w:r>
            <w:r>
              <w:rPr>
                <w:rFonts w:hint="eastAsia" w:ascii="Times New Roman" w:hAnsi="Times New Roman" w:eastAsia="仿宋" w:cs="仿宋"/>
                <w:strike/>
                <w:dstrike w:val="0"/>
                <w:kern w:val="2"/>
                <w:sz w:val="24"/>
                <w:szCs w:val="24"/>
                <w:lang w:val="en-US" w:eastAsia="zh-CN" w:bidi="ar"/>
              </w:rPr>
              <w:t>具体流程按照《郑州商品交易所标准仓单管理办法》“厂库商品出库复检”有关规定办理。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noWrap w:val="0"/>
            <w:vAlign w:val="center"/>
          </w:tcPr>
          <w:p>
            <w:pPr>
              <w:ind w:left="0" w:leftChars="0" w:firstLine="0" w:firstLineChars="0"/>
              <w:jc w:val="left"/>
              <w:rPr>
                <w:rFonts w:hint="default" w:ascii="Times New Roman" w:hAnsi="Times New Roman" w:eastAsia="仿宋" w:cs="Times New Roman"/>
                <w:sz w:val="24"/>
                <w:szCs w:val="24"/>
                <w:vertAlign w:val="baseline"/>
                <w:lang w:val="en-US" w:eastAsia="zh-CN"/>
              </w:rPr>
            </w:pPr>
          </w:p>
        </w:tc>
        <w:tc>
          <w:tcPr>
            <w:tcW w:w="4261" w:type="dxa"/>
            <w:noWrap w:val="0"/>
            <w:vAlign w:val="center"/>
          </w:tcPr>
          <w:p>
            <w:pPr>
              <w:bidi w:val="0"/>
              <w:ind w:firstLine="481" w:firstLineChars="200"/>
              <w:jc w:val="left"/>
              <w:rPr>
                <w:rFonts w:hint="eastAsia" w:ascii="Times New Roman" w:hAnsi="Times New Roman" w:eastAsia="仿宋" w:cs="仿宋"/>
                <w:b/>
                <w:bCs/>
                <w:kern w:val="2"/>
                <w:sz w:val="24"/>
                <w:szCs w:val="24"/>
                <w:u w:val="single"/>
                <w:lang w:val="en-US" w:eastAsia="zh-CN" w:bidi="ar"/>
              </w:rPr>
            </w:pPr>
            <w:r>
              <w:rPr>
                <w:rFonts w:hint="eastAsia" w:ascii="Times New Roman" w:hAnsi="Times New Roman" w:eastAsia="仿宋" w:cs="仿宋"/>
                <w:b/>
                <w:bCs/>
                <w:kern w:val="2"/>
                <w:sz w:val="24"/>
                <w:szCs w:val="24"/>
                <w:u w:val="single"/>
                <w:lang w:val="en-US" w:eastAsia="zh-CN" w:bidi="ar"/>
              </w:rPr>
              <w:t>第四十六条 菜粕复检结果中，粗蛋白质指标所在升贴水区间高于或者等于仓单标识的升贴水区间的，以仓单标识为准，由此产生的复检及相关费用由提货人承担。</w:t>
            </w:r>
          </w:p>
          <w:p>
            <w:pPr>
              <w:bidi w:val="0"/>
              <w:ind w:firstLine="481" w:firstLineChars="200"/>
              <w:jc w:val="left"/>
              <w:rPr>
                <w:rFonts w:hint="eastAsia" w:ascii="Times New Roman" w:hAnsi="Times New Roman" w:eastAsia="仿宋" w:cs="仿宋"/>
                <w:b/>
                <w:bCs/>
                <w:kern w:val="2"/>
                <w:sz w:val="24"/>
                <w:szCs w:val="24"/>
                <w:u w:val="single"/>
                <w:lang w:val="en-US" w:eastAsia="zh-CN" w:bidi="ar"/>
              </w:rPr>
            </w:pPr>
            <w:r>
              <w:rPr>
                <w:rFonts w:hint="eastAsia" w:ascii="Times New Roman" w:hAnsi="Times New Roman" w:eastAsia="仿宋" w:cs="仿宋"/>
                <w:b/>
                <w:bCs/>
                <w:kern w:val="2"/>
                <w:sz w:val="24"/>
                <w:szCs w:val="24"/>
                <w:u w:val="single"/>
                <w:lang w:val="en-US" w:eastAsia="zh-CN" w:bidi="ar"/>
              </w:rPr>
              <w:t>复检结果中，粗蛋白质指标所在升贴水区间低于仓单标识的升贴水区间的，以复检结果确定的升贴水区间为准，由此产生的复检及相关费用由厂库承担，复检结果在交割标准允许范围内的，提货人应当接受，厂库对提货人按照交易所规定的升贴水标准进行补偿。</w:t>
            </w:r>
          </w:p>
          <w:p>
            <w:pPr>
              <w:ind w:firstLine="481" w:firstLineChars="200"/>
              <w:jc w:val="left"/>
              <w:rPr>
                <w:rFonts w:hint="eastAsia" w:ascii="Times New Roman" w:hAnsi="Times New Roman" w:eastAsia="仿宋" w:cs="仿宋"/>
                <w:b/>
                <w:bCs/>
                <w:kern w:val="2"/>
                <w:sz w:val="24"/>
                <w:szCs w:val="24"/>
                <w:u w:val="single"/>
                <w:lang w:val="en-US" w:eastAsia="zh-CN" w:bidi="ar"/>
              </w:rPr>
            </w:pPr>
            <w:r>
              <w:rPr>
                <w:rFonts w:hint="eastAsia" w:ascii="Times New Roman" w:hAnsi="Times New Roman" w:eastAsia="仿宋" w:cs="仿宋"/>
                <w:b/>
                <w:bCs/>
                <w:kern w:val="2"/>
                <w:sz w:val="24"/>
                <w:szCs w:val="24"/>
                <w:u w:val="single"/>
                <w:lang w:val="en-US" w:eastAsia="zh-CN" w:bidi="ar"/>
              </w:rPr>
              <w:t>厂库菜粕出库复检本细则未规定的，按照《郑州商品交易所标准仓单管理办法》“厂库商品出库复检”有关规定办理。</w:t>
            </w:r>
          </w:p>
        </w:tc>
      </w:tr>
    </w:tbl>
    <w:p>
      <w:pPr>
        <w:rPr>
          <w:rFonts w:hint="eastAsia" w:ascii="Times New Roman" w:hAnsi="Times New Roman" w:eastAsia="仿宋"/>
          <w:sz w:val="32"/>
          <w:lang w:val="en-US" w:eastAsia="zh-CN"/>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wordWrap w:val="0"/>
      <w:jc w:val="right"/>
      <w:rPr>
        <w:sz w:val="28"/>
      </w:rPr>
    </w:pPr>
    <w:r>
      <w:rPr>
        <w:sz w:val="28"/>
      </w:rPr>
      <w:pict>
        <v:shape id="_x0000_s3074" o:spid="_x0000_s3074"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4"/>
                  <w:wordWrap w:val="0"/>
                  <w:jc w:val="right"/>
                </w:pPr>
                <w:r>
                  <w:rPr>
                    <w:rFonts w:hint="eastAsia"/>
                    <w:sz w:val="28"/>
                  </w:rPr>
                  <w:t>—</w:t>
                </w:r>
                <w:r>
                  <w:rPr>
                    <w:rStyle w:val="10"/>
                    <w:sz w:val="28"/>
                  </w:rPr>
                  <w:fldChar w:fldCharType="begin"/>
                </w:r>
                <w:r>
                  <w:rPr>
                    <w:rStyle w:val="10"/>
                    <w:sz w:val="28"/>
                  </w:rPr>
                  <w:instrText xml:space="preserve"> PAGE </w:instrText>
                </w:r>
                <w:r>
                  <w:rPr>
                    <w:rStyle w:val="10"/>
                    <w:sz w:val="28"/>
                  </w:rPr>
                  <w:fldChar w:fldCharType="separate"/>
                </w:r>
                <w:r>
                  <w:rPr>
                    <w:rStyle w:val="10"/>
                    <w:sz w:val="28"/>
                  </w:rPr>
                  <w:t>1</w:t>
                </w:r>
                <w:r>
                  <w:rPr>
                    <w:rStyle w:val="10"/>
                    <w:sz w:val="28"/>
                  </w:rPr>
                  <w:fldChar w:fldCharType="end"/>
                </w:r>
                <w:r>
                  <w:rPr>
                    <w:rFonts w:hint="eastAsia"/>
                    <w:sz w:val="28"/>
                  </w:rPr>
                  <w:t>—</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sz w:val="28"/>
      </w:rPr>
    </w:pPr>
    <w:r>
      <w:rPr>
        <w:rFonts w:hint="eastAsia"/>
        <w:sz w:val="28"/>
      </w:rPr>
      <w:t>—</w:t>
    </w:r>
    <w:r>
      <w:rPr>
        <w:rStyle w:val="10"/>
        <w:sz w:val="28"/>
      </w:rPr>
      <w:fldChar w:fldCharType="begin"/>
    </w:r>
    <w:r>
      <w:rPr>
        <w:rStyle w:val="10"/>
        <w:sz w:val="28"/>
      </w:rPr>
      <w:instrText xml:space="preserve"> PAGE </w:instrText>
    </w:r>
    <w:r>
      <w:rPr>
        <w:rStyle w:val="10"/>
        <w:sz w:val="28"/>
      </w:rPr>
      <w:fldChar w:fldCharType="separate"/>
    </w:r>
    <w:r>
      <w:rPr>
        <w:rStyle w:val="10"/>
        <w:sz w:val="28"/>
      </w:rPr>
      <w:t>4</w:t>
    </w:r>
    <w:r>
      <w:rPr>
        <w:rStyle w:val="10"/>
        <w:sz w:val="28"/>
      </w:rPr>
      <w:fldChar w:fldCharType="end"/>
    </w:r>
    <w:r>
      <w:rPr>
        <w:rFonts w:hint="eastAsia"/>
        <w:sz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CA3EFF"/>
    <w:multiLevelType w:val="singleLevel"/>
    <w:tmpl w:val="F6CA3EF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dit="trackedChanges"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AD0E8A"/>
    <w:rsid w:val="000001F5"/>
    <w:rsid w:val="000003DC"/>
    <w:rsid w:val="000014F8"/>
    <w:rsid w:val="00002A40"/>
    <w:rsid w:val="00002BEB"/>
    <w:rsid w:val="00002E26"/>
    <w:rsid w:val="00004296"/>
    <w:rsid w:val="00004C6F"/>
    <w:rsid w:val="00004EB1"/>
    <w:rsid w:val="00005702"/>
    <w:rsid w:val="000073AA"/>
    <w:rsid w:val="00010417"/>
    <w:rsid w:val="00011183"/>
    <w:rsid w:val="00012607"/>
    <w:rsid w:val="0001260C"/>
    <w:rsid w:val="00014A55"/>
    <w:rsid w:val="000169B4"/>
    <w:rsid w:val="0002049C"/>
    <w:rsid w:val="000242DE"/>
    <w:rsid w:val="0002676C"/>
    <w:rsid w:val="00026C87"/>
    <w:rsid w:val="00027299"/>
    <w:rsid w:val="00030567"/>
    <w:rsid w:val="000329D1"/>
    <w:rsid w:val="0003324C"/>
    <w:rsid w:val="00034F86"/>
    <w:rsid w:val="00036407"/>
    <w:rsid w:val="00044139"/>
    <w:rsid w:val="0005173D"/>
    <w:rsid w:val="0005205B"/>
    <w:rsid w:val="00052C5E"/>
    <w:rsid w:val="0005492E"/>
    <w:rsid w:val="00056C26"/>
    <w:rsid w:val="00060795"/>
    <w:rsid w:val="000608B0"/>
    <w:rsid w:val="000617CC"/>
    <w:rsid w:val="00061A4A"/>
    <w:rsid w:val="0006518A"/>
    <w:rsid w:val="0006663E"/>
    <w:rsid w:val="00067B6F"/>
    <w:rsid w:val="00067BE9"/>
    <w:rsid w:val="00074328"/>
    <w:rsid w:val="00074E4B"/>
    <w:rsid w:val="000754DD"/>
    <w:rsid w:val="00081302"/>
    <w:rsid w:val="000820C9"/>
    <w:rsid w:val="00082102"/>
    <w:rsid w:val="00082D2E"/>
    <w:rsid w:val="0008334C"/>
    <w:rsid w:val="0008416A"/>
    <w:rsid w:val="00085DE8"/>
    <w:rsid w:val="000900EC"/>
    <w:rsid w:val="000901D1"/>
    <w:rsid w:val="00094CFF"/>
    <w:rsid w:val="000967AC"/>
    <w:rsid w:val="00097D09"/>
    <w:rsid w:val="000A140C"/>
    <w:rsid w:val="000A5168"/>
    <w:rsid w:val="000A5A3D"/>
    <w:rsid w:val="000B1E3C"/>
    <w:rsid w:val="000B31FF"/>
    <w:rsid w:val="000B3E74"/>
    <w:rsid w:val="000B5091"/>
    <w:rsid w:val="000B5688"/>
    <w:rsid w:val="000B7916"/>
    <w:rsid w:val="000C172F"/>
    <w:rsid w:val="000C17CA"/>
    <w:rsid w:val="000C3315"/>
    <w:rsid w:val="000C356C"/>
    <w:rsid w:val="000C4C59"/>
    <w:rsid w:val="000C7636"/>
    <w:rsid w:val="000D0540"/>
    <w:rsid w:val="000D606B"/>
    <w:rsid w:val="000D7306"/>
    <w:rsid w:val="000D762C"/>
    <w:rsid w:val="000E0627"/>
    <w:rsid w:val="000E06FA"/>
    <w:rsid w:val="000E5475"/>
    <w:rsid w:val="000E76FB"/>
    <w:rsid w:val="000F23E7"/>
    <w:rsid w:val="000F29FC"/>
    <w:rsid w:val="000F2DBF"/>
    <w:rsid w:val="000F40AA"/>
    <w:rsid w:val="001033A4"/>
    <w:rsid w:val="001062DA"/>
    <w:rsid w:val="001065BE"/>
    <w:rsid w:val="00110A8C"/>
    <w:rsid w:val="00110E85"/>
    <w:rsid w:val="00110E86"/>
    <w:rsid w:val="001213D3"/>
    <w:rsid w:val="0012151D"/>
    <w:rsid w:val="001228B3"/>
    <w:rsid w:val="00124271"/>
    <w:rsid w:val="00125339"/>
    <w:rsid w:val="0012557A"/>
    <w:rsid w:val="001314E3"/>
    <w:rsid w:val="00133D3D"/>
    <w:rsid w:val="00134BCD"/>
    <w:rsid w:val="00134E02"/>
    <w:rsid w:val="001356A6"/>
    <w:rsid w:val="00136D74"/>
    <w:rsid w:val="00137D11"/>
    <w:rsid w:val="00140916"/>
    <w:rsid w:val="001409DF"/>
    <w:rsid w:val="001433B9"/>
    <w:rsid w:val="00143967"/>
    <w:rsid w:val="00143D92"/>
    <w:rsid w:val="001441F0"/>
    <w:rsid w:val="001441F8"/>
    <w:rsid w:val="001447A0"/>
    <w:rsid w:val="0014593B"/>
    <w:rsid w:val="0014676B"/>
    <w:rsid w:val="00147675"/>
    <w:rsid w:val="00151823"/>
    <w:rsid w:val="00153C74"/>
    <w:rsid w:val="00154105"/>
    <w:rsid w:val="00156318"/>
    <w:rsid w:val="00156457"/>
    <w:rsid w:val="00162E48"/>
    <w:rsid w:val="00163388"/>
    <w:rsid w:val="00163ECE"/>
    <w:rsid w:val="00164038"/>
    <w:rsid w:val="00164B62"/>
    <w:rsid w:val="00164F46"/>
    <w:rsid w:val="001706AC"/>
    <w:rsid w:val="00171E7C"/>
    <w:rsid w:val="00171F06"/>
    <w:rsid w:val="0017384B"/>
    <w:rsid w:val="00176367"/>
    <w:rsid w:val="00180471"/>
    <w:rsid w:val="00181992"/>
    <w:rsid w:val="00181DFD"/>
    <w:rsid w:val="0018239C"/>
    <w:rsid w:val="001861A4"/>
    <w:rsid w:val="001862D9"/>
    <w:rsid w:val="00190997"/>
    <w:rsid w:val="00191680"/>
    <w:rsid w:val="00192AD1"/>
    <w:rsid w:val="00194106"/>
    <w:rsid w:val="001A0003"/>
    <w:rsid w:val="001A0DA0"/>
    <w:rsid w:val="001A356C"/>
    <w:rsid w:val="001A52B1"/>
    <w:rsid w:val="001A7B8A"/>
    <w:rsid w:val="001B2208"/>
    <w:rsid w:val="001B3392"/>
    <w:rsid w:val="001B3B4A"/>
    <w:rsid w:val="001B616B"/>
    <w:rsid w:val="001B6997"/>
    <w:rsid w:val="001B6D33"/>
    <w:rsid w:val="001B6EF1"/>
    <w:rsid w:val="001C0D37"/>
    <w:rsid w:val="001C1EBD"/>
    <w:rsid w:val="001C2DA1"/>
    <w:rsid w:val="001C4BA8"/>
    <w:rsid w:val="001C4E7B"/>
    <w:rsid w:val="001C5CE6"/>
    <w:rsid w:val="001C7403"/>
    <w:rsid w:val="001D2C75"/>
    <w:rsid w:val="001D3188"/>
    <w:rsid w:val="001D33B7"/>
    <w:rsid w:val="001D6F9A"/>
    <w:rsid w:val="001E18EE"/>
    <w:rsid w:val="001E18F9"/>
    <w:rsid w:val="001E366C"/>
    <w:rsid w:val="001E4DE0"/>
    <w:rsid w:val="001E4FD8"/>
    <w:rsid w:val="001E66F0"/>
    <w:rsid w:val="001F04EB"/>
    <w:rsid w:val="001F261A"/>
    <w:rsid w:val="001F3D02"/>
    <w:rsid w:val="001F4C5C"/>
    <w:rsid w:val="001F52D8"/>
    <w:rsid w:val="001F5336"/>
    <w:rsid w:val="001F7336"/>
    <w:rsid w:val="001F7DEE"/>
    <w:rsid w:val="002027A7"/>
    <w:rsid w:val="002030EA"/>
    <w:rsid w:val="002064B3"/>
    <w:rsid w:val="0021318F"/>
    <w:rsid w:val="00213A1D"/>
    <w:rsid w:val="0021433B"/>
    <w:rsid w:val="00215DED"/>
    <w:rsid w:val="002203D1"/>
    <w:rsid w:val="002205AB"/>
    <w:rsid w:val="0022195F"/>
    <w:rsid w:val="0022333C"/>
    <w:rsid w:val="00223499"/>
    <w:rsid w:val="0022466A"/>
    <w:rsid w:val="002265F2"/>
    <w:rsid w:val="00227684"/>
    <w:rsid w:val="002308AD"/>
    <w:rsid w:val="00230BBB"/>
    <w:rsid w:val="0023113C"/>
    <w:rsid w:val="002339F9"/>
    <w:rsid w:val="00233A04"/>
    <w:rsid w:val="00233AA1"/>
    <w:rsid w:val="002342EC"/>
    <w:rsid w:val="00236543"/>
    <w:rsid w:val="00236A42"/>
    <w:rsid w:val="002373CA"/>
    <w:rsid w:val="00237510"/>
    <w:rsid w:val="002411B9"/>
    <w:rsid w:val="00241BA8"/>
    <w:rsid w:val="002425E4"/>
    <w:rsid w:val="00242C8C"/>
    <w:rsid w:val="00244C30"/>
    <w:rsid w:val="002465C0"/>
    <w:rsid w:val="00247137"/>
    <w:rsid w:val="00251A65"/>
    <w:rsid w:val="002520CF"/>
    <w:rsid w:val="0025352C"/>
    <w:rsid w:val="00253770"/>
    <w:rsid w:val="002548CD"/>
    <w:rsid w:val="00257D88"/>
    <w:rsid w:val="0026069B"/>
    <w:rsid w:val="002658FB"/>
    <w:rsid w:val="002669A1"/>
    <w:rsid w:val="00267DAA"/>
    <w:rsid w:val="00270700"/>
    <w:rsid w:val="00270AE1"/>
    <w:rsid w:val="002719A7"/>
    <w:rsid w:val="002735CC"/>
    <w:rsid w:val="0027432D"/>
    <w:rsid w:val="0028016B"/>
    <w:rsid w:val="00280F80"/>
    <w:rsid w:val="00281DBB"/>
    <w:rsid w:val="002829F2"/>
    <w:rsid w:val="0028462F"/>
    <w:rsid w:val="00286088"/>
    <w:rsid w:val="00287836"/>
    <w:rsid w:val="00287BED"/>
    <w:rsid w:val="00291BA0"/>
    <w:rsid w:val="00291DD3"/>
    <w:rsid w:val="00291E6A"/>
    <w:rsid w:val="002953EA"/>
    <w:rsid w:val="00295707"/>
    <w:rsid w:val="00297E3F"/>
    <w:rsid w:val="002A08CD"/>
    <w:rsid w:val="002A0A8F"/>
    <w:rsid w:val="002A2D8E"/>
    <w:rsid w:val="002A3208"/>
    <w:rsid w:val="002B18F5"/>
    <w:rsid w:val="002B1977"/>
    <w:rsid w:val="002B21D8"/>
    <w:rsid w:val="002B53B4"/>
    <w:rsid w:val="002B5E5D"/>
    <w:rsid w:val="002B79A7"/>
    <w:rsid w:val="002C067B"/>
    <w:rsid w:val="002C2288"/>
    <w:rsid w:val="002C2AD8"/>
    <w:rsid w:val="002C401D"/>
    <w:rsid w:val="002C49BB"/>
    <w:rsid w:val="002C545C"/>
    <w:rsid w:val="002C54DF"/>
    <w:rsid w:val="002C66E0"/>
    <w:rsid w:val="002D4C09"/>
    <w:rsid w:val="002D5C89"/>
    <w:rsid w:val="002D6773"/>
    <w:rsid w:val="002E1A35"/>
    <w:rsid w:val="002E25FB"/>
    <w:rsid w:val="002E3400"/>
    <w:rsid w:val="002E39C3"/>
    <w:rsid w:val="002E39F5"/>
    <w:rsid w:val="002E481D"/>
    <w:rsid w:val="002E7A81"/>
    <w:rsid w:val="002F1A51"/>
    <w:rsid w:val="002F4C97"/>
    <w:rsid w:val="002F5419"/>
    <w:rsid w:val="0030292D"/>
    <w:rsid w:val="00306EBE"/>
    <w:rsid w:val="0031001B"/>
    <w:rsid w:val="00312BA8"/>
    <w:rsid w:val="003149DA"/>
    <w:rsid w:val="00317E1B"/>
    <w:rsid w:val="00321B8F"/>
    <w:rsid w:val="00321C8E"/>
    <w:rsid w:val="003223F2"/>
    <w:rsid w:val="003226A6"/>
    <w:rsid w:val="003231B1"/>
    <w:rsid w:val="0032481B"/>
    <w:rsid w:val="003301BB"/>
    <w:rsid w:val="0033099F"/>
    <w:rsid w:val="003314C9"/>
    <w:rsid w:val="00333080"/>
    <w:rsid w:val="00336655"/>
    <w:rsid w:val="0033681A"/>
    <w:rsid w:val="00340820"/>
    <w:rsid w:val="00344236"/>
    <w:rsid w:val="00344F8F"/>
    <w:rsid w:val="003461AD"/>
    <w:rsid w:val="00347FB0"/>
    <w:rsid w:val="00350091"/>
    <w:rsid w:val="00352A3F"/>
    <w:rsid w:val="003561DD"/>
    <w:rsid w:val="003602CA"/>
    <w:rsid w:val="0036356D"/>
    <w:rsid w:val="00364976"/>
    <w:rsid w:val="00365F05"/>
    <w:rsid w:val="0037359E"/>
    <w:rsid w:val="0037586C"/>
    <w:rsid w:val="0037605A"/>
    <w:rsid w:val="00377265"/>
    <w:rsid w:val="003801B1"/>
    <w:rsid w:val="00382171"/>
    <w:rsid w:val="00382985"/>
    <w:rsid w:val="003849B5"/>
    <w:rsid w:val="00384FA8"/>
    <w:rsid w:val="00386551"/>
    <w:rsid w:val="00387FA7"/>
    <w:rsid w:val="00390ABB"/>
    <w:rsid w:val="003913E8"/>
    <w:rsid w:val="00392985"/>
    <w:rsid w:val="003930F1"/>
    <w:rsid w:val="0039314B"/>
    <w:rsid w:val="00393181"/>
    <w:rsid w:val="00395343"/>
    <w:rsid w:val="003967D5"/>
    <w:rsid w:val="003A107E"/>
    <w:rsid w:val="003A133D"/>
    <w:rsid w:val="003A7001"/>
    <w:rsid w:val="003A748A"/>
    <w:rsid w:val="003A7807"/>
    <w:rsid w:val="003A7D1E"/>
    <w:rsid w:val="003B01E2"/>
    <w:rsid w:val="003B51C1"/>
    <w:rsid w:val="003B7506"/>
    <w:rsid w:val="003B7561"/>
    <w:rsid w:val="003B75E3"/>
    <w:rsid w:val="003B75EE"/>
    <w:rsid w:val="003C051B"/>
    <w:rsid w:val="003C151A"/>
    <w:rsid w:val="003C1A4A"/>
    <w:rsid w:val="003C2638"/>
    <w:rsid w:val="003C3470"/>
    <w:rsid w:val="003C4245"/>
    <w:rsid w:val="003C5A99"/>
    <w:rsid w:val="003D0613"/>
    <w:rsid w:val="003D0967"/>
    <w:rsid w:val="003D19D2"/>
    <w:rsid w:val="003D556B"/>
    <w:rsid w:val="003D7F73"/>
    <w:rsid w:val="003E0362"/>
    <w:rsid w:val="003E1029"/>
    <w:rsid w:val="003E2FE4"/>
    <w:rsid w:val="003E4471"/>
    <w:rsid w:val="003E6C9F"/>
    <w:rsid w:val="003E73A5"/>
    <w:rsid w:val="003E7595"/>
    <w:rsid w:val="003E787F"/>
    <w:rsid w:val="003F01B2"/>
    <w:rsid w:val="003F0D09"/>
    <w:rsid w:val="003F4183"/>
    <w:rsid w:val="003F6309"/>
    <w:rsid w:val="003F6ED2"/>
    <w:rsid w:val="003F769A"/>
    <w:rsid w:val="003F7EF5"/>
    <w:rsid w:val="0040148C"/>
    <w:rsid w:val="004018D9"/>
    <w:rsid w:val="00403A9B"/>
    <w:rsid w:val="00404591"/>
    <w:rsid w:val="00405FD8"/>
    <w:rsid w:val="00406F84"/>
    <w:rsid w:val="00407062"/>
    <w:rsid w:val="00410188"/>
    <w:rsid w:val="00410991"/>
    <w:rsid w:val="00411DB1"/>
    <w:rsid w:val="004126B3"/>
    <w:rsid w:val="00416877"/>
    <w:rsid w:val="00420EDB"/>
    <w:rsid w:val="00423645"/>
    <w:rsid w:val="00423667"/>
    <w:rsid w:val="00425A35"/>
    <w:rsid w:val="004269A5"/>
    <w:rsid w:val="00426A35"/>
    <w:rsid w:val="0043178A"/>
    <w:rsid w:val="00433114"/>
    <w:rsid w:val="00433274"/>
    <w:rsid w:val="00433B15"/>
    <w:rsid w:val="004374B5"/>
    <w:rsid w:val="004408B1"/>
    <w:rsid w:val="00440D54"/>
    <w:rsid w:val="00440F13"/>
    <w:rsid w:val="004414FB"/>
    <w:rsid w:val="00442279"/>
    <w:rsid w:val="00444D7A"/>
    <w:rsid w:val="00446281"/>
    <w:rsid w:val="00446447"/>
    <w:rsid w:val="00446938"/>
    <w:rsid w:val="004473BE"/>
    <w:rsid w:val="0045364B"/>
    <w:rsid w:val="0046210E"/>
    <w:rsid w:val="00462A8C"/>
    <w:rsid w:val="00466AFC"/>
    <w:rsid w:val="00470443"/>
    <w:rsid w:val="00470D46"/>
    <w:rsid w:val="0047312A"/>
    <w:rsid w:val="00473ED2"/>
    <w:rsid w:val="00474229"/>
    <w:rsid w:val="00480E20"/>
    <w:rsid w:val="004821A8"/>
    <w:rsid w:val="004829A0"/>
    <w:rsid w:val="00484774"/>
    <w:rsid w:val="00485652"/>
    <w:rsid w:val="00486416"/>
    <w:rsid w:val="00490F3B"/>
    <w:rsid w:val="004921FC"/>
    <w:rsid w:val="00492DE1"/>
    <w:rsid w:val="0049421E"/>
    <w:rsid w:val="0049451D"/>
    <w:rsid w:val="00496FBD"/>
    <w:rsid w:val="00497FC8"/>
    <w:rsid w:val="004A089A"/>
    <w:rsid w:val="004A0F82"/>
    <w:rsid w:val="004A5508"/>
    <w:rsid w:val="004A59DC"/>
    <w:rsid w:val="004A627A"/>
    <w:rsid w:val="004B0CDC"/>
    <w:rsid w:val="004B2684"/>
    <w:rsid w:val="004B39FE"/>
    <w:rsid w:val="004B4495"/>
    <w:rsid w:val="004B63B0"/>
    <w:rsid w:val="004C14F0"/>
    <w:rsid w:val="004C1BB7"/>
    <w:rsid w:val="004C23D2"/>
    <w:rsid w:val="004C3FD8"/>
    <w:rsid w:val="004C47BC"/>
    <w:rsid w:val="004C7DC3"/>
    <w:rsid w:val="004D0874"/>
    <w:rsid w:val="004D0C9D"/>
    <w:rsid w:val="004D0D5C"/>
    <w:rsid w:val="004D1EE3"/>
    <w:rsid w:val="004D2CD1"/>
    <w:rsid w:val="004D57D3"/>
    <w:rsid w:val="004D7963"/>
    <w:rsid w:val="004E1889"/>
    <w:rsid w:val="004E390F"/>
    <w:rsid w:val="004E5897"/>
    <w:rsid w:val="004E683C"/>
    <w:rsid w:val="004E7E37"/>
    <w:rsid w:val="004E7F35"/>
    <w:rsid w:val="004F0AD2"/>
    <w:rsid w:val="004F3A0C"/>
    <w:rsid w:val="004F49CC"/>
    <w:rsid w:val="004F5AB1"/>
    <w:rsid w:val="005001D1"/>
    <w:rsid w:val="00500FB7"/>
    <w:rsid w:val="0050160E"/>
    <w:rsid w:val="00501C80"/>
    <w:rsid w:val="00503228"/>
    <w:rsid w:val="005046CA"/>
    <w:rsid w:val="005048F5"/>
    <w:rsid w:val="00505011"/>
    <w:rsid w:val="00505EDB"/>
    <w:rsid w:val="00507749"/>
    <w:rsid w:val="00507CE6"/>
    <w:rsid w:val="00514116"/>
    <w:rsid w:val="005153FE"/>
    <w:rsid w:val="0052702A"/>
    <w:rsid w:val="00527C0C"/>
    <w:rsid w:val="00527D39"/>
    <w:rsid w:val="00535129"/>
    <w:rsid w:val="005379F1"/>
    <w:rsid w:val="00540AA8"/>
    <w:rsid w:val="00541262"/>
    <w:rsid w:val="00541F96"/>
    <w:rsid w:val="00542C13"/>
    <w:rsid w:val="00545CBA"/>
    <w:rsid w:val="00546229"/>
    <w:rsid w:val="00546406"/>
    <w:rsid w:val="00551A87"/>
    <w:rsid w:val="00551C0C"/>
    <w:rsid w:val="00554132"/>
    <w:rsid w:val="0055488E"/>
    <w:rsid w:val="00554FF2"/>
    <w:rsid w:val="0055541A"/>
    <w:rsid w:val="00555939"/>
    <w:rsid w:val="00556447"/>
    <w:rsid w:val="005621AA"/>
    <w:rsid w:val="005628BD"/>
    <w:rsid w:val="00564AE3"/>
    <w:rsid w:val="00564C50"/>
    <w:rsid w:val="005668E5"/>
    <w:rsid w:val="00566CC1"/>
    <w:rsid w:val="00567284"/>
    <w:rsid w:val="00571B6C"/>
    <w:rsid w:val="005729DA"/>
    <w:rsid w:val="005738F5"/>
    <w:rsid w:val="00574D60"/>
    <w:rsid w:val="00575806"/>
    <w:rsid w:val="005819FD"/>
    <w:rsid w:val="00581D48"/>
    <w:rsid w:val="00582539"/>
    <w:rsid w:val="00583F73"/>
    <w:rsid w:val="005846F6"/>
    <w:rsid w:val="0058594A"/>
    <w:rsid w:val="00590D0A"/>
    <w:rsid w:val="0059177F"/>
    <w:rsid w:val="00592AEE"/>
    <w:rsid w:val="00592EA1"/>
    <w:rsid w:val="00593014"/>
    <w:rsid w:val="0059455E"/>
    <w:rsid w:val="0059464C"/>
    <w:rsid w:val="00595D4E"/>
    <w:rsid w:val="005A1D09"/>
    <w:rsid w:val="005A3192"/>
    <w:rsid w:val="005A50CF"/>
    <w:rsid w:val="005A6A99"/>
    <w:rsid w:val="005B0920"/>
    <w:rsid w:val="005B2CFA"/>
    <w:rsid w:val="005B3EB0"/>
    <w:rsid w:val="005B4FEC"/>
    <w:rsid w:val="005B5660"/>
    <w:rsid w:val="005B59CF"/>
    <w:rsid w:val="005B6DD9"/>
    <w:rsid w:val="005C02E0"/>
    <w:rsid w:val="005C04FC"/>
    <w:rsid w:val="005C0873"/>
    <w:rsid w:val="005C1FB9"/>
    <w:rsid w:val="005C2E57"/>
    <w:rsid w:val="005C5072"/>
    <w:rsid w:val="005D1EB0"/>
    <w:rsid w:val="005D3662"/>
    <w:rsid w:val="005D514A"/>
    <w:rsid w:val="005D5928"/>
    <w:rsid w:val="005D592A"/>
    <w:rsid w:val="005D6191"/>
    <w:rsid w:val="005D6E7E"/>
    <w:rsid w:val="005D7939"/>
    <w:rsid w:val="005E0426"/>
    <w:rsid w:val="005E0D26"/>
    <w:rsid w:val="005E1791"/>
    <w:rsid w:val="005E3374"/>
    <w:rsid w:val="005E3E96"/>
    <w:rsid w:val="005E555F"/>
    <w:rsid w:val="005E5956"/>
    <w:rsid w:val="005E5BC9"/>
    <w:rsid w:val="005F12E8"/>
    <w:rsid w:val="005F21B2"/>
    <w:rsid w:val="005F4FB5"/>
    <w:rsid w:val="005F6138"/>
    <w:rsid w:val="005F713B"/>
    <w:rsid w:val="005F7E81"/>
    <w:rsid w:val="00601454"/>
    <w:rsid w:val="00602ADC"/>
    <w:rsid w:val="006037EF"/>
    <w:rsid w:val="00603D6E"/>
    <w:rsid w:val="00606801"/>
    <w:rsid w:val="00607C2B"/>
    <w:rsid w:val="00607DBD"/>
    <w:rsid w:val="00610591"/>
    <w:rsid w:val="00613D08"/>
    <w:rsid w:val="0061555B"/>
    <w:rsid w:val="00617CB2"/>
    <w:rsid w:val="00620DF9"/>
    <w:rsid w:val="00621317"/>
    <w:rsid w:val="00623308"/>
    <w:rsid w:val="006248CD"/>
    <w:rsid w:val="00624A63"/>
    <w:rsid w:val="00625B3C"/>
    <w:rsid w:val="0062699B"/>
    <w:rsid w:val="00630498"/>
    <w:rsid w:val="006314E1"/>
    <w:rsid w:val="006328C3"/>
    <w:rsid w:val="00632F5E"/>
    <w:rsid w:val="00633E7F"/>
    <w:rsid w:val="00635785"/>
    <w:rsid w:val="0063717C"/>
    <w:rsid w:val="00640929"/>
    <w:rsid w:val="00641386"/>
    <w:rsid w:val="00641C5C"/>
    <w:rsid w:val="00644D4D"/>
    <w:rsid w:val="00645213"/>
    <w:rsid w:val="006474F9"/>
    <w:rsid w:val="0065129A"/>
    <w:rsid w:val="00651AEC"/>
    <w:rsid w:val="00651D9C"/>
    <w:rsid w:val="00652D9B"/>
    <w:rsid w:val="006537A3"/>
    <w:rsid w:val="00653B1E"/>
    <w:rsid w:val="00653EDC"/>
    <w:rsid w:val="00654E70"/>
    <w:rsid w:val="00655591"/>
    <w:rsid w:val="006562F6"/>
    <w:rsid w:val="0066079D"/>
    <w:rsid w:val="00660A2F"/>
    <w:rsid w:val="00660B6E"/>
    <w:rsid w:val="006627B1"/>
    <w:rsid w:val="00663022"/>
    <w:rsid w:val="0066351A"/>
    <w:rsid w:val="00665C44"/>
    <w:rsid w:val="00665DDA"/>
    <w:rsid w:val="00670F02"/>
    <w:rsid w:val="0067102D"/>
    <w:rsid w:val="0067266B"/>
    <w:rsid w:val="00673F4C"/>
    <w:rsid w:val="006742EA"/>
    <w:rsid w:val="00674913"/>
    <w:rsid w:val="00674E39"/>
    <w:rsid w:val="00677267"/>
    <w:rsid w:val="0068138E"/>
    <w:rsid w:val="00684780"/>
    <w:rsid w:val="00686E1A"/>
    <w:rsid w:val="0069003D"/>
    <w:rsid w:val="0069003F"/>
    <w:rsid w:val="00692E94"/>
    <w:rsid w:val="006969B9"/>
    <w:rsid w:val="006A0F09"/>
    <w:rsid w:val="006A1AEA"/>
    <w:rsid w:val="006A2176"/>
    <w:rsid w:val="006A2184"/>
    <w:rsid w:val="006A3A0A"/>
    <w:rsid w:val="006A5DA6"/>
    <w:rsid w:val="006A6DE3"/>
    <w:rsid w:val="006A7851"/>
    <w:rsid w:val="006A7EA8"/>
    <w:rsid w:val="006B0ACE"/>
    <w:rsid w:val="006B2BDD"/>
    <w:rsid w:val="006B4965"/>
    <w:rsid w:val="006B4980"/>
    <w:rsid w:val="006C02A5"/>
    <w:rsid w:val="006C0447"/>
    <w:rsid w:val="006C129D"/>
    <w:rsid w:val="006C203E"/>
    <w:rsid w:val="006C38A4"/>
    <w:rsid w:val="006C49FD"/>
    <w:rsid w:val="006C4B97"/>
    <w:rsid w:val="006C50CD"/>
    <w:rsid w:val="006C6454"/>
    <w:rsid w:val="006C7AC8"/>
    <w:rsid w:val="006D149C"/>
    <w:rsid w:val="006D3857"/>
    <w:rsid w:val="006D4925"/>
    <w:rsid w:val="006D569A"/>
    <w:rsid w:val="006E31D8"/>
    <w:rsid w:val="006E6A2A"/>
    <w:rsid w:val="006F0484"/>
    <w:rsid w:val="006F080C"/>
    <w:rsid w:val="006F1359"/>
    <w:rsid w:val="006F158B"/>
    <w:rsid w:val="006F1E58"/>
    <w:rsid w:val="006F23CB"/>
    <w:rsid w:val="006F48E3"/>
    <w:rsid w:val="006F50AC"/>
    <w:rsid w:val="006F74A2"/>
    <w:rsid w:val="00700211"/>
    <w:rsid w:val="007011FA"/>
    <w:rsid w:val="00703268"/>
    <w:rsid w:val="0070466B"/>
    <w:rsid w:val="00704C41"/>
    <w:rsid w:val="00705B6C"/>
    <w:rsid w:val="0071126F"/>
    <w:rsid w:val="00716716"/>
    <w:rsid w:val="007174FB"/>
    <w:rsid w:val="0072193C"/>
    <w:rsid w:val="00722195"/>
    <w:rsid w:val="00722DF3"/>
    <w:rsid w:val="0072337C"/>
    <w:rsid w:val="007248DD"/>
    <w:rsid w:val="00725DC9"/>
    <w:rsid w:val="007353B7"/>
    <w:rsid w:val="007401A6"/>
    <w:rsid w:val="007411E7"/>
    <w:rsid w:val="007421F7"/>
    <w:rsid w:val="00743992"/>
    <w:rsid w:val="00746E50"/>
    <w:rsid w:val="00753B62"/>
    <w:rsid w:val="00756541"/>
    <w:rsid w:val="007577C1"/>
    <w:rsid w:val="00762951"/>
    <w:rsid w:val="00762D59"/>
    <w:rsid w:val="007645DA"/>
    <w:rsid w:val="00764E4E"/>
    <w:rsid w:val="00767AB0"/>
    <w:rsid w:val="00767CFD"/>
    <w:rsid w:val="00767F64"/>
    <w:rsid w:val="00770547"/>
    <w:rsid w:val="00770D97"/>
    <w:rsid w:val="00774CBB"/>
    <w:rsid w:val="00776102"/>
    <w:rsid w:val="00776C9C"/>
    <w:rsid w:val="00777225"/>
    <w:rsid w:val="00782F7F"/>
    <w:rsid w:val="00782FB3"/>
    <w:rsid w:val="00785516"/>
    <w:rsid w:val="00786FDC"/>
    <w:rsid w:val="007870B5"/>
    <w:rsid w:val="00787A85"/>
    <w:rsid w:val="00791FF4"/>
    <w:rsid w:val="00793217"/>
    <w:rsid w:val="007934D7"/>
    <w:rsid w:val="007936C6"/>
    <w:rsid w:val="007945EC"/>
    <w:rsid w:val="0079609E"/>
    <w:rsid w:val="00797651"/>
    <w:rsid w:val="007A0D07"/>
    <w:rsid w:val="007A1C3A"/>
    <w:rsid w:val="007A7856"/>
    <w:rsid w:val="007B045B"/>
    <w:rsid w:val="007B0F2F"/>
    <w:rsid w:val="007B225A"/>
    <w:rsid w:val="007B3428"/>
    <w:rsid w:val="007B3443"/>
    <w:rsid w:val="007B74D2"/>
    <w:rsid w:val="007C0A55"/>
    <w:rsid w:val="007C1F4B"/>
    <w:rsid w:val="007C406F"/>
    <w:rsid w:val="007C41F5"/>
    <w:rsid w:val="007C44FF"/>
    <w:rsid w:val="007D117D"/>
    <w:rsid w:val="007D50B2"/>
    <w:rsid w:val="007E1202"/>
    <w:rsid w:val="007E1648"/>
    <w:rsid w:val="007E1CF4"/>
    <w:rsid w:val="007E4F5C"/>
    <w:rsid w:val="007F0B9C"/>
    <w:rsid w:val="007F12DF"/>
    <w:rsid w:val="007F25BD"/>
    <w:rsid w:val="007F47CF"/>
    <w:rsid w:val="007F5054"/>
    <w:rsid w:val="00801CD4"/>
    <w:rsid w:val="008041DD"/>
    <w:rsid w:val="0080452C"/>
    <w:rsid w:val="00805924"/>
    <w:rsid w:val="008079BF"/>
    <w:rsid w:val="00807B60"/>
    <w:rsid w:val="00807BD8"/>
    <w:rsid w:val="00807C11"/>
    <w:rsid w:val="008105F4"/>
    <w:rsid w:val="008119D8"/>
    <w:rsid w:val="00811E93"/>
    <w:rsid w:val="008125CE"/>
    <w:rsid w:val="008146E6"/>
    <w:rsid w:val="00814C5F"/>
    <w:rsid w:val="008332E6"/>
    <w:rsid w:val="0083409E"/>
    <w:rsid w:val="008347C5"/>
    <w:rsid w:val="008353DC"/>
    <w:rsid w:val="00835DF3"/>
    <w:rsid w:val="008402AB"/>
    <w:rsid w:val="00840C50"/>
    <w:rsid w:val="00842221"/>
    <w:rsid w:val="00843C4D"/>
    <w:rsid w:val="008455D2"/>
    <w:rsid w:val="0085280D"/>
    <w:rsid w:val="00854C4A"/>
    <w:rsid w:val="00855939"/>
    <w:rsid w:val="00855A48"/>
    <w:rsid w:val="00857098"/>
    <w:rsid w:val="00857D9B"/>
    <w:rsid w:val="00860824"/>
    <w:rsid w:val="0086088F"/>
    <w:rsid w:val="00860F09"/>
    <w:rsid w:val="00862247"/>
    <w:rsid w:val="0086374F"/>
    <w:rsid w:val="0086458C"/>
    <w:rsid w:val="00865982"/>
    <w:rsid w:val="008677F8"/>
    <w:rsid w:val="00867CBC"/>
    <w:rsid w:val="0087311C"/>
    <w:rsid w:val="0087312B"/>
    <w:rsid w:val="00877623"/>
    <w:rsid w:val="00880FE3"/>
    <w:rsid w:val="00885AF3"/>
    <w:rsid w:val="008861DB"/>
    <w:rsid w:val="00886B5B"/>
    <w:rsid w:val="00887BC0"/>
    <w:rsid w:val="00890E4E"/>
    <w:rsid w:val="00892CEA"/>
    <w:rsid w:val="00893FA5"/>
    <w:rsid w:val="00895ED3"/>
    <w:rsid w:val="00896A7D"/>
    <w:rsid w:val="00896D80"/>
    <w:rsid w:val="00896F45"/>
    <w:rsid w:val="008975C2"/>
    <w:rsid w:val="00897F0A"/>
    <w:rsid w:val="008A29C6"/>
    <w:rsid w:val="008A3724"/>
    <w:rsid w:val="008A37A0"/>
    <w:rsid w:val="008A3D86"/>
    <w:rsid w:val="008A4369"/>
    <w:rsid w:val="008A6A41"/>
    <w:rsid w:val="008A7137"/>
    <w:rsid w:val="008A73A6"/>
    <w:rsid w:val="008A752D"/>
    <w:rsid w:val="008B0BEF"/>
    <w:rsid w:val="008B108E"/>
    <w:rsid w:val="008B4109"/>
    <w:rsid w:val="008B44D1"/>
    <w:rsid w:val="008B58D3"/>
    <w:rsid w:val="008B666D"/>
    <w:rsid w:val="008B726D"/>
    <w:rsid w:val="008C4D65"/>
    <w:rsid w:val="008C5808"/>
    <w:rsid w:val="008C6277"/>
    <w:rsid w:val="008C686F"/>
    <w:rsid w:val="008C69E6"/>
    <w:rsid w:val="008C791C"/>
    <w:rsid w:val="008C79E3"/>
    <w:rsid w:val="008C7A2C"/>
    <w:rsid w:val="008D1F8C"/>
    <w:rsid w:val="008D43F0"/>
    <w:rsid w:val="008D6A30"/>
    <w:rsid w:val="008D70A1"/>
    <w:rsid w:val="008D7E6C"/>
    <w:rsid w:val="008D7F8E"/>
    <w:rsid w:val="008E1CF1"/>
    <w:rsid w:val="008E4600"/>
    <w:rsid w:val="008E4864"/>
    <w:rsid w:val="008E5280"/>
    <w:rsid w:val="008F194F"/>
    <w:rsid w:val="008F23BA"/>
    <w:rsid w:val="008F707F"/>
    <w:rsid w:val="008F7AF0"/>
    <w:rsid w:val="0090427D"/>
    <w:rsid w:val="009049B0"/>
    <w:rsid w:val="00907630"/>
    <w:rsid w:val="00907746"/>
    <w:rsid w:val="00912290"/>
    <w:rsid w:val="009179C7"/>
    <w:rsid w:val="009213DC"/>
    <w:rsid w:val="00922713"/>
    <w:rsid w:val="0092514C"/>
    <w:rsid w:val="00925743"/>
    <w:rsid w:val="00926249"/>
    <w:rsid w:val="00927B12"/>
    <w:rsid w:val="00927DD5"/>
    <w:rsid w:val="00933314"/>
    <w:rsid w:val="00936376"/>
    <w:rsid w:val="00936625"/>
    <w:rsid w:val="00936727"/>
    <w:rsid w:val="0094190F"/>
    <w:rsid w:val="00941D9D"/>
    <w:rsid w:val="00941E8C"/>
    <w:rsid w:val="00942036"/>
    <w:rsid w:val="009435D7"/>
    <w:rsid w:val="00945CAD"/>
    <w:rsid w:val="00946101"/>
    <w:rsid w:val="009471A6"/>
    <w:rsid w:val="00950339"/>
    <w:rsid w:val="0095072D"/>
    <w:rsid w:val="009516B9"/>
    <w:rsid w:val="00951E05"/>
    <w:rsid w:val="00953FE9"/>
    <w:rsid w:val="00967314"/>
    <w:rsid w:val="00967401"/>
    <w:rsid w:val="00967C83"/>
    <w:rsid w:val="009735A6"/>
    <w:rsid w:val="00975B60"/>
    <w:rsid w:val="009773DF"/>
    <w:rsid w:val="00977777"/>
    <w:rsid w:val="00977B4E"/>
    <w:rsid w:val="00981747"/>
    <w:rsid w:val="00983412"/>
    <w:rsid w:val="00985E9D"/>
    <w:rsid w:val="0099036A"/>
    <w:rsid w:val="00990981"/>
    <w:rsid w:val="00991648"/>
    <w:rsid w:val="00992245"/>
    <w:rsid w:val="009A2431"/>
    <w:rsid w:val="009A3D9F"/>
    <w:rsid w:val="009A6D15"/>
    <w:rsid w:val="009A707D"/>
    <w:rsid w:val="009A79B7"/>
    <w:rsid w:val="009B0EFA"/>
    <w:rsid w:val="009B1069"/>
    <w:rsid w:val="009B1625"/>
    <w:rsid w:val="009B35A4"/>
    <w:rsid w:val="009B414D"/>
    <w:rsid w:val="009B6E50"/>
    <w:rsid w:val="009C19F3"/>
    <w:rsid w:val="009C1C67"/>
    <w:rsid w:val="009C5B82"/>
    <w:rsid w:val="009C787A"/>
    <w:rsid w:val="009D1570"/>
    <w:rsid w:val="009D3D00"/>
    <w:rsid w:val="009D433B"/>
    <w:rsid w:val="009E0A2C"/>
    <w:rsid w:val="009E1A47"/>
    <w:rsid w:val="009E4DFE"/>
    <w:rsid w:val="009F1B63"/>
    <w:rsid w:val="009F2AD7"/>
    <w:rsid w:val="009F42EE"/>
    <w:rsid w:val="009F6A61"/>
    <w:rsid w:val="009F7DA6"/>
    <w:rsid w:val="00A01A63"/>
    <w:rsid w:val="00A02121"/>
    <w:rsid w:val="00A03706"/>
    <w:rsid w:val="00A03D5B"/>
    <w:rsid w:val="00A05EE7"/>
    <w:rsid w:val="00A10A72"/>
    <w:rsid w:val="00A1115B"/>
    <w:rsid w:val="00A1204A"/>
    <w:rsid w:val="00A152FF"/>
    <w:rsid w:val="00A16314"/>
    <w:rsid w:val="00A216CB"/>
    <w:rsid w:val="00A220C3"/>
    <w:rsid w:val="00A22A2E"/>
    <w:rsid w:val="00A22BFF"/>
    <w:rsid w:val="00A232D8"/>
    <w:rsid w:val="00A2404E"/>
    <w:rsid w:val="00A26387"/>
    <w:rsid w:val="00A26689"/>
    <w:rsid w:val="00A31713"/>
    <w:rsid w:val="00A3235F"/>
    <w:rsid w:val="00A3251B"/>
    <w:rsid w:val="00A33E65"/>
    <w:rsid w:val="00A34BCB"/>
    <w:rsid w:val="00A3589C"/>
    <w:rsid w:val="00A3634C"/>
    <w:rsid w:val="00A36DA0"/>
    <w:rsid w:val="00A40684"/>
    <w:rsid w:val="00A411AF"/>
    <w:rsid w:val="00A41A0E"/>
    <w:rsid w:val="00A44164"/>
    <w:rsid w:val="00A44806"/>
    <w:rsid w:val="00A47B8F"/>
    <w:rsid w:val="00A50223"/>
    <w:rsid w:val="00A50A42"/>
    <w:rsid w:val="00A524D8"/>
    <w:rsid w:val="00A52DC2"/>
    <w:rsid w:val="00A543BD"/>
    <w:rsid w:val="00A54BC9"/>
    <w:rsid w:val="00A5671D"/>
    <w:rsid w:val="00A56F8A"/>
    <w:rsid w:val="00A57C25"/>
    <w:rsid w:val="00A66558"/>
    <w:rsid w:val="00A66F48"/>
    <w:rsid w:val="00A71A45"/>
    <w:rsid w:val="00A7556B"/>
    <w:rsid w:val="00A770CF"/>
    <w:rsid w:val="00A8210C"/>
    <w:rsid w:val="00A822DA"/>
    <w:rsid w:val="00A8355C"/>
    <w:rsid w:val="00A84C24"/>
    <w:rsid w:val="00A85B0F"/>
    <w:rsid w:val="00A87534"/>
    <w:rsid w:val="00A87A28"/>
    <w:rsid w:val="00A920DF"/>
    <w:rsid w:val="00A931F6"/>
    <w:rsid w:val="00A94938"/>
    <w:rsid w:val="00A955A8"/>
    <w:rsid w:val="00A956C6"/>
    <w:rsid w:val="00A97BCB"/>
    <w:rsid w:val="00AA1721"/>
    <w:rsid w:val="00AA1DCD"/>
    <w:rsid w:val="00AA373A"/>
    <w:rsid w:val="00AA5413"/>
    <w:rsid w:val="00AA580A"/>
    <w:rsid w:val="00AA732E"/>
    <w:rsid w:val="00AB2140"/>
    <w:rsid w:val="00AB2BBF"/>
    <w:rsid w:val="00AB5BDE"/>
    <w:rsid w:val="00AB645B"/>
    <w:rsid w:val="00AC00D7"/>
    <w:rsid w:val="00AC00DD"/>
    <w:rsid w:val="00AC0732"/>
    <w:rsid w:val="00AC08AE"/>
    <w:rsid w:val="00AC0F0D"/>
    <w:rsid w:val="00AC132D"/>
    <w:rsid w:val="00AC3B0A"/>
    <w:rsid w:val="00AC4733"/>
    <w:rsid w:val="00AC5236"/>
    <w:rsid w:val="00AC548F"/>
    <w:rsid w:val="00AC54B8"/>
    <w:rsid w:val="00AD0753"/>
    <w:rsid w:val="00AD0E8A"/>
    <w:rsid w:val="00AD43D3"/>
    <w:rsid w:val="00AD5279"/>
    <w:rsid w:val="00AD5DCE"/>
    <w:rsid w:val="00AD605C"/>
    <w:rsid w:val="00AD6FB9"/>
    <w:rsid w:val="00AD7588"/>
    <w:rsid w:val="00AE08E3"/>
    <w:rsid w:val="00AE128D"/>
    <w:rsid w:val="00AE1488"/>
    <w:rsid w:val="00AE1950"/>
    <w:rsid w:val="00AE1B03"/>
    <w:rsid w:val="00AE25F4"/>
    <w:rsid w:val="00AE405E"/>
    <w:rsid w:val="00AF1CFB"/>
    <w:rsid w:val="00AF1FEB"/>
    <w:rsid w:val="00AF6012"/>
    <w:rsid w:val="00AF7B07"/>
    <w:rsid w:val="00B01C55"/>
    <w:rsid w:val="00B02B5E"/>
    <w:rsid w:val="00B0344D"/>
    <w:rsid w:val="00B0592E"/>
    <w:rsid w:val="00B07113"/>
    <w:rsid w:val="00B075B3"/>
    <w:rsid w:val="00B10D5F"/>
    <w:rsid w:val="00B125C2"/>
    <w:rsid w:val="00B12B1A"/>
    <w:rsid w:val="00B1688C"/>
    <w:rsid w:val="00B20BDE"/>
    <w:rsid w:val="00B2177E"/>
    <w:rsid w:val="00B2248F"/>
    <w:rsid w:val="00B24AAA"/>
    <w:rsid w:val="00B262BF"/>
    <w:rsid w:val="00B3031F"/>
    <w:rsid w:val="00B30673"/>
    <w:rsid w:val="00B30C4E"/>
    <w:rsid w:val="00B31238"/>
    <w:rsid w:val="00B31809"/>
    <w:rsid w:val="00B326CD"/>
    <w:rsid w:val="00B32834"/>
    <w:rsid w:val="00B35C50"/>
    <w:rsid w:val="00B41B36"/>
    <w:rsid w:val="00B420D2"/>
    <w:rsid w:val="00B42745"/>
    <w:rsid w:val="00B42EDD"/>
    <w:rsid w:val="00B43346"/>
    <w:rsid w:val="00B45D4B"/>
    <w:rsid w:val="00B51218"/>
    <w:rsid w:val="00B52268"/>
    <w:rsid w:val="00B53A27"/>
    <w:rsid w:val="00B557E9"/>
    <w:rsid w:val="00B60C4C"/>
    <w:rsid w:val="00B60CFD"/>
    <w:rsid w:val="00B625B9"/>
    <w:rsid w:val="00B62BF8"/>
    <w:rsid w:val="00B63310"/>
    <w:rsid w:val="00B63BFD"/>
    <w:rsid w:val="00B63DF9"/>
    <w:rsid w:val="00B6597B"/>
    <w:rsid w:val="00B6620F"/>
    <w:rsid w:val="00B66D88"/>
    <w:rsid w:val="00B67F6B"/>
    <w:rsid w:val="00B71633"/>
    <w:rsid w:val="00B7236C"/>
    <w:rsid w:val="00B73B63"/>
    <w:rsid w:val="00B73E52"/>
    <w:rsid w:val="00B81214"/>
    <w:rsid w:val="00B826C1"/>
    <w:rsid w:val="00B8273B"/>
    <w:rsid w:val="00B837C8"/>
    <w:rsid w:val="00B84910"/>
    <w:rsid w:val="00B85465"/>
    <w:rsid w:val="00B85F9F"/>
    <w:rsid w:val="00B90F81"/>
    <w:rsid w:val="00B91B20"/>
    <w:rsid w:val="00B92FD6"/>
    <w:rsid w:val="00B9322D"/>
    <w:rsid w:val="00B95329"/>
    <w:rsid w:val="00B9569C"/>
    <w:rsid w:val="00B96591"/>
    <w:rsid w:val="00B969DE"/>
    <w:rsid w:val="00B97D6F"/>
    <w:rsid w:val="00BA0BB5"/>
    <w:rsid w:val="00BA17B5"/>
    <w:rsid w:val="00BA27DC"/>
    <w:rsid w:val="00BA2DF8"/>
    <w:rsid w:val="00BA30DE"/>
    <w:rsid w:val="00BA3AC8"/>
    <w:rsid w:val="00BA3E0A"/>
    <w:rsid w:val="00BA4043"/>
    <w:rsid w:val="00BA5D6D"/>
    <w:rsid w:val="00BA6545"/>
    <w:rsid w:val="00BB0C65"/>
    <w:rsid w:val="00BB5446"/>
    <w:rsid w:val="00BB5B0C"/>
    <w:rsid w:val="00BB6BA7"/>
    <w:rsid w:val="00BC3A1E"/>
    <w:rsid w:val="00BC4949"/>
    <w:rsid w:val="00BC5690"/>
    <w:rsid w:val="00BC68FA"/>
    <w:rsid w:val="00BC77C9"/>
    <w:rsid w:val="00BC77D9"/>
    <w:rsid w:val="00BC7BB8"/>
    <w:rsid w:val="00BD138D"/>
    <w:rsid w:val="00BD273D"/>
    <w:rsid w:val="00BD28CC"/>
    <w:rsid w:val="00BD3161"/>
    <w:rsid w:val="00BD6F69"/>
    <w:rsid w:val="00BE1424"/>
    <w:rsid w:val="00BE266D"/>
    <w:rsid w:val="00BE6073"/>
    <w:rsid w:val="00BE657A"/>
    <w:rsid w:val="00BF36E1"/>
    <w:rsid w:val="00BF57C4"/>
    <w:rsid w:val="00BF5CAF"/>
    <w:rsid w:val="00BF656E"/>
    <w:rsid w:val="00C03FB7"/>
    <w:rsid w:val="00C04796"/>
    <w:rsid w:val="00C057E6"/>
    <w:rsid w:val="00C057F1"/>
    <w:rsid w:val="00C16987"/>
    <w:rsid w:val="00C16CAA"/>
    <w:rsid w:val="00C16EDA"/>
    <w:rsid w:val="00C22034"/>
    <w:rsid w:val="00C26D02"/>
    <w:rsid w:val="00C2777A"/>
    <w:rsid w:val="00C319D0"/>
    <w:rsid w:val="00C31F46"/>
    <w:rsid w:val="00C334F9"/>
    <w:rsid w:val="00C34053"/>
    <w:rsid w:val="00C3430E"/>
    <w:rsid w:val="00C34358"/>
    <w:rsid w:val="00C34E4D"/>
    <w:rsid w:val="00C354CE"/>
    <w:rsid w:val="00C40113"/>
    <w:rsid w:val="00C4072E"/>
    <w:rsid w:val="00C44513"/>
    <w:rsid w:val="00C44699"/>
    <w:rsid w:val="00C46773"/>
    <w:rsid w:val="00C467D2"/>
    <w:rsid w:val="00C5075D"/>
    <w:rsid w:val="00C51E91"/>
    <w:rsid w:val="00C521E6"/>
    <w:rsid w:val="00C56E47"/>
    <w:rsid w:val="00C57F87"/>
    <w:rsid w:val="00C6089B"/>
    <w:rsid w:val="00C61940"/>
    <w:rsid w:val="00C6457F"/>
    <w:rsid w:val="00C65F24"/>
    <w:rsid w:val="00C671DF"/>
    <w:rsid w:val="00C6751D"/>
    <w:rsid w:val="00C7285A"/>
    <w:rsid w:val="00C73465"/>
    <w:rsid w:val="00C759AB"/>
    <w:rsid w:val="00C7624B"/>
    <w:rsid w:val="00C76DF2"/>
    <w:rsid w:val="00C7788C"/>
    <w:rsid w:val="00C816F5"/>
    <w:rsid w:val="00C8258D"/>
    <w:rsid w:val="00C8457F"/>
    <w:rsid w:val="00C865CE"/>
    <w:rsid w:val="00C87D41"/>
    <w:rsid w:val="00C87E64"/>
    <w:rsid w:val="00C91B1B"/>
    <w:rsid w:val="00C9256C"/>
    <w:rsid w:val="00C926BF"/>
    <w:rsid w:val="00C93EB9"/>
    <w:rsid w:val="00C94270"/>
    <w:rsid w:val="00C94BE9"/>
    <w:rsid w:val="00C954D7"/>
    <w:rsid w:val="00C971CB"/>
    <w:rsid w:val="00CA101C"/>
    <w:rsid w:val="00CA5E1E"/>
    <w:rsid w:val="00CA61B9"/>
    <w:rsid w:val="00CA6973"/>
    <w:rsid w:val="00CB66D6"/>
    <w:rsid w:val="00CB6838"/>
    <w:rsid w:val="00CB6DB2"/>
    <w:rsid w:val="00CC0D3F"/>
    <w:rsid w:val="00CC12B2"/>
    <w:rsid w:val="00CC3C71"/>
    <w:rsid w:val="00CC50C2"/>
    <w:rsid w:val="00CC7A55"/>
    <w:rsid w:val="00CC7D3F"/>
    <w:rsid w:val="00CD1B9E"/>
    <w:rsid w:val="00CD2FD2"/>
    <w:rsid w:val="00CD3E50"/>
    <w:rsid w:val="00CD5582"/>
    <w:rsid w:val="00CE111A"/>
    <w:rsid w:val="00CE4367"/>
    <w:rsid w:val="00CE49CB"/>
    <w:rsid w:val="00CE5871"/>
    <w:rsid w:val="00CE6592"/>
    <w:rsid w:val="00CF1BAD"/>
    <w:rsid w:val="00CF459F"/>
    <w:rsid w:val="00D017C8"/>
    <w:rsid w:val="00D02A71"/>
    <w:rsid w:val="00D0503D"/>
    <w:rsid w:val="00D05D75"/>
    <w:rsid w:val="00D0728C"/>
    <w:rsid w:val="00D07899"/>
    <w:rsid w:val="00D13784"/>
    <w:rsid w:val="00D16388"/>
    <w:rsid w:val="00D16D22"/>
    <w:rsid w:val="00D17AFD"/>
    <w:rsid w:val="00D22A9E"/>
    <w:rsid w:val="00D23EC7"/>
    <w:rsid w:val="00D24FFA"/>
    <w:rsid w:val="00D25AAA"/>
    <w:rsid w:val="00D27253"/>
    <w:rsid w:val="00D27B17"/>
    <w:rsid w:val="00D30048"/>
    <w:rsid w:val="00D30B36"/>
    <w:rsid w:val="00D32169"/>
    <w:rsid w:val="00D325C0"/>
    <w:rsid w:val="00D333CC"/>
    <w:rsid w:val="00D34A40"/>
    <w:rsid w:val="00D36BD5"/>
    <w:rsid w:val="00D37E81"/>
    <w:rsid w:val="00D40B67"/>
    <w:rsid w:val="00D42869"/>
    <w:rsid w:val="00D42F81"/>
    <w:rsid w:val="00D438D0"/>
    <w:rsid w:val="00D55253"/>
    <w:rsid w:val="00D554AB"/>
    <w:rsid w:val="00D56841"/>
    <w:rsid w:val="00D56A40"/>
    <w:rsid w:val="00D56A5F"/>
    <w:rsid w:val="00D611B6"/>
    <w:rsid w:val="00D6277B"/>
    <w:rsid w:val="00D63127"/>
    <w:rsid w:val="00D63DB4"/>
    <w:rsid w:val="00D661DB"/>
    <w:rsid w:val="00D71F45"/>
    <w:rsid w:val="00D74831"/>
    <w:rsid w:val="00D76B2B"/>
    <w:rsid w:val="00D80904"/>
    <w:rsid w:val="00D828F6"/>
    <w:rsid w:val="00D84693"/>
    <w:rsid w:val="00D854E4"/>
    <w:rsid w:val="00D85EC0"/>
    <w:rsid w:val="00D87152"/>
    <w:rsid w:val="00D90FBC"/>
    <w:rsid w:val="00D91B97"/>
    <w:rsid w:val="00D97723"/>
    <w:rsid w:val="00DA7D9A"/>
    <w:rsid w:val="00DB0A3F"/>
    <w:rsid w:val="00DB27EE"/>
    <w:rsid w:val="00DB28FB"/>
    <w:rsid w:val="00DB6A3E"/>
    <w:rsid w:val="00DC0EC3"/>
    <w:rsid w:val="00DC0F65"/>
    <w:rsid w:val="00DC1048"/>
    <w:rsid w:val="00DC237F"/>
    <w:rsid w:val="00DC2CA0"/>
    <w:rsid w:val="00DC2D08"/>
    <w:rsid w:val="00DC3F93"/>
    <w:rsid w:val="00DC45CF"/>
    <w:rsid w:val="00DC4E72"/>
    <w:rsid w:val="00DC50F4"/>
    <w:rsid w:val="00DC656A"/>
    <w:rsid w:val="00DC7131"/>
    <w:rsid w:val="00DD11B5"/>
    <w:rsid w:val="00DD3C7B"/>
    <w:rsid w:val="00DD6356"/>
    <w:rsid w:val="00DE01DB"/>
    <w:rsid w:val="00DE581F"/>
    <w:rsid w:val="00DE66A3"/>
    <w:rsid w:val="00DE6E79"/>
    <w:rsid w:val="00DE7EBD"/>
    <w:rsid w:val="00DF039A"/>
    <w:rsid w:val="00DF06E0"/>
    <w:rsid w:val="00DF0D55"/>
    <w:rsid w:val="00DF18BA"/>
    <w:rsid w:val="00DF2301"/>
    <w:rsid w:val="00DF490F"/>
    <w:rsid w:val="00E0314A"/>
    <w:rsid w:val="00E07B73"/>
    <w:rsid w:val="00E10ABD"/>
    <w:rsid w:val="00E117BE"/>
    <w:rsid w:val="00E13A77"/>
    <w:rsid w:val="00E15966"/>
    <w:rsid w:val="00E15CBE"/>
    <w:rsid w:val="00E20FDD"/>
    <w:rsid w:val="00E22645"/>
    <w:rsid w:val="00E23AA0"/>
    <w:rsid w:val="00E25DE9"/>
    <w:rsid w:val="00E26B5D"/>
    <w:rsid w:val="00E30159"/>
    <w:rsid w:val="00E31982"/>
    <w:rsid w:val="00E33F76"/>
    <w:rsid w:val="00E3428A"/>
    <w:rsid w:val="00E37A09"/>
    <w:rsid w:val="00E4318A"/>
    <w:rsid w:val="00E438F0"/>
    <w:rsid w:val="00E44BA8"/>
    <w:rsid w:val="00E44F2E"/>
    <w:rsid w:val="00E457B5"/>
    <w:rsid w:val="00E50580"/>
    <w:rsid w:val="00E5193F"/>
    <w:rsid w:val="00E52078"/>
    <w:rsid w:val="00E52940"/>
    <w:rsid w:val="00E52D2C"/>
    <w:rsid w:val="00E542DA"/>
    <w:rsid w:val="00E5507C"/>
    <w:rsid w:val="00E56712"/>
    <w:rsid w:val="00E579A9"/>
    <w:rsid w:val="00E57F04"/>
    <w:rsid w:val="00E605A7"/>
    <w:rsid w:val="00E613CC"/>
    <w:rsid w:val="00E624F9"/>
    <w:rsid w:val="00E705F0"/>
    <w:rsid w:val="00E71885"/>
    <w:rsid w:val="00E72DC6"/>
    <w:rsid w:val="00E73D09"/>
    <w:rsid w:val="00E75E31"/>
    <w:rsid w:val="00E774AF"/>
    <w:rsid w:val="00E77787"/>
    <w:rsid w:val="00E77D87"/>
    <w:rsid w:val="00E812C0"/>
    <w:rsid w:val="00E8444A"/>
    <w:rsid w:val="00E86DB5"/>
    <w:rsid w:val="00E9023A"/>
    <w:rsid w:val="00E916E4"/>
    <w:rsid w:val="00E926A5"/>
    <w:rsid w:val="00E93037"/>
    <w:rsid w:val="00E9470E"/>
    <w:rsid w:val="00E962B4"/>
    <w:rsid w:val="00EA389E"/>
    <w:rsid w:val="00EA3A24"/>
    <w:rsid w:val="00EA4385"/>
    <w:rsid w:val="00EA62C4"/>
    <w:rsid w:val="00EA6740"/>
    <w:rsid w:val="00EB00FF"/>
    <w:rsid w:val="00EB0312"/>
    <w:rsid w:val="00EB05EC"/>
    <w:rsid w:val="00EB2878"/>
    <w:rsid w:val="00EB51FE"/>
    <w:rsid w:val="00EB5A15"/>
    <w:rsid w:val="00EB61A8"/>
    <w:rsid w:val="00EB76C8"/>
    <w:rsid w:val="00EB7708"/>
    <w:rsid w:val="00EC11CA"/>
    <w:rsid w:val="00EC289D"/>
    <w:rsid w:val="00EC41E0"/>
    <w:rsid w:val="00EC5520"/>
    <w:rsid w:val="00EC56F0"/>
    <w:rsid w:val="00ED1888"/>
    <w:rsid w:val="00ED19E6"/>
    <w:rsid w:val="00ED1CD1"/>
    <w:rsid w:val="00ED41AF"/>
    <w:rsid w:val="00ED4592"/>
    <w:rsid w:val="00ED74FD"/>
    <w:rsid w:val="00ED7A8A"/>
    <w:rsid w:val="00EE4C55"/>
    <w:rsid w:val="00EF1C85"/>
    <w:rsid w:val="00EF3011"/>
    <w:rsid w:val="00EF3C4E"/>
    <w:rsid w:val="00EF3F81"/>
    <w:rsid w:val="00EF49E7"/>
    <w:rsid w:val="00EF5BF2"/>
    <w:rsid w:val="00EF5E91"/>
    <w:rsid w:val="00EF75F0"/>
    <w:rsid w:val="00F0020D"/>
    <w:rsid w:val="00F037BD"/>
    <w:rsid w:val="00F03F1E"/>
    <w:rsid w:val="00F06094"/>
    <w:rsid w:val="00F06297"/>
    <w:rsid w:val="00F07D40"/>
    <w:rsid w:val="00F1363D"/>
    <w:rsid w:val="00F153E2"/>
    <w:rsid w:val="00F20FCF"/>
    <w:rsid w:val="00F237A4"/>
    <w:rsid w:val="00F24C2E"/>
    <w:rsid w:val="00F27A37"/>
    <w:rsid w:val="00F30847"/>
    <w:rsid w:val="00F30E5D"/>
    <w:rsid w:val="00F36148"/>
    <w:rsid w:val="00F3675D"/>
    <w:rsid w:val="00F41B17"/>
    <w:rsid w:val="00F41B27"/>
    <w:rsid w:val="00F41E71"/>
    <w:rsid w:val="00F443A4"/>
    <w:rsid w:val="00F44819"/>
    <w:rsid w:val="00F45324"/>
    <w:rsid w:val="00F45DE1"/>
    <w:rsid w:val="00F46CBE"/>
    <w:rsid w:val="00F472D4"/>
    <w:rsid w:val="00F51E7E"/>
    <w:rsid w:val="00F52C63"/>
    <w:rsid w:val="00F545E4"/>
    <w:rsid w:val="00F62151"/>
    <w:rsid w:val="00F7341A"/>
    <w:rsid w:val="00F80200"/>
    <w:rsid w:val="00F81575"/>
    <w:rsid w:val="00F81B18"/>
    <w:rsid w:val="00F872E6"/>
    <w:rsid w:val="00F903F5"/>
    <w:rsid w:val="00F9247A"/>
    <w:rsid w:val="00F93C3A"/>
    <w:rsid w:val="00F9469C"/>
    <w:rsid w:val="00F95ED5"/>
    <w:rsid w:val="00FA191F"/>
    <w:rsid w:val="00FA4AC7"/>
    <w:rsid w:val="00FA4D77"/>
    <w:rsid w:val="00FA5181"/>
    <w:rsid w:val="00FA6F6F"/>
    <w:rsid w:val="00FB579E"/>
    <w:rsid w:val="00FB607C"/>
    <w:rsid w:val="00FC00C1"/>
    <w:rsid w:val="00FC1394"/>
    <w:rsid w:val="00FC159E"/>
    <w:rsid w:val="00FC1BF1"/>
    <w:rsid w:val="00FC2AC2"/>
    <w:rsid w:val="00FC589E"/>
    <w:rsid w:val="00FC5C38"/>
    <w:rsid w:val="00FC64CD"/>
    <w:rsid w:val="00FC66E3"/>
    <w:rsid w:val="00FD0366"/>
    <w:rsid w:val="00FD118A"/>
    <w:rsid w:val="00FD21FE"/>
    <w:rsid w:val="00FD3356"/>
    <w:rsid w:val="00FD48B1"/>
    <w:rsid w:val="00FE1D7F"/>
    <w:rsid w:val="00FE2329"/>
    <w:rsid w:val="00FE3003"/>
    <w:rsid w:val="00FE4E25"/>
    <w:rsid w:val="00FF090C"/>
    <w:rsid w:val="00FF105A"/>
    <w:rsid w:val="00FF1069"/>
    <w:rsid w:val="00FF4889"/>
    <w:rsid w:val="00FF4F0E"/>
    <w:rsid w:val="00FF6844"/>
    <w:rsid w:val="00FF7A40"/>
    <w:rsid w:val="15FFDC91"/>
    <w:rsid w:val="1BDF0193"/>
    <w:rsid w:val="337DD255"/>
    <w:rsid w:val="535A01EC"/>
    <w:rsid w:val="55FBF6A8"/>
    <w:rsid w:val="5BFB4C6C"/>
    <w:rsid w:val="5FAA3831"/>
    <w:rsid w:val="5FC3F9F6"/>
    <w:rsid w:val="6DF3FE33"/>
    <w:rsid w:val="6E971A1C"/>
    <w:rsid w:val="73774D44"/>
    <w:rsid w:val="75FC92A2"/>
    <w:rsid w:val="78031D0F"/>
    <w:rsid w:val="7AEA3AB2"/>
    <w:rsid w:val="7F8D3A1C"/>
    <w:rsid w:val="7FBE72F3"/>
    <w:rsid w:val="7FFF7F61"/>
    <w:rsid w:val="87FB2FD8"/>
    <w:rsid w:val="99DFC79C"/>
    <w:rsid w:val="9AFE310C"/>
    <w:rsid w:val="A9FF823E"/>
    <w:rsid w:val="BB4B6CD9"/>
    <w:rsid w:val="CFFB8E1E"/>
    <w:rsid w:val="E7E35EC8"/>
    <w:rsid w:val="E9CCEB6D"/>
    <w:rsid w:val="EDDF3C99"/>
    <w:rsid w:val="F49938DE"/>
    <w:rsid w:val="F55EFC03"/>
    <w:rsid w:val="F6EB4DF8"/>
    <w:rsid w:val="FBF7951B"/>
    <w:rsid w:val="FEAE8C07"/>
    <w:rsid w:val="FF679D10"/>
    <w:rsid w:val="FF7DB66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iPriority="0" w:semiHidden="0"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line="360" w:lineRule="auto"/>
      <w:ind w:firstLine="883" w:firstLineChars="200"/>
    </w:pPr>
    <w:rPr>
      <w:rFonts w:ascii="Times New Roman" w:hAnsi="Times New Roman" w:eastAsia="仿宋"/>
      <w:sz w:val="32"/>
      <w:szCs w:val="24"/>
    </w:rPr>
  </w:style>
  <w:style w:type="paragraph" w:styleId="3">
    <w:name w:val="Date"/>
    <w:basedOn w:val="1"/>
    <w:next w:val="1"/>
    <w:link w:val="13"/>
    <w:qFormat/>
    <w:uiPriority w:val="0"/>
    <w:rPr>
      <w:rFonts w:ascii="仿宋_GB2312" w:eastAsia="仿宋_GB2312"/>
      <w:sz w:val="32"/>
    </w:r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Body Text 2"/>
    <w:basedOn w:val="1"/>
    <w:unhideWhenUsed/>
    <w:qFormat/>
    <w:uiPriority w:val="0"/>
    <w:pPr>
      <w:spacing w:after="120" w:line="480" w:lineRule="auto"/>
    </w:pPr>
  </w:style>
  <w:style w:type="table" w:styleId="8">
    <w:name w:val="Table Grid"/>
    <w:basedOn w:val="7"/>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character" w:styleId="11">
    <w:name w:val="Hyperlink"/>
    <w:basedOn w:val="9"/>
    <w:qFormat/>
    <w:uiPriority w:val="0"/>
    <w:rPr>
      <w:color w:val="0000FF"/>
      <w:u w:val="single"/>
    </w:rPr>
  </w:style>
  <w:style w:type="character" w:customStyle="1" w:styleId="12">
    <w:name w:val="页脚 Char"/>
    <w:basedOn w:val="9"/>
    <w:link w:val="4"/>
    <w:qFormat/>
    <w:uiPriority w:val="0"/>
    <w:rPr>
      <w:rFonts w:ascii="Times New Roman" w:hAnsi="Times New Roman" w:eastAsia="宋体" w:cs="Times New Roman"/>
      <w:sz w:val="18"/>
      <w:szCs w:val="18"/>
    </w:rPr>
  </w:style>
  <w:style w:type="character" w:customStyle="1" w:styleId="13">
    <w:name w:val="日期 Char"/>
    <w:basedOn w:val="9"/>
    <w:link w:val="3"/>
    <w:qFormat/>
    <w:uiPriority w:val="0"/>
    <w:rPr>
      <w:rFonts w:ascii="仿宋_GB2312" w:hAnsi="Times New Roman" w:eastAsia="仿宋_GB2312" w:cs="Times New Roman"/>
      <w:sz w:val="32"/>
      <w:szCs w:val="24"/>
    </w:rPr>
  </w:style>
  <w:style w:type="character" w:customStyle="1" w:styleId="14">
    <w:name w:val="页眉 Char"/>
    <w:basedOn w:val="9"/>
    <w:link w:val="5"/>
    <w:qFormat/>
    <w:uiPriority w:val="99"/>
    <w:rPr>
      <w:rFonts w:ascii="Times New Roman" w:hAnsi="Times New Roman" w:eastAsia="宋体" w:cs="Times New Roman"/>
      <w:sz w:val="18"/>
      <w:szCs w:val="18"/>
    </w:rPr>
  </w:style>
  <w:style w:type="paragraph" w:styleId="1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3074"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2</Pages>
  <Words>43</Words>
  <Characters>246</Characters>
  <Lines>2</Lines>
  <Paragraphs>1</Paragraphs>
  <TotalTime>0</TotalTime>
  <ScaleCrop>false</ScaleCrop>
  <LinksUpToDate>false</LinksUpToDate>
  <CharactersWithSpaces>288</CharactersWithSpaces>
  <Application>WPS Office_11.8.2.11810_F1E327BC-269C-435d-A152-05C5408002CA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2019-09-17T06:10:00Z</dcterms:created>
  <dc:creator>CN=李小鹏/OU=办公室/O=CZCE</dc:creator>
  <cp:lastModifiedBy>马世垚</cp:lastModifiedBy>
  <dcterms:modified xsi:type="dcterms:W3CDTF">2026-10-30T15:16:13Z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2052-11.8.2.11810</vt:lpwstr>
  </property>
  <property fmtid="{D5CDD505-2E9C-101B-9397-08002B2CF9AE}" pid="3" name="ICV">
    <vt:lpwstr>CA388F403DE4AFB49AD2D96A1B734D4B</vt:lpwstr>
  </property>
</Properties>
</file>