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2"/>
          <w:szCs w:val="32"/>
        </w:rPr>
      </w:pPr>
      <w:r>
        <w:rPr>
          <w:rFonts w:hint="default" w:ascii="Times New Roman" w:hAnsi="Times New Roman" w:eastAsia="黑体" w:cs="Times New Roman"/>
          <w:sz w:val="32"/>
          <w:szCs w:val="32"/>
        </w:rPr>
        <w:t>附件2</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郑州商品交易所违规处理办法修订案</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（征求意见稿）</w:t>
      </w:r>
    </w:p>
    <w:p>
      <w:pPr>
        <w:bidi w:val="0"/>
        <w:ind w:firstLine="640" w:firstLineChars="200"/>
        <w:rPr>
          <w:rFonts w:hint="eastAsia" w:eastAsia="仿宋"/>
          <w:sz w:val="32"/>
          <w:szCs w:val="32"/>
          <w:lang w:val="en-US" w:eastAsia="zh-CN"/>
        </w:rPr>
      </w:pPr>
      <w:r>
        <w:rPr>
          <w:rFonts w:hint="eastAsia" w:eastAsia="仿宋"/>
          <w:sz w:val="32"/>
          <w:szCs w:val="32"/>
          <w:lang w:val="en-US" w:eastAsia="zh-CN"/>
        </w:rPr>
        <w:t>拟对《郑州商品交易所违规处理办法》作如下修订：</w:t>
      </w:r>
    </w:p>
    <w:p>
      <w:pPr>
        <w:bidi w:val="0"/>
        <w:ind w:firstLine="640" w:firstLineChars="200"/>
        <w:rPr>
          <w:rFonts w:hint="eastAsia" w:eastAsia="仿宋"/>
          <w:sz w:val="32"/>
          <w:szCs w:val="32"/>
          <w:lang w:val="en-US" w:eastAsia="zh-CN"/>
        </w:rPr>
      </w:pPr>
      <w:r>
        <w:rPr>
          <w:rFonts w:hint="eastAsia" w:eastAsia="仿宋"/>
          <w:sz w:val="32"/>
          <w:szCs w:val="32"/>
          <w:lang w:val="en-US" w:eastAsia="zh-CN"/>
        </w:rPr>
        <w:t>一、在原第二十八条后新增一条作为第二十九条：</w:t>
      </w:r>
    </w:p>
    <w:p>
      <w:pPr>
        <w:ind w:firstLine="640" w:firstLineChars="200"/>
        <w:jc w:val="both"/>
        <w:rPr>
          <w:rFonts w:hint="eastAsia" w:eastAsia="仿宋" w:cs="仿宋"/>
          <w:sz w:val="32"/>
          <w:szCs w:val="32"/>
          <w:highlight w:val="none"/>
          <w:lang w:val="en-US" w:eastAsia="zh-CN"/>
        </w:rPr>
      </w:pPr>
      <w:r>
        <w:rPr>
          <w:rFonts w:hint="eastAsia" w:eastAsia="仿宋" w:cs="仿宋"/>
          <w:sz w:val="32"/>
          <w:szCs w:val="32"/>
          <w:highlight w:val="none"/>
          <w:lang w:val="en-US" w:eastAsia="zh-CN"/>
        </w:rPr>
        <w:t>“期货市场参与者具有下列违反交易所程序化交易管理规定行为之一的，责令改正，交易所可以根据情节轻重给予警告、通报批评、公开谴责、强行平仓、暂停开仓交</w:t>
      </w:r>
      <w:r>
        <w:rPr>
          <w:rFonts w:hint="eastAsia" w:ascii="仿宋" w:hAnsi="仿宋" w:eastAsia="仿宋" w:cs="仿宋"/>
          <w:sz w:val="32"/>
          <w:szCs w:val="32"/>
          <w:highlight w:val="none"/>
          <w:lang w:val="en-US" w:eastAsia="zh-CN"/>
        </w:rPr>
        <w:t>易12个月以下、</w:t>
      </w:r>
      <w:r>
        <w:rPr>
          <w:rFonts w:hint="eastAsia" w:eastAsia="仿宋" w:cs="仿宋"/>
          <w:sz w:val="32"/>
          <w:szCs w:val="32"/>
          <w:highlight w:val="none"/>
          <w:lang w:val="en-US" w:eastAsia="zh-CN"/>
        </w:rPr>
        <w:t>暂停部分期货或者期权业务、</w:t>
      </w:r>
      <w:r>
        <w:rPr>
          <w:rFonts w:hint="eastAsia" w:ascii="仿宋" w:hAnsi="仿宋" w:eastAsia="仿宋" w:cs="仿宋"/>
          <w:sz w:val="32"/>
          <w:szCs w:val="32"/>
          <w:highlight w:val="none"/>
          <w:lang w:val="en-US" w:eastAsia="zh-CN"/>
        </w:rPr>
        <w:t>取消相应资格、宣布为“市场禁止进入者”的纪律处分，可以并处50万元以</w:t>
      </w:r>
      <w:r>
        <w:rPr>
          <w:rFonts w:hint="eastAsia" w:eastAsia="仿宋" w:cs="仿宋"/>
          <w:sz w:val="32"/>
          <w:szCs w:val="32"/>
          <w:highlight w:val="none"/>
          <w:lang w:val="en-US" w:eastAsia="zh-CN"/>
        </w:rPr>
        <w:t>下的罚款：</w:t>
      </w:r>
    </w:p>
    <w:p>
      <w:pPr>
        <w:ind w:firstLine="640" w:firstLineChars="200"/>
        <w:jc w:val="both"/>
        <w:rPr>
          <w:rFonts w:hint="eastAsia" w:eastAsia="仿宋" w:cs="仿宋"/>
          <w:sz w:val="32"/>
          <w:szCs w:val="32"/>
          <w:highlight w:val="none"/>
          <w:lang w:val="en-US" w:eastAsia="zh-CN"/>
        </w:rPr>
      </w:pPr>
      <w:r>
        <w:rPr>
          <w:rFonts w:hint="eastAsia" w:eastAsia="仿宋" w:cs="仿宋"/>
          <w:sz w:val="32"/>
          <w:szCs w:val="32"/>
          <w:highlight w:val="none"/>
          <w:lang w:val="en-US" w:eastAsia="zh-CN"/>
        </w:rPr>
        <w:t>“（一）未按规定报告或者核查客户程序化交易报告信息的；</w:t>
      </w:r>
    </w:p>
    <w:p>
      <w:pPr>
        <w:ind w:firstLine="640" w:firstLineChars="200"/>
        <w:jc w:val="both"/>
        <w:rPr>
          <w:rFonts w:hint="eastAsia" w:eastAsia="仿宋" w:cs="仿宋"/>
          <w:sz w:val="32"/>
          <w:szCs w:val="32"/>
          <w:highlight w:val="none"/>
          <w:lang w:val="en-US" w:eastAsia="zh-CN"/>
        </w:rPr>
      </w:pPr>
      <w:r>
        <w:rPr>
          <w:rFonts w:hint="eastAsia" w:eastAsia="仿宋" w:cs="仿宋"/>
          <w:sz w:val="32"/>
          <w:szCs w:val="32"/>
          <w:highlight w:val="none"/>
          <w:lang w:val="en-US" w:eastAsia="zh-CN"/>
        </w:rPr>
        <w:t>“（二）非期货公司会员、境外特殊非经纪参与者违反规定开展高频交易的；</w:t>
      </w:r>
    </w:p>
    <w:p>
      <w:pPr>
        <w:ind w:firstLine="640" w:firstLineChars="200"/>
        <w:jc w:val="both"/>
        <w:rPr>
          <w:rFonts w:hint="eastAsia" w:eastAsia="仿宋" w:cs="仿宋"/>
          <w:sz w:val="32"/>
          <w:szCs w:val="32"/>
          <w:highlight w:val="none"/>
          <w:lang w:val="en-US" w:eastAsia="zh-CN"/>
        </w:rPr>
      </w:pPr>
      <w:r>
        <w:rPr>
          <w:rFonts w:hint="eastAsia" w:eastAsia="仿宋" w:cs="仿宋"/>
          <w:sz w:val="32"/>
          <w:szCs w:val="32"/>
          <w:highlight w:val="none"/>
          <w:lang w:val="en-US" w:eastAsia="zh-CN"/>
        </w:rPr>
        <w:t>“（三）违反主机托管资源、交易席位管理要求的；</w:t>
      </w:r>
    </w:p>
    <w:p>
      <w:pPr>
        <w:ind w:firstLine="640" w:firstLineChars="200"/>
        <w:jc w:val="both"/>
        <w:rPr>
          <w:rFonts w:hint="eastAsia" w:eastAsia="仿宋" w:cs="仿宋"/>
          <w:sz w:val="32"/>
          <w:szCs w:val="32"/>
          <w:highlight w:val="none"/>
          <w:lang w:val="en-US" w:eastAsia="zh-CN"/>
        </w:rPr>
      </w:pPr>
      <w:r>
        <w:rPr>
          <w:rFonts w:hint="eastAsia" w:eastAsia="仿宋" w:cs="仿宋"/>
          <w:sz w:val="32"/>
          <w:szCs w:val="32"/>
          <w:highlight w:val="none"/>
          <w:lang w:val="en-US" w:eastAsia="zh-CN"/>
        </w:rPr>
        <w:t>“（四）未按规定建立或者有效执行程序化交易内部控制、风险管理、合规管理等制度，导致重大风险的；</w:t>
      </w:r>
    </w:p>
    <w:p>
      <w:pPr>
        <w:ind w:firstLine="640" w:firstLineChars="200"/>
        <w:jc w:val="both"/>
        <w:rPr>
          <w:rFonts w:hint="eastAsia" w:eastAsia="仿宋" w:cs="仿宋"/>
          <w:sz w:val="32"/>
          <w:szCs w:val="32"/>
          <w:highlight w:val="none"/>
          <w:lang w:val="en-US" w:eastAsia="zh-CN"/>
        </w:rPr>
      </w:pPr>
      <w:r>
        <w:rPr>
          <w:rFonts w:hint="eastAsia" w:eastAsia="仿宋" w:cs="仿宋"/>
          <w:sz w:val="32"/>
          <w:szCs w:val="32"/>
          <w:highlight w:val="none"/>
          <w:lang w:val="en-US" w:eastAsia="zh-CN"/>
        </w:rPr>
        <w:t>“（五）出现突发事件，未按规定采取相应措施的；</w:t>
      </w:r>
    </w:p>
    <w:p>
      <w:pPr>
        <w:bidi w:val="0"/>
        <w:ind w:firstLine="640" w:firstLineChars="200"/>
        <w:rPr>
          <w:rFonts w:hint="eastAsia" w:eastAsia="仿宋" w:cs="仿宋"/>
          <w:sz w:val="32"/>
          <w:szCs w:val="32"/>
          <w:highlight w:val="none"/>
          <w:lang w:val="en-US" w:eastAsia="zh-CN"/>
        </w:rPr>
      </w:pPr>
      <w:r>
        <w:rPr>
          <w:rFonts w:hint="eastAsia" w:eastAsia="仿宋" w:cs="仿宋"/>
          <w:sz w:val="32"/>
          <w:szCs w:val="32"/>
          <w:highlight w:val="none"/>
          <w:lang w:val="en-US" w:eastAsia="zh-CN"/>
        </w:rPr>
        <w:t>“（六）违反交易所程序化交易管理规定的其他行为。”</w:t>
      </w:r>
    </w:p>
    <w:p>
      <w:pPr>
        <w:bidi w:val="0"/>
        <w:ind w:firstLine="640" w:firstLineChars="200"/>
        <w:rPr>
          <w:rFonts w:hint="eastAsia" w:eastAsia="仿宋" w:cs="仿宋"/>
          <w:sz w:val="32"/>
          <w:szCs w:val="32"/>
          <w:highlight w:val="none"/>
          <w:lang w:val="en-US" w:eastAsia="zh-CN"/>
        </w:rPr>
      </w:pPr>
      <w:r>
        <w:rPr>
          <w:rFonts w:hint="eastAsia" w:eastAsia="仿宋" w:cs="仿宋"/>
          <w:sz w:val="32"/>
          <w:szCs w:val="32"/>
          <w:highlight w:val="none"/>
          <w:lang w:val="en-US" w:eastAsia="zh-CN"/>
        </w:rPr>
        <w:t>二、原第二十九条及之后条款序号相应调整。</w:t>
      </w:r>
      <w:bookmarkStart w:id="0" w:name="_GoBack"/>
      <w:bookmarkEnd w:id="0"/>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wordWrap w:val="0"/>
                  <w:jc w:val="right"/>
                  <w:rPr>
                    <w:rFonts w:hint="default" w:ascii="Times New Roman" w:hAnsi="Times New Roman" w:cs="Times New Roman"/>
                    <w:sz w:val="28"/>
                    <w:szCs w:val="28"/>
                  </w:rPr>
                </w:pPr>
                <w:r>
                  <w:rPr>
                    <w:rFonts w:hint="default" w:ascii="Times New Roman" w:hAnsi="Times New Roman" w:cs="Times New Roman"/>
                    <w:sz w:val="28"/>
                    <w:szCs w:val="28"/>
                  </w:rPr>
                  <w:t>—</w:t>
                </w:r>
                <w:r>
                  <w:rPr>
                    <w:rStyle w:val="8"/>
                    <w:rFonts w:hint="default" w:ascii="Times New Roman" w:hAnsi="Times New Roman" w:cs="Times New Roman"/>
                    <w:sz w:val="28"/>
                    <w:szCs w:val="28"/>
                  </w:rPr>
                  <w:fldChar w:fldCharType="begin"/>
                </w:r>
                <w:r>
                  <w:rPr>
                    <w:rStyle w:val="8"/>
                    <w:rFonts w:hint="default" w:ascii="Times New Roman" w:hAnsi="Times New Roman" w:cs="Times New Roman"/>
                    <w:sz w:val="28"/>
                    <w:szCs w:val="28"/>
                  </w:rPr>
                  <w:instrText xml:space="preserve"> PAGE </w:instrText>
                </w:r>
                <w:r>
                  <w:rPr>
                    <w:rStyle w:val="8"/>
                    <w:rFonts w:hint="default" w:ascii="Times New Roman" w:hAnsi="Times New Roman" w:cs="Times New Roman"/>
                    <w:sz w:val="28"/>
                    <w:szCs w:val="28"/>
                  </w:rPr>
                  <w:fldChar w:fldCharType="separate"/>
                </w:r>
                <w:r>
                  <w:rPr>
                    <w:rStyle w:val="8"/>
                    <w:rFonts w:hint="default" w:ascii="Times New Roman" w:hAnsi="Times New Roman" w:cs="Times New Roman"/>
                    <w:sz w:val="28"/>
                    <w:szCs w:val="28"/>
                  </w:rPr>
                  <w:t>1</w:t>
                </w:r>
                <w:r>
                  <w:rPr>
                    <w:rStyle w:val="8"/>
                    <w:rFonts w:hint="default" w:ascii="Times New Roman" w:hAnsi="Times New Roman" w:cs="Times New Roman"/>
                    <w:sz w:val="28"/>
                    <w:szCs w:val="28"/>
                  </w:rPr>
                  <w:fldChar w:fldCharType="end"/>
                </w:r>
                <w:r>
                  <w:rPr>
                    <w:rFonts w:hint="default" w:ascii="Times New Roman" w:hAnsi="Times New Roman" w:cs="Times New Roman"/>
                    <w:sz w:val="28"/>
                    <w:szCs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rPr>
    </w:pPr>
    <w:r>
      <w:rPr>
        <w:rFonts w:hint="eastAsia"/>
        <w:sz w:val="28"/>
      </w:rPr>
      <w:t>—</w:t>
    </w:r>
    <w:r>
      <w:rPr>
        <w:rStyle w:val="8"/>
        <w:sz w:val="28"/>
      </w:rPr>
      <w:fldChar w:fldCharType="begin"/>
    </w:r>
    <w:r>
      <w:rPr>
        <w:rStyle w:val="8"/>
        <w:sz w:val="28"/>
      </w:rPr>
      <w:instrText xml:space="preserve"> PAGE </w:instrText>
    </w:r>
    <w:r>
      <w:rPr>
        <w:rStyle w:val="8"/>
        <w:sz w:val="28"/>
      </w:rPr>
      <w:fldChar w:fldCharType="separate"/>
    </w:r>
    <w:r>
      <w:rPr>
        <w:rStyle w:val="8"/>
        <w:sz w:val="28"/>
      </w:rPr>
      <w:t>4</w:t>
    </w:r>
    <w:r>
      <w:rPr>
        <w:rStyle w:val="8"/>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7FB1830"/>
    <w:rsid w:val="1477D1AF"/>
    <w:rsid w:val="1F9E4257"/>
    <w:rsid w:val="36F9E2C9"/>
    <w:rsid w:val="3AD75FD6"/>
    <w:rsid w:val="4E7B4AA4"/>
    <w:rsid w:val="5E7D1C41"/>
    <w:rsid w:val="5FEDEE1A"/>
    <w:rsid w:val="613FA836"/>
    <w:rsid w:val="6FB7E057"/>
    <w:rsid w:val="78031D0F"/>
    <w:rsid w:val="790D207C"/>
    <w:rsid w:val="79FDF5C6"/>
    <w:rsid w:val="7BFF8463"/>
    <w:rsid w:val="7ECD8D10"/>
    <w:rsid w:val="7F1BD92B"/>
    <w:rsid w:val="7F7DD6F6"/>
    <w:rsid w:val="7FFB5387"/>
    <w:rsid w:val="8DE53E26"/>
    <w:rsid w:val="8F1415B9"/>
    <w:rsid w:val="93FFA010"/>
    <w:rsid w:val="B579CC0B"/>
    <w:rsid w:val="BF973286"/>
    <w:rsid w:val="D6F7A208"/>
    <w:rsid w:val="D7CE7015"/>
    <w:rsid w:val="DF6F9399"/>
    <w:rsid w:val="F3CF29F8"/>
    <w:rsid w:val="F3F37B7B"/>
    <w:rsid w:val="F3FBD27F"/>
    <w:rsid w:val="F5C3BBE0"/>
    <w:rsid w:val="F77B1C5F"/>
    <w:rsid w:val="F79F3F9B"/>
    <w:rsid w:val="F8BD978E"/>
    <w:rsid w:val="FAE1C007"/>
    <w:rsid w:val="FB5F9050"/>
    <w:rsid w:val="FC36523C"/>
    <w:rsid w:val="FCD70613"/>
    <w:rsid w:val="FDBF7976"/>
    <w:rsid w:val="FEAF6F20"/>
    <w:rsid w:val="FEDF5B62"/>
    <w:rsid w:val="FFBFC134"/>
    <w:rsid w:val="FFDFAC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0"/>
    <w:rPr>
      <w:rFonts w:ascii="仿宋_GB2312" w:eastAsia="仿宋_GB2312"/>
      <w:sz w:val="32"/>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脚 Char"/>
    <w:basedOn w:val="7"/>
    <w:link w:val="3"/>
    <w:qFormat/>
    <w:uiPriority w:val="0"/>
    <w:rPr>
      <w:rFonts w:ascii="Times New Roman" w:hAnsi="Times New Roman" w:eastAsia="宋体" w:cs="Times New Roman"/>
      <w:sz w:val="18"/>
      <w:szCs w:val="18"/>
    </w:rPr>
  </w:style>
  <w:style w:type="character" w:customStyle="1" w:styleId="10">
    <w:name w:val="日期 Char"/>
    <w:basedOn w:val="7"/>
    <w:link w:val="2"/>
    <w:qFormat/>
    <w:uiPriority w:val="0"/>
    <w:rPr>
      <w:rFonts w:ascii="仿宋_GB2312" w:hAnsi="Times New Roman" w:eastAsia="仿宋_GB2312" w:cs="Times New Roman"/>
      <w:sz w:val="32"/>
      <w:szCs w:val="24"/>
    </w:rPr>
  </w:style>
  <w:style w:type="character" w:customStyle="1" w:styleId="11">
    <w:name w:val="页眉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Pages>
  <Words>1210</Words>
  <Characters>1247</Characters>
  <Lines>2</Lines>
  <Paragraphs>1</Paragraphs>
  <TotalTime>1</TotalTime>
  <ScaleCrop>false</ScaleCrop>
  <LinksUpToDate>false</LinksUpToDate>
  <CharactersWithSpaces>1251</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2019-09-16T22:10:00Z</dcterms:created>
  <dc:creator>CN=李小鹏/OU=办公室/O=CZCE</dc:creator>
  <cp:lastModifiedBy>马世垚</cp:lastModifiedBy>
  <dcterms:modified xsi:type="dcterms:W3CDTF">2026-10-12T15:37:50Z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0B55176049C7163FABD3B96A068DC906</vt:lpwstr>
  </property>
</Properties>
</file>