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lang w:eastAsia="zh-CN"/>
        </w:rPr>
      </w:pPr>
      <w:r>
        <w:rPr>
          <w:rFonts w:ascii="黑体" w:hAnsi="黑体" w:eastAsia="黑体"/>
          <w:sz w:val="32"/>
        </w:rPr>
        <w:t>附件</w:t>
      </w:r>
      <w:r>
        <w:rPr>
          <w:rFonts w:hint="eastAsia" w:ascii="黑体" w:hAnsi="黑体" w:eastAsia="黑体"/>
          <w:sz w:val="32"/>
          <w:lang w:val="en-US" w:eastAsia="zh-CN"/>
        </w:rPr>
        <w:t>3</w:t>
      </w:r>
    </w:p>
    <w:p>
      <w:pPr>
        <w:jc w:val="center"/>
        <w:rPr>
          <w:rFonts w:hint="eastAsia" w:ascii="Times New Roman" w:hAnsi="Times New Roman" w:eastAsia="方正小标宋简体" w:cs="Times New Roman"/>
          <w:bCs/>
          <w:sz w:val="44"/>
          <w:szCs w:val="44"/>
          <w:lang w:eastAsia="zh-CN"/>
        </w:rPr>
      </w:pPr>
      <w:r>
        <w:rPr>
          <w:rFonts w:ascii="Times New Roman" w:hAnsi="Times New Roman" w:eastAsia="方正小标宋简体" w:cs="Times New Roman"/>
          <w:bCs/>
          <w:sz w:val="44"/>
          <w:szCs w:val="44"/>
        </w:rPr>
        <w:t>《郑州商品交易所花生仁期货业务细则》修订条款对照表</w:t>
      </w:r>
      <w:r>
        <w:rPr>
          <w:rFonts w:hint="eastAsia" w:eastAsia="方正小标宋简体" w:cs="Times New Roman"/>
          <w:bCs/>
          <w:sz w:val="44"/>
          <w:szCs w:val="44"/>
          <w:lang w:eastAsia="zh-CN"/>
        </w:rPr>
        <w:t>（征求意见稿）</w:t>
      </w:r>
    </w:p>
    <w:tbl>
      <w:tblPr>
        <w:tblStyle w:val="8"/>
        <w:tblW w:w="8266"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5"/>
        <w:gridCol w:w="4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175" w:type="dxa"/>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现行条文</w:t>
            </w:r>
          </w:p>
        </w:tc>
        <w:tc>
          <w:tcPr>
            <w:tcW w:w="4091" w:type="dxa"/>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修订后条文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4175" w:type="dxa"/>
          </w:tcPr>
          <w:p>
            <w:pPr>
              <w:ind w:firstLine="481" w:firstLineChars="200"/>
              <w:rPr>
                <w:rFonts w:ascii="Times New Roman" w:hAnsi="Times New Roman" w:eastAsia="仿宋" w:cs="Times New Roman"/>
                <w:bCs/>
                <w:kern w:val="0"/>
                <w:sz w:val="24"/>
                <w:szCs w:val="24"/>
              </w:rPr>
            </w:pPr>
            <w:r>
              <w:rPr>
                <w:rFonts w:hint="eastAsia" w:ascii="Times New Roman" w:hAnsi="Times New Roman" w:eastAsia="仿宋" w:cs="Times New Roman"/>
                <w:b/>
                <w:bCs/>
                <w:kern w:val="0"/>
                <w:sz w:val="24"/>
                <w:szCs w:val="24"/>
              </w:rPr>
              <w:t xml:space="preserve">第十四条 </w:t>
            </w:r>
            <w:r>
              <w:rPr>
                <w:rFonts w:hint="eastAsia" w:ascii="Times New Roman" w:hAnsi="Times New Roman" w:eastAsia="仿宋" w:cs="Times New Roman"/>
                <w:bCs/>
                <w:kern w:val="0"/>
                <w:sz w:val="24"/>
                <w:szCs w:val="24"/>
              </w:rPr>
              <w:t>花生期货标准仓单为厂库标准仓单。</w:t>
            </w:r>
          </w:p>
          <w:p>
            <w:pPr>
              <w:ind w:firstLine="480" w:firstLineChars="200"/>
              <w:rPr>
                <w:rFonts w:ascii="Times New Roman" w:hAnsi="Times New Roman" w:eastAsia="宋体" w:cs="Times New Roman"/>
                <w:kern w:val="0"/>
                <w:sz w:val="20"/>
                <w:szCs w:val="20"/>
              </w:rPr>
            </w:pPr>
            <w:r>
              <w:rPr>
                <w:rFonts w:hint="eastAsia" w:ascii="Times New Roman" w:hAnsi="Times New Roman" w:eastAsia="仿宋" w:cs="Times New Roman"/>
                <w:bCs/>
                <w:kern w:val="0"/>
                <w:sz w:val="24"/>
                <w:szCs w:val="24"/>
              </w:rPr>
              <w:t>花生期货标准仓单为通用仓单。</w:t>
            </w:r>
          </w:p>
        </w:tc>
        <w:tc>
          <w:tcPr>
            <w:tcW w:w="4091" w:type="dxa"/>
          </w:tcPr>
          <w:p>
            <w:pPr>
              <w:ind w:firstLine="481" w:firstLineChars="200"/>
              <w:rPr>
                <w:rFonts w:ascii="Times New Roman" w:hAnsi="Times New Roman" w:eastAsia="仿宋" w:cs="Times New Roman"/>
                <w:bCs/>
                <w:kern w:val="0"/>
                <w:sz w:val="24"/>
                <w:szCs w:val="24"/>
              </w:rPr>
            </w:pPr>
            <w:r>
              <w:rPr>
                <w:rFonts w:hint="eastAsia" w:ascii="Times New Roman" w:hAnsi="Times New Roman" w:eastAsia="仿宋" w:cs="Times New Roman"/>
                <w:b/>
                <w:bCs/>
                <w:kern w:val="0"/>
                <w:sz w:val="24"/>
                <w:szCs w:val="24"/>
              </w:rPr>
              <w:t xml:space="preserve">第十四条 </w:t>
            </w:r>
            <w:r>
              <w:rPr>
                <w:rFonts w:hint="eastAsia" w:ascii="Times New Roman" w:hAnsi="Times New Roman" w:eastAsia="仿宋" w:cs="Times New Roman"/>
                <w:bCs/>
                <w:kern w:val="0"/>
                <w:sz w:val="24"/>
                <w:szCs w:val="24"/>
              </w:rPr>
              <w:t>花生期货标准仓单为厂库标准仓单。</w:t>
            </w:r>
          </w:p>
          <w:p>
            <w:pPr>
              <w:ind w:firstLine="480" w:firstLineChars="200"/>
              <w:rPr>
                <w:rFonts w:ascii="Times New Roman" w:hAnsi="Times New Roman" w:eastAsia="宋体" w:cs="Times New Roman"/>
                <w:kern w:val="0"/>
                <w:sz w:val="20"/>
                <w:szCs w:val="20"/>
              </w:rPr>
            </w:pPr>
            <w:r>
              <w:rPr>
                <w:rFonts w:hint="eastAsia" w:ascii="Times New Roman" w:hAnsi="Times New Roman" w:eastAsia="仿宋" w:cs="Times New Roman"/>
                <w:bCs/>
                <w:kern w:val="0"/>
                <w:sz w:val="24"/>
                <w:szCs w:val="24"/>
              </w:rPr>
              <w:t>花生期货标准仓单为</w:t>
            </w:r>
            <w:r>
              <w:rPr>
                <w:rFonts w:hint="eastAsia" w:ascii="Times New Roman" w:hAnsi="Times New Roman" w:eastAsia="仿宋" w:cs="Times New Roman"/>
                <w:b/>
                <w:kern w:val="0"/>
                <w:sz w:val="24"/>
                <w:szCs w:val="24"/>
                <w:u w:val="single"/>
              </w:rPr>
              <w:t>非</w:t>
            </w:r>
            <w:r>
              <w:rPr>
                <w:rFonts w:hint="eastAsia" w:ascii="Times New Roman" w:hAnsi="Times New Roman" w:eastAsia="仿宋" w:cs="Times New Roman"/>
                <w:bCs/>
                <w:kern w:val="0"/>
                <w:sz w:val="24"/>
                <w:szCs w:val="24"/>
              </w:rPr>
              <w:t>通用仓单。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4175" w:type="dxa"/>
          </w:tcPr>
          <w:p>
            <w:pPr>
              <w:ind w:firstLine="481" w:firstLineChars="200"/>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第十八条</w:t>
            </w:r>
          </w:p>
          <w:p>
            <w:pPr>
              <w:ind w:firstLine="480" w:firstLineChars="200"/>
              <w:rPr>
                <w:rFonts w:ascii="Times New Roman" w:hAnsi="Times New Roman" w:eastAsia="宋体" w:cs="Times New Roman"/>
                <w:kern w:val="0"/>
                <w:sz w:val="20"/>
                <w:szCs w:val="20"/>
              </w:rPr>
            </w:pPr>
            <w:r>
              <w:rPr>
                <w:rFonts w:hint="eastAsia" w:ascii="Times New Roman" w:hAnsi="Times New Roman" w:eastAsia="仿宋" w:cs="Times New Roman"/>
                <w:bCs/>
                <w:kern w:val="0"/>
                <w:sz w:val="24"/>
                <w:szCs w:val="24"/>
              </w:rPr>
              <w:t>花生期货的厂库升贴水在标准仓单注册、注销时划转，相应的增值税专用发票由标准仓单注册人向标准仓单注销人开具，厂库负责监督。厂库按照增值税适用税率收取押金，增值税专用发票开具后押金予以退还。</w:t>
            </w:r>
          </w:p>
        </w:tc>
        <w:tc>
          <w:tcPr>
            <w:tcW w:w="4091" w:type="dxa"/>
          </w:tcPr>
          <w:p>
            <w:pPr>
              <w:ind w:firstLine="481" w:firstLineChars="200"/>
              <w:rPr>
                <w:rFonts w:ascii="Times New Roman" w:hAnsi="Times New Roman" w:eastAsia="仿宋" w:cs="Times New Roman"/>
                <w:b/>
                <w:dstrike/>
                <w:kern w:val="0"/>
                <w:sz w:val="24"/>
                <w:szCs w:val="24"/>
              </w:rPr>
            </w:pPr>
            <w:r>
              <w:rPr>
                <w:rFonts w:hint="eastAsia" w:ascii="Times New Roman" w:hAnsi="Times New Roman" w:eastAsia="仿宋" w:cs="Times New Roman"/>
                <w:b/>
                <w:dstrike/>
                <w:kern w:val="0"/>
                <w:sz w:val="24"/>
                <w:szCs w:val="24"/>
              </w:rPr>
              <w:t xml:space="preserve">第十八条 </w:t>
            </w:r>
          </w:p>
          <w:p>
            <w:pPr>
              <w:ind w:firstLine="480" w:firstLineChars="200"/>
              <w:rPr>
                <w:rFonts w:ascii="Times New Roman" w:hAnsi="Times New Roman" w:eastAsia="宋体" w:cs="Times New Roman"/>
                <w:kern w:val="0"/>
                <w:sz w:val="20"/>
                <w:szCs w:val="20"/>
              </w:rPr>
            </w:pPr>
            <w:r>
              <w:rPr>
                <w:rFonts w:hint="eastAsia" w:ascii="Times New Roman" w:hAnsi="Times New Roman" w:eastAsia="仿宋" w:cs="Times New Roman"/>
                <w:bCs/>
                <w:dstrike/>
                <w:kern w:val="0"/>
                <w:sz w:val="24"/>
                <w:szCs w:val="24"/>
              </w:rPr>
              <w:t>花生期货的厂库升贴水在标准仓单注册、注销时划转，相应的增值税专用发票由标准仓单注册人向标准仓单注销人开具，厂库负责监督。厂库按照增值税适用税率收取押金，增值税专用发票开具后押金予以退还。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175" w:type="dxa"/>
          </w:tcPr>
          <w:p>
            <w:pPr>
              <w:rPr>
                <w:rFonts w:ascii="Times New Roman" w:hAnsi="Times New Roman" w:eastAsia="仿宋" w:cs="Times New Roman"/>
                <w:kern w:val="0"/>
                <w:sz w:val="24"/>
                <w:szCs w:val="24"/>
              </w:rPr>
            </w:pPr>
          </w:p>
        </w:tc>
        <w:tc>
          <w:tcPr>
            <w:tcW w:w="4091" w:type="dxa"/>
          </w:tcPr>
          <w:p>
            <w:pPr>
              <w:ind w:firstLine="481" w:firstLineChars="200"/>
              <w:rPr>
                <w:rFonts w:ascii="Times New Roman" w:hAnsi="Times New Roman" w:eastAsia="仿宋" w:cs="Times New Roman"/>
                <w:b/>
                <w:kern w:val="0"/>
                <w:sz w:val="24"/>
                <w:szCs w:val="24"/>
              </w:rPr>
            </w:pPr>
            <w:r>
              <w:rPr>
                <w:rFonts w:hint="eastAsia" w:ascii="Times New Roman" w:hAnsi="Times New Roman" w:eastAsia="仿宋" w:cs="Times New Roman"/>
                <w:b/>
                <w:bCs/>
                <w:kern w:val="0"/>
                <w:sz w:val="24"/>
                <w:szCs w:val="24"/>
                <w:u w:val="single"/>
              </w:rPr>
              <w:t>第二十五条</w:t>
            </w:r>
            <w:r>
              <w:rPr>
                <w:rFonts w:hint="eastAsia" w:ascii="Times New Roman" w:hAnsi="Times New Roman" w:eastAsia="仿宋" w:cs="Times New Roman"/>
                <w:b/>
                <w:kern w:val="0"/>
                <w:sz w:val="24"/>
                <w:szCs w:val="24"/>
                <w:u w:val="single"/>
              </w:rPr>
              <w:t xml:space="preserve"> 水湿花生不得参与交割。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8" w:hRule="atLeast"/>
        </w:trPr>
        <w:tc>
          <w:tcPr>
            <w:tcW w:w="4175" w:type="dxa"/>
          </w:tcPr>
          <w:p>
            <w:pPr>
              <w:ind w:firstLine="481" w:firstLineChars="200"/>
              <w:rPr>
                <w:rFonts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rPr>
              <w:t>第二十六条</w:t>
            </w:r>
          </w:p>
          <w:p>
            <w:pPr>
              <w:ind w:firstLine="480" w:firstLineChars="200"/>
              <w:rPr>
                <w:rFonts w:ascii="Times New Roman" w:hAnsi="Times New Roman" w:eastAsia="宋体" w:cs="Times New Roman"/>
                <w:kern w:val="0"/>
                <w:sz w:val="20"/>
                <w:szCs w:val="20"/>
              </w:rPr>
            </w:pPr>
            <w:r>
              <w:rPr>
                <w:rFonts w:hint="eastAsia" w:ascii="Times New Roman" w:hAnsi="Times New Roman" w:eastAsia="仿宋" w:cs="Times New Roman"/>
                <w:kern w:val="0"/>
                <w:sz w:val="24"/>
                <w:szCs w:val="24"/>
              </w:rPr>
              <w:t>花生术语和定义、卫生要求及检验方法等按照《中华人民共和国国家标准 花生》（GB/T 1532-2008）、《中华人民共和国农业行业标准 油用花生》（NY/T 1068-2006）、《中华人民共和国国家标准 长圆孔、长方孔和圆孔筛板》（GB/T 12620-2008）及相关规范性引用文件执行。</w:t>
            </w:r>
          </w:p>
        </w:tc>
        <w:tc>
          <w:tcPr>
            <w:tcW w:w="4091" w:type="dxa"/>
          </w:tcPr>
          <w:p>
            <w:pPr>
              <w:ind w:firstLine="481" w:firstLineChars="200"/>
              <w:rPr>
                <w:rFonts w:ascii="Times New Roman" w:hAnsi="Times New Roman" w:eastAsia="仿宋" w:cs="Times New Roman"/>
                <w:b/>
                <w:bCs/>
                <w:kern w:val="0"/>
                <w:sz w:val="24"/>
                <w:szCs w:val="24"/>
                <w:u w:val="single"/>
              </w:rPr>
            </w:pPr>
            <w:r>
              <w:rPr>
                <w:rFonts w:ascii="Times New Roman" w:hAnsi="Times New Roman" w:eastAsia="仿宋" w:cs="Times New Roman"/>
                <w:b/>
                <w:bCs/>
                <w:kern w:val="0"/>
                <w:sz w:val="24"/>
                <w:szCs w:val="24"/>
              </w:rPr>
              <w:t>第二十</w:t>
            </w:r>
            <w:r>
              <w:rPr>
                <w:rFonts w:hint="eastAsia" w:ascii="Times New Roman" w:hAnsi="Times New Roman" w:eastAsia="仿宋" w:cs="Times New Roman"/>
                <w:b/>
                <w:bCs/>
                <w:kern w:val="0"/>
                <w:sz w:val="24"/>
                <w:szCs w:val="24"/>
              </w:rPr>
              <w:t>六</w:t>
            </w:r>
            <w:r>
              <w:rPr>
                <w:rFonts w:ascii="Times New Roman" w:hAnsi="Times New Roman" w:eastAsia="仿宋" w:cs="Times New Roman"/>
                <w:b/>
                <w:bCs/>
                <w:kern w:val="0"/>
                <w:sz w:val="24"/>
                <w:szCs w:val="24"/>
              </w:rPr>
              <w:t>条</w:t>
            </w:r>
            <w:r>
              <w:rPr>
                <w:rFonts w:hint="eastAsia" w:ascii="Times New Roman" w:hAnsi="Times New Roman" w:eastAsia="仿宋" w:cs="Times New Roman"/>
                <w:b/>
                <w:bCs/>
                <w:kern w:val="0"/>
                <w:sz w:val="24"/>
                <w:szCs w:val="24"/>
              </w:rPr>
              <w:t xml:space="preserve"> </w:t>
            </w:r>
            <w:r>
              <w:rPr>
                <w:rFonts w:hint="eastAsia" w:ascii="Times New Roman" w:hAnsi="Times New Roman" w:eastAsia="仿宋" w:cs="Times New Roman"/>
                <w:kern w:val="0"/>
                <w:sz w:val="24"/>
                <w:szCs w:val="24"/>
              </w:rPr>
              <w:t>花生术语和定义、卫生要求及检验方法等按照《中华人民共和国国家标准 花生》（GB/T 1532-2008）、《中华人民共和国农业行业标准 油用花生》（NY/T 1068-2006）、《中华人民共和国国家标准 长圆孔、长方孔和圆孔筛板》（GB/T 12620-2008）及相关规范性引用文件执行。</w:t>
            </w:r>
            <w:r>
              <w:rPr>
                <w:rFonts w:hint="eastAsia" w:ascii="Times New Roman" w:hAnsi="Times New Roman" w:eastAsia="仿宋" w:cs="Times New Roman"/>
                <w:b/>
                <w:bCs/>
                <w:kern w:val="0"/>
                <w:sz w:val="24"/>
                <w:szCs w:val="24"/>
                <w:u w:val="single"/>
              </w:rPr>
              <w:t>其中，水湿花生检验方法按照《水湿花生仁感官性状检验方法》（</w:t>
            </w:r>
            <w:r>
              <w:rPr>
                <w:rFonts w:ascii="Times New Roman" w:hAnsi="Times New Roman" w:eastAsia="仿宋" w:cs="Times New Roman"/>
                <w:b/>
                <w:bCs/>
                <w:kern w:val="0"/>
                <w:sz w:val="24"/>
                <w:szCs w:val="24"/>
                <w:u w:val="single"/>
              </w:rPr>
              <w:t xml:space="preserve">T/CGTA </w:t>
            </w:r>
            <w:r>
              <w:rPr>
                <w:rFonts w:hint="eastAsia" w:ascii="Times New Roman" w:hAnsi="Times New Roman" w:eastAsia="仿宋" w:cs="Times New Roman"/>
                <w:b/>
                <w:bCs/>
                <w:kern w:val="0"/>
                <w:sz w:val="24"/>
                <w:szCs w:val="24"/>
                <w:u w:val="single"/>
              </w:rPr>
              <w:t>10</w:t>
            </w:r>
            <w:r>
              <w:rPr>
                <w:rFonts w:ascii="Times New Roman" w:hAnsi="Times New Roman" w:eastAsia="仿宋" w:cs="Times New Roman"/>
                <w:b/>
                <w:bCs/>
                <w:kern w:val="0"/>
                <w:sz w:val="24"/>
                <w:szCs w:val="24"/>
                <w:u w:val="single"/>
              </w:rPr>
              <w:t>-2025</w:t>
            </w:r>
            <w:r>
              <w:rPr>
                <w:rFonts w:hint="eastAsia" w:ascii="Times New Roman" w:hAnsi="Times New Roman" w:eastAsia="仿宋" w:cs="Times New Roman"/>
                <w:b/>
                <w:bCs/>
                <w:kern w:val="0"/>
                <w:sz w:val="24"/>
                <w:szCs w:val="24"/>
                <w:u w:val="single"/>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4175" w:type="dxa"/>
          </w:tcPr>
          <w:p>
            <w:pPr>
              <w:ind w:firstLine="481" w:firstLineChars="200"/>
              <w:rPr>
                <w:rFonts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rPr>
              <w:t>第二十九条</w:t>
            </w:r>
          </w:p>
          <w:p>
            <w:pPr>
              <w:ind w:firstLine="480" w:firstLineChars="200"/>
              <w:rPr>
                <w:rFonts w:ascii="Times New Roman" w:hAnsi="Times New Roman" w:eastAsia="宋体" w:cs="Times New Roman"/>
                <w:kern w:val="0"/>
                <w:sz w:val="20"/>
                <w:szCs w:val="20"/>
              </w:rPr>
            </w:pPr>
            <w:r>
              <w:rPr>
                <w:rFonts w:hint="eastAsia" w:ascii="Times New Roman" w:hAnsi="Times New Roman" w:eastAsia="仿宋" w:cs="Times New Roman"/>
                <w:kern w:val="0"/>
                <w:sz w:val="24"/>
                <w:szCs w:val="24"/>
              </w:rPr>
              <w:t>花生厂库标准仓单按照基准交割品等级进行注册。</w:t>
            </w:r>
          </w:p>
        </w:tc>
        <w:tc>
          <w:tcPr>
            <w:tcW w:w="4091" w:type="dxa"/>
          </w:tcPr>
          <w:p>
            <w:pPr>
              <w:ind w:firstLine="480" w:firstLineChars="200"/>
              <w:rPr>
                <w:rFonts w:ascii="Times New Roman" w:hAnsi="Times New Roman" w:eastAsia="仿宋" w:cs="Times New Roman"/>
                <w:b/>
                <w:bCs/>
                <w:kern w:val="0"/>
                <w:sz w:val="24"/>
                <w:szCs w:val="24"/>
                <w:u w:val="single"/>
              </w:rPr>
            </w:pPr>
            <w:r>
              <w:rPr>
                <w:rFonts w:hint="eastAsia" w:ascii="Times New Roman" w:hAnsi="Times New Roman" w:eastAsia="仿宋" w:cs="Times New Roman"/>
                <w:dstrike/>
                <w:kern w:val="0"/>
                <w:sz w:val="24"/>
                <w:szCs w:val="24"/>
              </w:rPr>
              <w:t>第二十九条</w:t>
            </w:r>
          </w:p>
          <w:p>
            <w:pPr>
              <w:ind w:firstLine="480" w:firstLineChars="200"/>
              <w:rPr>
                <w:rFonts w:ascii="Times New Roman" w:hAnsi="Times New Roman" w:eastAsia="宋体" w:cs="Times New Roman"/>
                <w:kern w:val="0"/>
                <w:sz w:val="20"/>
                <w:szCs w:val="20"/>
              </w:rPr>
            </w:pPr>
            <w:r>
              <w:rPr>
                <w:rFonts w:hint="eastAsia" w:ascii="Times New Roman" w:hAnsi="Times New Roman" w:eastAsia="仿宋" w:cs="Times New Roman"/>
                <w:dstrike/>
                <w:kern w:val="0"/>
                <w:sz w:val="24"/>
                <w:szCs w:val="24"/>
              </w:rPr>
              <w:t>花生厂库标准仓单按照基准交割品等级进行注册。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3" w:hRule="atLeast"/>
        </w:trPr>
        <w:tc>
          <w:tcPr>
            <w:tcW w:w="4175" w:type="dxa"/>
          </w:tcPr>
          <w:p>
            <w:pPr>
              <w:ind w:firstLine="481" w:firstLineChars="200"/>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第三十三条</w:t>
            </w:r>
          </w:p>
          <w:p>
            <w:pPr>
              <w:ind w:firstLine="480" w:firstLineChars="200"/>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p>
            <w:pPr>
              <w:ind w:firstLine="480" w:firstLineChars="200"/>
              <w:rPr>
                <w:rFonts w:ascii="Times New Roman" w:hAnsi="Times New Roman" w:eastAsia="仿宋" w:cs="Times New Roman"/>
                <w:kern w:val="0"/>
                <w:sz w:val="24"/>
                <w:szCs w:val="24"/>
              </w:rPr>
            </w:pPr>
            <w:r>
              <w:rPr>
                <w:rFonts w:ascii="Times New Roman" w:hAnsi="Times New Roman" w:eastAsia="仿宋" w:cs="Times New Roman"/>
                <w:kern w:val="0"/>
                <w:sz w:val="24"/>
                <w:szCs w:val="24"/>
              </w:rPr>
              <w:t>花生出库时，厂库向提货人提供符合交割标准的《产品质量证明书》，提货人可以到场查验货物质量，厂库应当予以配合。《产品质量证明书》中的质量指标，作为双方自行结算升贴水的处理依据，相应的增值税专用发票由厂库向提货人开具。用于质量验收的样品应当由买卖双方按照国家相关标准及交易所有关规定共同扦取，就地分为二份，任选一份供买方使用；另一份由双方共同签字封样，由厂库保管，作为发生质量争议时的复检样品。</w:t>
            </w:r>
          </w:p>
        </w:tc>
        <w:tc>
          <w:tcPr>
            <w:tcW w:w="4091" w:type="dxa"/>
          </w:tcPr>
          <w:p>
            <w:pPr>
              <w:ind w:firstLine="481" w:firstLineChars="200"/>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第三十</w:t>
            </w:r>
            <w:r>
              <w:rPr>
                <w:rFonts w:hint="eastAsia" w:ascii="Times New Roman" w:hAnsi="Times New Roman" w:eastAsia="仿宋" w:cs="Times New Roman"/>
                <w:dstrike/>
                <w:kern w:val="0"/>
                <w:sz w:val="24"/>
                <w:szCs w:val="24"/>
              </w:rPr>
              <w:t>三</w:t>
            </w:r>
            <w:r>
              <w:rPr>
                <w:rFonts w:hint="eastAsia" w:ascii="Times New Roman" w:hAnsi="Times New Roman" w:eastAsia="仿宋" w:cs="Times New Roman"/>
                <w:b/>
                <w:bCs/>
                <w:kern w:val="0"/>
                <w:sz w:val="24"/>
                <w:szCs w:val="24"/>
                <w:u w:val="single"/>
              </w:rPr>
              <w:t>二</w:t>
            </w:r>
            <w:r>
              <w:rPr>
                <w:rFonts w:ascii="Times New Roman" w:hAnsi="Times New Roman" w:eastAsia="仿宋" w:cs="Times New Roman"/>
                <w:b/>
                <w:kern w:val="0"/>
                <w:sz w:val="24"/>
                <w:szCs w:val="24"/>
              </w:rPr>
              <w:t>条</w:t>
            </w:r>
          </w:p>
          <w:p>
            <w:pPr>
              <w:ind w:firstLine="480" w:firstLineChars="200"/>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p>
            <w:pPr>
              <w:ind w:firstLine="480" w:firstLineChars="200"/>
              <w:rPr>
                <w:rFonts w:ascii="Times New Roman" w:hAnsi="Times New Roman" w:eastAsia="仿宋" w:cs="Times New Roman"/>
                <w:b/>
                <w:kern w:val="0"/>
                <w:sz w:val="24"/>
                <w:szCs w:val="24"/>
              </w:rPr>
            </w:pPr>
            <w:r>
              <w:rPr>
                <w:rFonts w:ascii="Times New Roman" w:hAnsi="Times New Roman" w:eastAsia="仿宋" w:cs="Times New Roman"/>
                <w:kern w:val="0"/>
                <w:sz w:val="24"/>
                <w:szCs w:val="24"/>
              </w:rPr>
              <w:t>花生出库时，厂库向提货人提供符合交割标准的《产品质量证明书》，提货人可以到场查验货物质量，厂库应当予以配合。</w:t>
            </w:r>
            <w:r>
              <w:rPr>
                <w:rFonts w:ascii="Times New Roman" w:hAnsi="Times New Roman" w:eastAsia="仿宋" w:cs="Times New Roman"/>
                <w:dstrike/>
                <w:kern w:val="0"/>
                <w:sz w:val="24"/>
                <w:szCs w:val="24"/>
              </w:rPr>
              <w:t>《产品质量证明书》中的质量指标，作为双方自行结算升贴水的处理依据，相应的增值税专用发票由厂库向提货人开具。</w:t>
            </w:r>
            <w:r>
              <w:rPr>
                <w:rFonts w:ascii="Times New Roman" w:hAnsi="Times New Roman" w:eastAsia="仿宋" w:cs="Times New Roman"/>
                <w:kern w:val="0"/>
                <w:sz w:val="24"/>
                <w:szCs w:val="24"/>
              </w:rPr>
              <w:t>用于质量验收的样品应当由买卖双方按照国家相关标准及交易所有关规定共同扦取，就地分为二份，任选一份供买方使用；另一份由双方共同签字封样，由厂库保管，作为发生质量争议时的复检样品。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0" w:hRule="atLeast"/>
        </w:trPr>
        <w:tc>
          <w:tcPr>
            <w:tcW w:w="4175" w:type="dxa"/>
          </w:tcPr>
          <w:p>
            <w:pPr>
              <w:ind w:firstLine="481" w:firstLineChars="200"/>
              <w:rPr>
                <w:rFonts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rPr>
              <w:t>第四十三条</w:t>
            </w:r>
          </w:p>
          <w:p>
            <w:pPr>
              <w:ind w:firstLine="480" w:firstLineChars="200"/>
              <w:rPr>
                <w:rFonts w:ascii="Times New Roman" w:hAnsi="Times New Roman" w:eastAsia="仿宋" w:cs="Times New Roman"/>
                <w:kern w:val="0"/>
                <w:sz w:val="24"/>
                <w:szCs w:val="24"/>
              </w:rPr>
            </w:pPr>
            <w:r>
              <w:rPr>
                <w:rFonts w:ascii="Times New Roman" w:hAnsi="Times New Roman" w:eastAsia="仿宋" w:cs="Times New Roman"/>
                <w:kern w:val="0"/>
                <w:sz w:val="24"/>
                <w:szCs w:val="24"/>
              </w:rPr>
              <w:t>自第三交割日起（含该日）3个交易日内，花生买卖双方就车（船）板交割事宜进行协商。</w:t>
            </w:r>
          </w:p>
          <w:p>
            <w:pPr>
              <w:ind w:firstLine="480" w:firstLineChars="200"/>
              <w:rPr>
                <w:rFonts w:ascii="Times New Roman" w:hAnsi="Times New Roman" w:eastAsia="宋体" w:cs="Times New Roman"/>
                <w:kern w:val="0"/>
                <w:sz w:val="20"/>
                <w:szCs w:val="20"/>
              </w:rPr>
            </w:pPr>
            <w:r>
              <w:rPr>
                <w:rFonts w:ascii="Times New Roman" w:hAnsi="Times New Roman" w:eastAsia="仿宋" w:cs="Times New Roman"/>
                <w:kern w:val="0"/>
                <w:sz w:val="24"/>
                <w:szCs w:val="24"/>
              </w:rPr>
              <w:t>第三交割日起（含该日）第3个交易日下午1时30分前，买方应当通过会员在会员服务系统提交《车（船）板交货事项确认单》；卖方会员应当在当日下午3时前进行确认。买方提交的《车（船）板交货事项确认单》应当符合本细则相关规定或者经买卖双方协商一致，否则按照未提交处理。规定时间内，买方未提交或者卖方未确认的，视为违约，按照《郑州商品交易所期货交割管理办法》有关交割违约的规定处理。花生买卖双方完成《车（船）板交货事项确认单》后，于当日签订《车（船）板交割协议书》，确定结算方式、交货地点等。</w:t>
            </w:r>
          </w:p>
        </w:tc>
        <w:tc>
          <w:tcPr>
            <w:tcW w:w="4091" w:type="dxa"/>
          </w:tcPr>
          <w:p>
            <w:pPr>
              <w:ind w:firstLine="481" w:firstLineChars="200"/>
              <w:rPr>
                <w:rFonts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u w:val="single"/>
              </w:rPr>
              <w:t>第四十</w:t>
            </w:r>
            <w:r>
              <w:rPr>
                <w:rFonts w:hint="eastAsia" w:ascii="Times New Roman" w:hAnsi="Times New Roman" w:eastAsia="仿宋" w:cs="Times New Roman"/>
                <w:dstrike/>
                <w:kern w:val="0"/>
                <w:sz w:val="24"/>
                <w:szCs w:val="24"/>
              </w:rPr>
              <w:t>三</w:t>
            </w:r>
            <w:r>
              <w:rPr>
                <w:rFonts w:hint="eastAsia" w:ascii="Times New Roman" w:hAnsi="Times New Roman" w:eastAsia="仿宋" w:cs="Times New Roman"/>
                <w:b/>
                <w:bCs/>
                <w:kern w:val="0"/>
                <w:sz w:val="24"/>
                <w:szCs w:val="24"/>
                <w:u w:val="single"/>
              </w:rPr>
              <w:t>二</w:t>
            </w:r>
            <w:r>
              <w:rPr>
                <w:rFonts w:hint="eastAsia" w:ascii="Times New Roman" w:hAnsi="Times New Roman" w:eastAsia="仿宋" w:cs="Times New Roman"/>
                <w:b/>
                <w:bCs/>
                <w:kern w:val="0"/>
                <w:sz w:val="24"/>
                <w:szCs w:val="24"/>
              </w:rPr>
              <w:t>条</w:t>
            </w:r>
          </w:p>
          <w:p>
            <w:pPr>
              <w:ind w:firstLine="480" w:firstLineChars="200"/>
              <w:rPr>
                <w:rFonts w:ascii="Times New Roman" w:hAnsi="Times New Roman" w:eastAsia="仿宋" w:cs="Times New Roman"/>
                <w:dstrike/>
                <w:kern w:val="0"/>
                <w:sz w:val="24"/>
                <w:szCs w:val="24"/>
              </w:rPr>
            </w:pPr>
            <w:r>
              <w:rPr>
                <w:rFonts w:ascii="Times New Roman" w:hAnsi="Times New Roman" w:eastAsia="仿宋" w:cs="Times New Roman"/>
                <w:dstrike/>
                <w:kern w:val="0"/>
                <w:sz w:val="24"/>
                <w:szCs w:val="24"/>
              </w:rPr>
              <w:t>自第三交割日起（含该日）3个交易日内，花生买卖双方就车（船）板交割事宜进行协商。</w:t>
            </w:r>
          </w:p>
          <w:p>
            <w:pPr>
              <w:ind w:firstLine="480" w:firstLineChars="200"/>
              <w:rPr>
                <w:rFonts w:ascii="Times New Roman" w:hAnsi="Times New Roman" w:eastAsia="仿宋" w:cs="Times New Roman"/>
                <w:kern w:val="0"/>
                <w:sz w:val="20"/>
                <w:szCs w:val="20"/>
              </w:rPr>
            </w:pPr>
            <w:r>
              <w:rPr>
                <w:rFonts w:ascii="Times New Roman" w:hAnsi="Times New Roman" w:eastAsia="仿宋" w:cs="Times New Roman"/>
                <w:kern w:val="0"/>
                <w:sz w:val="24"/>
                <w:szCs w:val="24"/>
              </w:rPr>
              <w:t>第三交割日</w:t>
            </w:r>
            <w:r>
              <w:rPr>
                <w:rFonts w:ascii="Times New Roman" w:hAnsi="Times New Roman" w:eastAsia="仿宋" w:cs="Times New Roman"/>
                <w:dstrike/>
                <w:kern w:val="0"/>
                <w:sz w:val="24"/>
                <w:szCs w:val="24"/>
              </w:rPr>
              <w:t>起（含该日）第3个交易日</w:t>
            </w:r>
            <w:r>
              <w:rPr>
                <w:rFonts w:ascii="Times New Roman" w:hAnsi="Times New Roman" w:eastAsia="仿宋" w:cs="Times New Roman"/>
                <w:kern w:val="0"/>
                <w:sz w:val="24"/>
                <w:szCs w:val="24"/>
              </w:rPr>
              <w:t>下午</w:t>
            </w:r>
            <w:r>
              <w:rPr>
                <w:rFonts w:ascii="Times New Roman" w:hAnsi="Times New Roman" w:eastAsia="仿宋" w:cs="Times New Roman"/>
                <w:dstrike/>
                <w:kern w:val="0"/>
                <w:sz w:val="24"/>
                <w:szCs w:val="24"/>
              </w:rPr>
              <w:t>1时</w:t>
            </w:r>
            <w:r>
              <w:rPr>
                <w:rFonts w:ascii="Times New Roman" w:hAnsi="Times New Roman" w:eastAsia="仿宋" w:cs="Times New Roman"/>
                <w:kern w:val="0"/>
                <w:sz w:val="24"/>
                <w:szCs w:val="24"/>
              </w:rPr>
              <w:t>3</w:t>
            </w:r>
            <w:r>
              <w:rPr>
                <w:rFonts w:ascii="Times New Roman" w:hAnsi="Times New Roman" w:eastAsia="仿宋" w:cs="Times New Roman"/>
                <w:dstrike/>
                <w:kern w:val="0"/>
                <w:sz w:val="24"/>
                <w:szCs w:val="24"/>
              </w:rPr>
              <w:t>0分</w:t>
            </w:r>
            <w:r>
              <w:rPr>
                <w:rFonts w:hint="eastAsia" w:ascii="Times New Roman" w:hAnsi="Times New Roman" w:eastAsia="仿宋" w:cs="Times New Roman"/>
                <w:b/>
                <w:bCs/>
                <w:kern w:val="0"/>
                <w:sz w:val="24"/>
                <w:szCs w:val="24"/>
                <w:u w:val="single"/>
              </w:rPr>
              <w:t>时</w:t>
            </w:r>
            <w:r>
              <w:rPr>
                <w:rFonts w:ascii="Times New Roman" w:hAnsi="Times New Roman" w:eastAsia="仿宋" w:cs="Times New Roman"/>
                <w:kern w:val="0"/>
                <w:sz w:val="24"/>
                <w:szCs w:val="24"/>
              </w:rPr>
              <w:t>前，</w:t>
            </w:r>
            <w:r>
              <w:rPr>
                <w:rFonts w:hint="eastAsia" w:ascii="Times New Roman" w:hAnsi="Times New Roman" w:eastAsia="仿宋" w:cs="Times New Roman"/>
                <w:b/>
                <w:bCs/>
                <w:kern w:val="0"/>
                <w:sz w:val="24"/>
                <w:szCs w:val="24"/>
                <w:u w:val="single"/>
              </w:rPr>
              <w:t>花生</w:t>
            </w:r>
            <w:r>
              <w:rPr>
                <w:rFonts w:ascii="Times New Roman" w:hAnsi="Times New Roman" w:eastAsia="仿宋" w:cs="Times New Roman"/>
                <w:kern w:val="0"/>
                <w:sz w:val="24"/>
                <w:szCs w:val="24"/>
              </w:rPr>
              <w:t>买</w:t>
            </w:r>
            <w:r>
              <w:rPr>
                <w:rFonts w:hint="eastAsia" w:ascii="Times New Roman" w:hAnsi="Times New Roman" w:eastAsia="仿宋" w:cs="Times New Roman"/>
                <w:b/>
                <w:bCs/>
                <w:kern w:val="0"/>
                <w:sz w:val="24"/>
                <w:szCs w:val="24"/>
                <w:u w:val="single"/>
              </w:rPr>
              <w:t>卖双</w:t>
            </w:r>
            <w:r>
              <w:rPr>
                <w:rFonts w:ascii="Times New Roman" w:hAnsi="Times New Roman" w:eastAsia="仿宋" w:cs="Times New Roman"/>
                <w:kern w:val="0"/>
                <w:sz w:val="24"/>
                <w:szCs w:val="24"/>
              </w:rPr>
              <w:t>方</w:t>
            </w:r>
            <w:r>
              <w:rPr>
                <w:rFonts w:ascii="Times New Roman" w:hAnsi="Times New Roman" w:eastAsia="仿宋" w:cs="Times New Roman"/>
                <w:dstrike/>
                <w:kern w:val="0"/>
                <w:sz w:val="24"/>
                <w:szCs w:val="24"/>
              </w:rPr>
              <w:t>应当</w:t>
            </w:r>
            <w:r>
              <w:rPr>
                <w:rFonts w:ascii="Times New Roman" w:hAnsi="Times New Roman" w:eastAsia="仿宋" w:cs="Times New Roman"/>
                <w:kern w:val="0"/>
                <w:sz w:val="24"/>
                <w:szCs w:val="24"/>
              </w:rPr>
              <w:t>通过会员在会员服务系统</w:t>
            </w:r>
            <w:r>
              <w:rPr>
                <w:rFonts w:ascii="Times New Roman" w:hAnsi="Times New Roman" w:eastAsia="仿宋" w:cs="Times New Roman"/>
                <w:dstrike/>
                <w:kern w:val="0"/>
                <w:sz w:val="24"/>
                <w:szCs w:val="24"/>
              </w:rPr>
              <w:t>提交</w:t>
            </w:r>
            <w:r>
              <w:rPr>
                <w:rFonts w:hint="eastAsia" w:ascii="Times New Roman" w:hAnsi="Times New Roman" w:eastAsia="仿宋" w:cs="Times New Roman"/>
                <w:b/>
                <w:bCs/>
                <w:kern w:val="0"/>
                <w:sz w:val="24"/>
                <w:szCs w:val="24"/>
                <w:u w:val="single"/>
              </w:rPr>
              <w:t>确认</w:t>
            </w:r>
            <w:r>
              <w:rPr>
                <w:rFonts w:ascii="Times New Roman" w:hAnsi="Times New Roman" w:eastAsia="仿宋" w:cs="Times New Roman"/>
                <w:kern w:val="0"/>
                <w:sz w:val="24"/>
                <w:szCs w:val="24"/>
              </w:rPr>
              <w:t>《车（船）板交货事项确认单》</w:t>
            </w:r>
            <w:r>
              <w:rPr>
                <w:rFonts w:hint="eastAsia" w:ascii="Times New Roman" w:hAnsi="Times New Roman" w:eastAsia="仿宋" w:cs="Times New Roman"/>
                <w:dstrike/>
                <w:kern w:val="0"/>
                <w:sz w:val="24"/>
                <w:szCs w:val="24"/>
              </w:rPr>
              <w:t>；</w:t>
            </w:r>
            <w:r>
              <w:rPr>
                <w:rFonts w:ascii="Times New Roman" w:hAnsi="Times New Roman" w:eastAsia="仿宋" w:cs="Times New Roman"/>
                <w:dstrike/>
                <w:kern w:val="0"/>
                <w:sz w:val="24"/>
                <w:szCs w:val="24"/>
              </w:rPr>
              <w:t>卖方会员应当在当日下午3时前进行</w:t>
            </w:r>
            <w:r>
              <w:rPr>
                <w:rFonts w:hint="eastAsia" w:ascii="Times New Roman" w:hAnsi="Times New Roman" w:eastAsia="仿宋" w:cs="Times New Roman"/>
                <w:b/>
                <w:bCs/>
                <w:kern w:val="0"/>
                <w:sz w:val="24"/>
                <w:szCs w:val="24"/>
                <w:u w:val="single"/>
              </w:rPr>
              <w:t>，逾期未</w:t>
            </w:r>
            <w:r>
              <w:rPr>
                <w:rFonts w:ascii="Times New Roman" w:hAnsi="Times New Roman" w:eastAsia="仿宋" w:cs="Times New Roman"/>
                <w:kern w:val="0"/>
                <w:sz w:val="24"/>
                <w:szCs w:val="24"/>
              </w:rPr>
              <w:t>确认</w:t>
            </w:r>
            <w:r>
              <w:rPr>
                <w:rFonts w:hint="eastAsia" w:ascii="Times New Roman" w:hAnsi="Times New Roman" w:eastAsia="仿宋" w:cs="Times New Roman"/>
                <w:b/>
                <w:bCs/>
                <w:kern w:val="0"/>
                <w:sz w:val="24"/>
                <w:szCs w:val="24"/>
                <w:u w:val="single"/>
              </w:rPr>
              <w:t>的，</w:t>
            </w:r>
            <w:r>
              <w:rPr>
                <w:rFonts w:ascii="Times New Roman" w:hAnsi="Times New Roman" w:eastAsia="仿宋" w:cs="Times New Roman"/>
                <w:dstrike/>
                <w:kern w:val="0"/>
                <w:sz w:val="24"/>
                <w:szCs w:val="24"/>
              </w:rPr>
              <w:t>。买方提交的《车（船）板交货事项确认单》应当符合本细则相关规定或者经买卖双方协商一致，否则按照未提交处理。规定时间内，买方未提交或者卖方未确认的，</w:t>
            </w:r>
            <w:r>
              <w:rPr>
                <w:rFonts w:ascii="Times New Roman" w:hAnsi="Times New Roman" w:eastAsia="仿宋" w:cs="Times New Roman"/>
                <w:kern w:val="0"/>
                <w:sz w:val="24"/>
                <w:szCs w:val="24"/>
              </w:rPr>
              <w:t>视为</w:t>
            </w:r>
            <w:r>
              <w:rPr>
                <w:rFonts w:hint="eastAsia" w:ascii="Times New Roman" w:hAnsi="Times New Roman" w:eastAsia="仿宋" w:cs="Times New Roman"/>
                <w:b/>
                <w:bCs/>
                <w:kern w:val="0"/>
                <w:sz w:val="24"/>
                <w:szCs w:val="24"/>
                <w:u w:val="single"/>
              </w:rPr>
              <w:t>对确认单内容无异议</w:t>
            </w:r>
            <w:r>
              <w:rPr>
                <w:rFonts w:ascii="Times New Roman" w:hAnsi="Times New Roman" w:eastAsia="仿宋" w:cs="Times New Roman"/>
                <w:dstrike/>
                <w:kern w:val="0"/>
                <w:sz w:val="24"/>
                <w:szCs w:val="24"/>
              </w:rPr>
              <w:t>违约，按照《郑州商品交易所期货交割管理办法》有关交割违约的规定处理</w:t>
            </w:r>
            <w:r>
              <w:rPr>
                <w:rFonts w:ascii="Times New Roman" w:hAnsi="Times New Roman" w:eastAsia="仿宋" w:cs="Times New Roman"/>
                <w:kern w:val="0"/>
                <w:sz w:val="24"/>
                <w:szCs w:val="24"/>
              </w:rPr>
              <w:t>。</w:t>
            </w:r>
            <w:r>
              <w:rPr>
                <w:rFonts w:ascii="Times New Roman" w:hAnsi="Times New Roman" w:eastAsia="仿宋" w:cs="Times New Roman"/>
                <w:dstrike/>
                <w:kern w:val="0"/>
                <w:sz w:val="24"/>
                <w:szCs w:val="24"/>
              </w:rPr>
              <w:t>花生买卖双方完成《车（船）板交货事项确认单》后，于当日签订《车（船）板交割协议书》，确定结算方式、交货地点等</w:t>
            </w:r>
            <w:r>
              <w:rPr>
                <w:rFonts w:hint="eastAsia" w:ascii="Times New Roman" w:hAnsi="Times New Roman" w:eastAsia="仿宋" w:cs="Times New Roman"/>
                <w:b/>
                <w:bCs/>
                <w:kern w:val="0"/>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0" w:hRule="atLeast"/>
        </w:trPr>
        <w:tc>
          <w:tcPr>
            <w:tcW w:w="4175" w:type="dxa"/>
          </w:tcPr>
          <w:p>
            <w:pPr>
              <w:ind w:firstLine="481" w:firstLineChars="200"/>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第四十</w:t>
            </w:r>
            <w:r>
              <w:rPr>
                <w:rFonts w:hint="eastAsia" w:ascii="Times New Roman" w:hAnsi="Times New Roman" w:eastAsia="仿宋" w:cs="Times New Roman"/>
                <w:b/>
                <w:kern w:val="0"/>
                <w:sz w:val="24"/>
                <w:szCs w:val="24"/>
              </w:rPr>
              <w:t>四</w:t>
            </w:r>
            <w:r>
              <w:rPr>
                <w:rFonts w:ascii="Times New Roman" w:hAnsi="Times New Roman" w:eastAsia="仿宋" w:cs="Times New Roman"/>
                <w:b/>
                <w:kern w:val="0"/>
                <w:sz w:val="24"/>
                <w:szCs w:val="24"/>
              </w:rPr>
              <w:t>条</w:t>
            </w:r>
          </w:p>
          <w:p>
            <w:pPr>
              <w:widowControl/>
              <w:ind w:firstLine="480" w:firstLineChars="200"/>
              <w:rPr>
                <w:rFonts w:ascii="Times New Roman" w:hAnsi="Times New Roman" w:eastAsia="仿宋" w:cs="Times New Roman"/>
                <w:kern w:val="0"/>
                <w:sz w:val="24"/>
                <w:szCs w:val="24"/>
              </w:rPr>
            </w:pPr>
            <w:r>
              <w:rPr>
                <w:rFonts w:ascii="Times New Roman" w:hAnsi="Times New Roman" w:eastAsia="仿宋" w:cs="Times New Roman"/>
                <w:kern w:val="0"/>
                <w:sz w:val="24"/>
                <w:szCs w:val="24"/>
                <w:lang w:bidi="ar"/>
              </w:rPr>
              <w:t>花生期货车（船）板交割委托交易所办理结算的，应当在交割服务机构交割。其中，货物到达接受交割预报的交割服务机构的，自货物全部到达之日起2个工作日内，交割预报定金予以返还；部分到达的，自货物到达之日起2个工作日内，按实际到达量返还；未到达的，不予返还。不委托交易所结算的，交割预报定金自双方签订《车（船）板交割协议书》之日起2个工作日内予以返还。</w:t>
            </w:r>
          </w:p>
          <w:p>
            <w:pPr>
              <w:ind w:firstLine="481" w:firstLineChars="200"/>
              <w:rPr>
                <w:rFonts w:ascii="Times New Roman" w:hAnsi="Times New Roman" w:eastAsia="仿宋" w:cs="Times New Roman"/>
                <w:b/>
                <w:kern w:val="0"/>
                <w:sz w:val="24"/>
                <w:szCs w:val="24"/>
              </w:rPr>
            </w:pPr>
          </w:p>
        </w:tc>
        <w:tc>
          <w:tcPr>
            <w:tcW w:w="4091" w:type="dxa"/>
          </w:tcPr>
          <w:p>
            <w:pPr>
              <w:widowControl/>
              <w:ind w:firstLine="481" w:firstLineChars="200"/>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第四十</w:t>
            </w:r>
            <w:r>
              <w:rPr>
                <w:rFonts w:hint="eastAsia" w:ascii="Times New Roman" w:hAnsi="Times New Roman" w:eastAsia="仿宋" w:cs="Times New Roman"/>
                <w:b/>
                <w:bCs/>
                <w:dstrike/>
                <w:kern w:val="0"/>
                <w:sz w:val="24"/>
                <w:szCs w:val="24"/>
                <w:lang w:bidi="ar"/>
              </w:rPr>
              <w:t>四</w:t>
            </w:r>
            <w:r>
              <w:rPr>
                <w:rFonts w:hint="eastAsia" w:ascii="Times New Roman" w:hAnsi="Times New Roman" w:eastAsia="仿宋" w:cs="Times New Roman"/>
                <w:b/>
                <w:bCs/>
                <w:kern w:val="0"/>
                <w:sz w:val="24"/>
                <w:szCs w:val="24"/>
                <w:u w:val="single"/>
              </w:rPr>
              <w:t>三</w:t>
            </w:r>
            <w:r>
              <w:rPr>
                <w:rFonts w:ascii="Times New Roman" w:hAnsi="Times New Roman" w:eastAsia="仿宋" w:cs="Times New Roman"/>
                <w:b/>
                <w:kern w:val="0"/>
                <w:sz w:val="24"/>
                <w:szCs w:val="24"/>
              </w:rPr>
              <w:t>条</w:t>
            </w:r>
          </w:p>
          <w:p>
            <w:pPr>
              <w:widowControl/>
              <w:ind w:firstLine="480" w:firstLineChars="200"/>
              <w:rPr>
                <w:rFonts w:ascii="Times New Roman" w:hAnsi="Times New Roman" w:eastAsia="仿宋" w:cs="Times New Roman"/>
                <w:b/>
                <w:kern w:val="0"/>
                <w:sz w:val="24"/>
                <w:szCs w:val="24"/>
              </w:rPr>
            </w:pPr>
            <w:r>
              <w:rPr>
                <w:rFonts w:ascii="Times New Roman" w:hAnsi="Times New Roman" w:eastAsia="仿宋" w:cs="Times New Roman"/>
                <w:dstrike/>
                <w:kern w:val="0"/>
                <w:sz w:val="24"/>
                <w:szCs w:val="24"/>
                <w:lang w:bidi="ar"/>
              </w:rPr>
              <w:t>花生期货车（船）板交割委托交易所办理结算的，应当</w:t>
            </w:r>
            <w:r>
              <w:rPr>
                <w:rFonts w:hint="eastAsia" w:ascii="Times New Roman" w:hAnsi="Times New Roman" w:eastAsia="仿宋" w:cs="Times New Roman"/>
                <w:b/>
                <w:bCs/>
                <w:kern w:val="0"/>
                <w:sz w:val="24"/>
                <w:szCs w:val="24"/>
                <w:u w:val="single"/>
                <w:lang w:bidi="ar"/>
              </w:rPr>
              <w:t>花生</w:t>
            </w:r>
            <w:r>
              <w:rPr>
                <w:rFonts w:ascii="Times New Roman" w:hAnsi="Times New Roman" w:eastAsia="仿宋" w:cs="Times New Roman"/>
                <w:kern w:val="0"/>
                <w:sz w:val="24"/>
                <w:szCs w:val="24"/>
                <w:lang w:bidi="ar"/>
              </w:rPr>
              <w:t>在交割服务机构</w:t>
            </w:r>
            <w:r>
              <w:rPr>
                <w:rFonts w:hint="eastAsia" w:ascii="Times New Roman" w:hAnsi="Times New Roman" w:eastAsia="仿宋" w:cs="Times New Roman"/>
                <w:b/>
                <w:bCs/>
                <w:kern w:val="0"/>
                <w:sz w:val="24"/>
                <w:szCs w:val="24"/>
                <w:u w:val="single"/>
                <w:lang w:bidi="ar"/>
              </w:rPr>
              <w:t>进行</w:t>
            </w:r>
            <w:r>
              <w:rPr>
                <w:rFonts w:ascii="Times New Roman" w:hAnsi="Times New Roman" w:eastAsia="仿宋" w:cs="Times New Roman"/>
                <w:kern w:val="0"/>
                <w:sz w:val="24"/>
                <w:szCs w:val="24"/>
                <w:lang w:bidi="ar"/>
              </w:rPr>
              <w:t>交割</w:t>
            </w:r>
            <w:r>
              <w:rPr>
                <w:rFonts w:hint="eastAsia" w:ascii="Times New Roman" w:hAnsi="Times New Roman" w:eastAsia="仿宋" w:cs="Times New Roman"/>
                <w:dstrike/>
                <w:kern w:val="0"/>
                <w:sz w:val="24"/>
                <w:szCs w:val="24"/>
                <w:lang w:bidi="ar"/>
              </w:rPr>
              <w:t>的</w:t>
            </w:r>
            <w:r>
              <w:rPr>
                <w:rFonts w:hint="eastAsia" w:ascii="Times New Roman" w:hAnsi="Times New Roman" w:eastAsia="仿宋" w:cs="Times New Roman"/>
                <w:kern w:val="0"/>
                <w:sz w:val="24"/>
                <w:szCs w:val="24"/>
                <w:lang w:bidi="ar"/>
              </w:rPr>
              <w:t>，</w:t>
            </w:r>
            <w:r>
              <w:rPr>
                <w:rFonts w:ascii="Times New Roman" w:hAnsi="Times New Roman" w:eastAsia="仿宋" w:cs="Times New Roman"/>
                <w:dstrike/>
                <w:kern w:val="0"/>
                <w:sz w:val="24"/>
                <w:szCs w:val="24"/>
                <w:lang w:bidi="ar"/>
              </w:rPr>
              <w:t>其中，</w:t>
            </w:r>
            <w:r>
              <w:rPr>
                <w:rFonts w:hint="eastAsia" w:ascii="Times New Roman" w:hAnsi="Times New Roman" w:eastAsia="仿宋" w:cs="Times New Roman"/>
                <w:b/>
                <w:bCs/>
                <w:kern w:val="0"/>
                <w:sz w:val="24"/>
                <w:szCs w:val="24"/>
                <w:u w:val="single"/>
                <w:lang w:bidi="ar"/>
              </w:rPr>
              <w:t>。</w:t>
            </w:r>
            <w:r>
              <w:rPr>
                <w:rFonts w:hint="eastAsia" w:ascii="Times New Roman" w:hAnsi="Times New Roman" w:eastAsia="仿宋" w:cs="Times New Roman"/>
                <w:dstrike/>
                <w:kern w:val="0"/>
                <w:sz w:val="24"/>
                <w:szCs w:val="24"/>
                <w:lang w:bidi="ar"/>
              </w:rPr>
              <w:t>且</w:t>
            </w:r>
            <w:r>
              <w:rPr>
                <w:rFonts w:ascii="Times New Roman" w:hAnsi="Times New Roman" w:eastAsia="仿宋" w:cs="Times New Roman"/>
                <w:kern w:val="0"/>
                <w:sz w:val="24"/>
                <w:szCs w:val="24"/>
                <w:lang w:bidi="ar"/>
              </w:rPr>
              <w:t>货物到达接受交割预报的交割服务机构的，自货物全部到达之日起2个工作日内，交割预报定金予以返还；部分到达的，自货物到达之日起2个工作日内，按实际到达量返还；未到达的，不予返还。</w:t>
            </w:r>
            <w:r>
              <w:rPr>
                <w:rFonts w:ascii="Times New Roman" w:hAnsi="Times New Roman" w:eastAsia="仿宋" w:cs="Times New Roman"/>
                <w:dstrike/>
                <w:kern w:val="0"/>
                <w:sz w:val="24"/>
                <w:szCs w:val="24"/>
                <w:lang w:bidi="ar"/>
              </w:rPr>
              <w:t>不委托交易所结算的，交割预报定金自双方签订《车（船）板交割协议书》之日起2个工作日内予以返还。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4" w:hRule="atLeast"/>
        </w:trPr>
        <w:tc>
          <w:tcPr>
            <w:tcW w:w="4175" w:type="dxa"/>
          </w:tcPr>
          <w:p>
            <w:pPr>
              <w:widowControl/>
              <w:ind w:firstLine="481" w:firstLineChars="200"/>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第四十</w:t>
            </w:r>
            <w:r>
              <w:rPr>
                <w:rFonts w:hint="eastAsia" w:ascii="Times New Roman" w:hAnsi="Times New Roman" w:eastAsia="仿宋" w:cs="Times New Roman"/>
                <w:b/>
                <w:kern w:val="0"/>
                <w:sz w:val="24"/>
                <w:szCs w:val="24"/>
              </w:rPr>
              <w:t>五</w:t>
            </w:r>
            <w:r>
              <w:rPr>
                <w:rFonts w:ascii="Times New Roman" w:hAnsi="Times New Roman" w:eastAsia="仿宋" w:cs="Times New Roman"/>
                <w:b/>
                <w:kern w:val="0"/>
                <w:sz w:val="24"/>
                <w:szCs w:val="24"/>
              </w:rPr>
              <w:t>条</w:t>
            </w:r>
          </w:p>
          <w:p>
            <w:pPr>
              <w:widowControl/>
              <w:ind w:firstLine="480" w:firstLineChars="200"/>
              <w:rPr>
                <w:rFonts w:ascii="Times New Roman" w:hAnsi="Times New Roman" w:eastAsia="仿宋" w:cs="Times New Roman"/>
                <w:kern w:val="0"/>
                <w:sz w:val="24"/>
                <w:szCs w:val="24"/>
              </w:rPr>
            </w:pPr>
            <w:r>
              <w:rPr>
                <w:rFonts w:ascii="Times New Roman" w:hAnsi="Times New Roman" w:eastAsia="仿宋" w:cs="Times New Roman"/>
                <w:kern w:val="0"/>
                <w:sz w:val="24"/>
                <w:szCs w:val="24"/>
                <w:lang w:bidi="ar"/>
              </w:rPr>
              <w:t>花生买卖双方应当在《车（船）板交割协议书》签订之日起（不含该日）3个日历日内与车（船）板交割服务机构签订《花生车（船）板货物交收三方协议书》，并按照协议书中约定时间进行货物交收。卖方未在约定时间前将货物运达交割服务机构或者买方未按时到场监收的，视为未按规定时间交收货物，新的交收时间由交割服务机构根据自身服务能力重新确定并通知买卖双方。当日交收量超过交割服务机构服务能力的，交割服务机构可以延后交收时间，并通知买卖双方。</w:t>
            </w:r>
          </w:p>
        </w:tc>
        <w:tc>
          <w:tcPr>
            <w:tcW w:w="4091" w:type="dxa"/>
          </w:tcPr>
          <w:p>
            <w:pPr>
              <w:widowControl/>
              <w:ind w:firstLine="481" w:firstLineChars="200"/>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第四十</w:t>
            </w:r>
            <w:r>
              <w:rPr>
                <w:rFonts w:hint="eastAsia" w:ascii="Times New Roman" w:hAnsi="Times New Roman" w:eastAsia="仿宋" w:cs="Times New Roman"/>
                <w:b/>
                <w:bCs/>
                <w:dstrike/>
                <w:kern w:val="0"/>
                <w:sz w:val="24"/>
                <w:szCs w:val="24"/>
                <w:lang w:bidi="ar"/>
              </w:rPr>
              <w:t>五</w:t>
            </w:r>
            <w:r>
              <w:rPr>
                <w:rFonts w:hint="eastAsia" w:ascii="Times New Roman" w:hAnsi="Times New Roman" w:eastAsia="仿宋" w:cs="Times New Roman"/>
                <w:b/>
                <w:bCs/>
                <w:kern w:val="0"/>
                <w:sz w:val="24"/>
                <w:szCs w:val="24"/>
                <w:u w:val="single"/>
                <w:lang w:bidi="ar"/>
              </w:rPr>
              <w:t>四</w:t>
            </w:r>
            <w:r>
              <w:rPr>
                <w:rFonts w:ascii="Times New Roman" w:hAnsi="Times New Roman" w:eastAsia="仿宋" w:cs="Times New Roman"/>
                <w:b/>
                <w:kern w:val="0"/>
                <w:sz w:val="24"/>
                <w:szCs w:val="24"/>
              </w:rPr>
              <w:t>条</w:t>
            </w:r>
          </w:p>
          <w:p>
            <w:pPr>
              <w:widowControl/>
              <w:ind w:firstLine="480" w:firstLineChars="200"/>
              <w:rPr>
                <w:rFonts w:ascii="Times New Roman" w:hAnsi="Times New Roman" w:eastAsia="仿宋" w:cs="Times New Roman"/>
                <w:b/>
                <w:kern w:val="0"/>
                <w:sz w:val="24"/>
                <w:szCs w:val="24"/>
                <w:u w:val="single"/>
              </w:rPr>
            </w:pPr>
            <w:r>
              <w:rPr>
                <w:rFonts w:ascii="Times New Roman" w:hAnsi="Times New Roman" w:eastAsia="仿宋" w:cs="Times New Roman"/>
                <w:dstrike/>
                <w:kern w:val="0"/>
                <w:sz w:val="24"/>
                <w:szCs w:val="24"/>
                <w:lang w:bidi="ar"/>
              </w:rPr>
              <w:t>花生买卖双方应当在《车（船）板交割协议书》签订之日起（不含该日）3个日历日内与车（船）板交割服务机构签订《花生车（船）板货物交收三方协议书》，并按照协议书中约定时间进行货物交收。</w:t>
            </w:r>
            <w:r>
              <w:rPr>
                <w:rFonts w:hint="eastAsia" w:ascii="Times New Roman" w:hAnsi="Times New Roman" w:eastAsia="仿宋" w:cs="Times New Roman"/>
                <w:b/>
                <w:bCs/>
                <w:kern w:val="0"/>
                <w:sz w:val="24"/>
                <w:szCs w:val="24"/>
                <w:u w:val="single"/>
                <w:lang w:bidi="ar"/>
              </w:rPr>
              <w:t>交割服务机构应当在第三交割日之后（不含该日）第1个日历日组织货物交收。买卖双方应当按照交割服务机构安排的时间进行货物交收。</w:t>
            </w:r>
            <w:r>
              <w:rPr>
                <w:rFonts w:ascii="Times New Roman" w:hAnsi="Times New Roman" w:eastAsia="仿宋" w:cs="Times New Roman"/>
                <w:kern w:val="0"/>
                <w:sz w:val="24"/>
                <w:szCs w:val="24"/>
                <w:lang w:bidi="ar"/>
              </w:rPr>
              <w:t>卖方未在约定时间前将货物运达交割服务机构或者买方未按时到场监收的，视为未按规定时间交收货物，新的交收时间由交割服务机构根据自身服务能力重新确定并通知买卖双方。当日交收量超过交割服务机构服务能力的，交割服务机构可以延后交收时间，并通知买卖双方。</w:t>
            </w:r>
            <w:r>
              <w:rPr>
                <w:rFonts w:hint="eastAsia" w:ascii="Times New Roman" w:hAnsi="Times New Roman" w:eastAsia="仿宋" w:cs="Times New Roman"/>
                <w:b/>
                <w:bCs/>
                <w:kern w:val="0"/>
                <w:sz w:val="24"/>
                <w:szCs w:val="24"/>
                <w:u w:val="single"/>
                <w:lang w:bidi="ar"/>
              </w:rPr>
              <w:t>交割服务机构的每日最大交割数量、每日最大服务客户数由交易所另行公布。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4175" w:type="dxa"/>
          </w:tcPr>
          <w:p>
            <w:pPr>
              <w:widowControl/>
              <w:ind w:firstLine="481" w:firstLineChars="200"/>
              <w:rPr>
                <w:rFonts w:ascii="Times New Roman" w:hAnsi="Times New Roman" w:eastAsia="仿宋" w:cs="Times New Roman"/>
                <w:b/>
                <w:bCs/>
                <w:kern w:val="0"/>
                <w:sz w:val="24"/>
                <w:szCs w:val="24"/>
                <w:lang w:bidi="ar"/>
              </w:rPr>
            </w:pPr>
          </w:p>
          <w:p>
            <w:pPr>
              <w:pStyle w:val="6"/>
              <w:rPr>
                <w:rFonts w:ascii="Times New Roman" w:hAnsi="Times New Roman" w:eastAsia="宋体" w:cs="Times New Roman"/>
                <w:kern w:val="0"/>
                <w:sz w:val="20"/>
                <w:szCs w:val="20"/>
              </w:rPr>
            </w:pPr>
          </w:p>
        </w:tc>
        <w:tc>
          <w:tcPr>
            <w:tcW w:w="4091" w:type="dxa"/>
          </w:tcPr>
          <w:p>
            <w:pPr>
              <w:widowControl/>
              <w:ind w:firstLine="481" w:firstLineChars="200"/>
              <w:rPr>
                <w:rFonts w:ascii="Times New Roman" w:hAnsi="Times New Roman" w:eastAsia="仿宋" w:cs="Times New Roman"/>
                <w:b/>
                <w:bCs/>
                <w:kern w:val="0"/>
                <w:sz w:val="24"/>
                <w:szCs w:val="24"/>
                <w:lang w:bidi="ar"/>
              </w:rPr>
            </w:pPr>
            <w:r>
              <w:rPr>
                <w:rFonts w:hint="eastAsia" w:ascii="Times New Roman" w:hAnsi="Times New Roman" w:eastAsia="仿宋" w:cs="Times New Roman"/>
                <w:b/>
                <w:bCs/>
                <w:kern w:val="0"/>
                <w:sz w:val="24"/>
                <w:szCs w:val="24"/>
                <w:u w:val="single"/>
                <w:lang w:bidi="ar"/>
              </w:rPr>
              <w:t>第五十一条</w:t>
            </w:r>
          </w:p>
          <w:p>
            <w:pPr>
              <w:widowControl/>
              <w:ind w:firstLine="481" w:firstLineChars="200"/>
              <w:rPr>
                <w:rFonts w:ascii="Times New Roman" w:hAnsi="Times New Roman" w:eastAsia="仿宋" w:cs="Times New Roman"/>
                <w:b/>
                <w:kern w:val="0"/>
                <w:sz w:val="24"/>
                <w:szCs w:val="24"/>
                <w:u w:val="single"/>
              </w:rPr>
            </w:pPr>
            <w:r>
              <w:rPr>
                <w:rFonts w:ascii="Times New Roman" w:hAnsi="Times New Roman" w:eastAsia="仿宋" w:cs="Times New Roman"/>
                <w:b/>
                <w:bCs/>
                <w:kern w:val="0"/>
                <w:sz w:val="24"/>
                <w:szCs w:val="24"/>
                <w:u w:val="single"/>
                <w:lang w:bidi="ar"/>
              </w:rPr>
              <w:t>花生买卖双方确认货物质量、重量后，在货</w:t>
            </w:r>
            <w:r>
              <w:rPr>
                <w:rFonts w:hint="eastAsia" w:ascii="Times New Roman" w:hAnsi="Times New Roman" w:eastAsia="仿宋" w:cs="Times New Roman"/>
                <w:b/>
                <w:bCs/>
                <w:kern w:val="0"/>
                <w:sz w:val="24"/>
                <w:szCs w:val="24"/>
                <w:u w:val="single"/>
                <w:lang w:bidi="ar"/>
              </w:rPr>
              <w:t>款</w:t>
            </w:r>
            <w:r>
              <w:rPr>
                <w:rFonts w:ascii="Times New Roman" w:hAnsi="Times New Roman" w:eastAsia="仿宋" w:cs="Times New Roman"/>
                <w:b/>
                <w:bCs/>
                <w:kern w:val="0"/>
                <w:sz w:val="24"/>
                <w:szCs w:val="24"/>
                <w:u w:val="single"/>
                <w:lang w:bidi="ar"/>
              </w:rPr>
              <w:t>划转时，通过会员服务系统选择货款结算方式。</w:t>
            </w:r>
          </w:p>
        </w:tc>
      </w:tr>
    </w:tbl>
    <w:p>
      <w:pPr>
        <w:ind w:right="800"/>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bookmarkStart w:id="0" w:name="_GoBack"/>
      <w:bookmarkEnd w:id="0"/>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fG0rr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beiKEsctDvzy88fl15/L7+9kmeXpA9SYdR8wLw3v/IBLM/sBnZn1oKLNX+RDMI7inq/iyiER&#10;kR+tV+t1hSGBsfmC+OzheYiQ3ktvSTYaGnF6RVR++ghpTJ1TcjXn77QxZYLG/eNAzOxhufexx2yl&#10;YT9MhPa+PSOfHgffUId7Ton54FDXvCOzEWdjPxvHEPWhK0uU60G4PSZsovSWK4ywU2GcWGE3bVde&#10;icf3kvXwR2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AoAAAAAAIdO4kAAAAAAAAAAAAAAAAAEAAAA&#10;AAAAAAAAEAAAABYAAABkcnMvUEsBAhQAFAAAAAgAh07iQPfG0rrIAQAAmQMAAA4AAAAAAAAAAQAg&#10;AAAANAEAAGRycy9lMm9Eb2MueG1sUEsBAhQAFAAAAAgAh07iQM6pebnPAAAABQEAAA8AAAAAAAAA&#10;AQAgAAAAOAAAAGRycy9kb3ducmV2LnhtbFBLBQYAAAAABgAGAFkBAABuBQAAAAA=&#10;">
          <v:path/>
          <v:fill on="f" focussize="0,0"/>
          <v:stroke on="f"/>
          <v:imagedata o:title=""/>
          <o:lock v:ext="edit" aspectratio="f"/>
          <v:textbox inset="0mm,0mm,0mm,0mm" style="mso-fit-shape-to-text:t;">
            <w:txbxContent>
              <w:p>
                <w:pPr>
                  <w:pStyle w:val="4"/>
                  <w:rPr>
                    <w:sz w:val="22"/>
                    <w:szCs w:val="22"/>
                  </w:rPr>
                </w:pPr>
                <w:r>
                  <w:rPr>
                    <w:sz w:val="22"/>
                    <w:szCs w:val="22"/>
                  </w:rP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r>
                  <w:rPr>
                    <w:sz w:val="22"/>
                    <w:szCs w:val="22"/>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FD7EC60"/>
    <w:rsid w:val="36AFAA25"/>
    <w:rsid w:val="3FF3551A"/>
    <w:rsid w:val="4BB79C80"/>
    <w:rsid w:val="57FDC763"/>
    <w:rsid w:val="5DFF3CD0"/>
    <w:rsid w:val="6EFF1ECD"/>
    <w:rsid w:val="6F6DEEC1"/>
    <w:rsid w:val="6FCF5C11"/>
    <w:rsid w:val="78031D0F"/>
    <w:rsid w:val="7B7B93D3"/>
    <w:rsid w:val="7BE3AA2D"/>
    <w:rsid w:val="7D67FF5E"/>
    <w:rsid w:val="7EFCCC74"/>
    <w:rsid w:val="7F4E8A0A"/>
    <w:rsid w:val="7F5AF2FC"/>
    <w:rsid w:val="7FDD3AC8"/>
    <w:rsid w:val="7FECCB79"/>
    <w:rsid w:val="A7EA3BCC"/>
    <w:rsid w:val="B5FFC9C3"/>
    <w:rsid w:val="BFBF61CC"/>
    <w:rsid w:val="CF3795BB"/>
    <w:rsid w:val="D73E23C3"/>
    <w:rsid w:val="E4FEB820"/>
    <w:rsid w:val="EFFAFE07"/>
    <w:rsid w:val="F67F0B96"/>
    <w:rsid w:val="FAF3D301"/>
    <w:rsid w:val="FB7D2AD9"/>
    <w:rsid w:val="FC7969D4"/>
    <w:rsid w:val="FF9FEBBB"/>
    <w:rsid w:val="FFFD35EC"/>
    <w:rsid w:val="FFFF13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883" w:firstLineChars="200"/>
    </w:pPr>
    <w:rPr>
      <w:rFonts w:ascii="Times New Roman" w:hAnsi="Times New Roman" w:eastAsia="仿宋"/>
      <w:sz w:val="32"/>
      <w:szCs w:val="24"/>
    </w:rPr>
  </w:style>
  <w:style w:type="paragraph" w:styleId="3">
    <w:name w:val="Date"/>
    <w:basedOn w:val="1"/>
    <w:next w:val="1"/>
    <w:link w:val="13"/>
    <w:qFormat/>
    <w:uiPriority w:val="0"/>
    <w:rPr>
      <w:rFonts w:ascii="仿宋_GB2312" w:eastAsia="仿宋_GB2312"/>
      <w:sz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unhideWhenUsed/>
    <w:qFormat/>
    <w:uiPriority w:val="0"/>
    <w:pPr>
      <w:spacing w:after="120" w:line="480" w:lineRule="auto"/>
    </w:p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customStyle="1" w:styleId="12">
    <w:name w:val="页脚 Char"/>
    <w:basedOn w:val="9"/>
    <w:link w:val="4"/>
    <w:qFormat/>
    <w:uiPriority w:val="0"/>
    <w:rPr>
      <w:rFonts w:ascii="Times New Roman" w:hAnsi="Times New Roman" w:eastAsia="宋体" w:cs="Times New Roman"/>
      <w:sz w:val="18"/>
      <w:szCs w:val="18"/>
    </w:rPr>
  </w:style>
  <w:style w:type="character" w:customStyle="1" w:styleId="13">
    <w:name w:val="日期 Char"/>
    <w:basedOn w:val="9"/>
    <w:link w:val="3"/>
    <w:qFormat/>
    <w:uiPriority w:val="0"/>
    <w:rPr>
      <w:rFonts w:ascii="仿宋_GB2312" w:hAnsi="Times New Roman" w:eastAsia="仿宋_GB2312" w:cs="Times New Roman"/>
      <w:sz w:val="32"/>
      <w:szCs w:val="24"/>
    </w:rPr>
  </w:style>
  <w:style w:type="character" w:customStyle="1" w:styleId="14">
    <w:name w:val="页眉 Char"/>
    <w:basedOn w:val="9"/>
    <w:link w:val="5"/>
    <w:qFormat/>
    <w:uiPriority w:val="99"/>
    <w:rPr>
      <w:rFonts w:ascii="Times New Roman" w:hAnsi="Times New Roman" w:eastAsia="宋体" w:cs="Times New Roman"/>
      <w:sz w:val="18"/>
      <w:szCs w:val="18"/>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71</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2019-09-16T22:10:00Z</dcterms:created>
  <dc:creator>CN=李小鹏/OU=办公室/O=CZCE</dc:creator>
  <cp:lastModifiedBy>王新宇</cp:lastModifiedBy>
  <dcterms:modified xsi:type="dcterms:W3CDTF">2025-10-31T11:27:05Z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6BCE835B6BC1197504CAFE683A863D62</vt:lpwstr>
  </property>
</Properties>
</file>