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修订说明</w:t>
      </w:r>
    </w:p>
    <w:p>
      <w:pPr>
        <w:ind w:firstLine="64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持续提升期货市场服务实体经济质效，推动期货标准不断贴近现货产业实际，促进品种功能发挥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，郑州商品交易所拟对</w:t>
      </w:r>
      <w:r>
        <w:rPr>
          <w:rFonts w:hint="eastAsia" w:ascii="Times New Roman" w:hAnsi="Times New Roman" w:eastAsia="仿宋" w:cs="仿宋"/>
          <w:bCs/>
          <w:sz w:val="32"/>
          <w:szCs w:val="32"/>
          <w:lang w:val="en-US" w:eastAsia="zh-CN"/>
        </w:rPr>
        <w:t>《郑州商品交易所锰硅期货业务细则》《郑州</w:t>
      </w:r>
      <w:bookmarkStart w:id="0" w:name="_GoBack"/>
      <w:bookmarkEnd w:id="0"/>
      <w:r>
        <w:rPr>
          <w:rFonts w:hint="eastAsia" w:ascii="Times New Roman" w:hAnsi="Times New Roman" w:eastAsia="仿宋" w:cs="仿宋"/>
          <w:bCs/>
          <w:sz w:val="32"/>
          <w:szCs w:val="32"/>
          <w:lang w:val="en-US" w:eastAsia="zh-CN"/>
        </w:rPr>
        <w:t>商品交易所硅铁期货业务细则》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作如下修订：</w:t>
      </w:r>
    </w:p>
    <w:p>
      <w:pPr>
        <w:ind w:firstLine="64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一是</w:t>
      </w:r>
      <w:r>
        <w:rPr>
          <w:rFonts w:hint="eastAsia" w:eastAsia="仿宋"/>
          <w:b w:val="0"/>
          <w:bCs w:val="0"/>
          <w:sz w:val="32"/>
          <w:lang w:val="en-US" w:eastAsia="zh-CN"/>
        </w:rPr>
        <w:t>优化</w:t>
      </w:r>
      <w:r>
        <w:rPr>
          <w:rFonts w:hint="eastAsia" w:ascii="仿宋" w:hAnsi="仿宋" w:eastAsia="仿宋" w:cs="Arial"/>
          <w:b w:val="0"/>
          <w:bCs w:val="0"/>
          <w:color w:val="212121"/>
          <w:kern w:val="0"/>
          <w:sz w:val="32"/>
          <w:szCs w:val="32"/>
          <w:lang w:val="en-US" w:eastAsia="zh-CN"/>
        </w:rPr>
        <w:t>锰硅、硅铁厂库交割交收流程，</w:t>
      </w:r>
      <w:r>
        <w:rPr>
          <w:rFonts w:hint="eastAsia" w:ascii="仿宋" w:hAnsi="仿宋" w:eastAsia="仿宋" w:cs="Arial"/>
          <w:color w:val="212121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厂库标准仓单的交货地点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确定方式改为厂库在注册仓单时选定有交割仓库的省级区域，提货人在该区域选定具体提货仓库。</w:t>
      </w:r>
    </w:p>
    <w:p>
      <w:pPr>
        <w:ind w:firstLine="640"/>
        <w:jc w:val="both"/>
        <w:rPr>
          <w:rFonts w:hint="eastAsia" w:eastAsia="仿宋"/>
          <w:b w:val="0"/>
          <w:bCs w:val="0"/>
          <w:sz w:val="32"/>
          <w:lang w:val="en-US" w:eastAsia="zh-CN"/>
        </w:rPr>
      </w:pPr>
      <w:r>
        <w:rPr>
          <w:rFonts w:hint="eastAsia" w:eastAsia="仿宋"/>
          <w:b w:val="0"/>
          <w:bCs w:val="0"/>
          <w:sz w:val="32"/>
          <w:lang w:val="en-US" w:eastAsia="zh-CN"/>
        </w:rPr>
        <w:t>二是优化锰硅、硅铁期货质检取样方式，在保留现有质检机构采样检验的基础上，增加由交割仓库负责粒度检验及元素检验样品采样的选项，仓单注册人可自行选择由质检机构或交割仓库实施。</w:t>
      </w:r>
    </w:p>
    <w:p>
      <w:pPr>
        <w:ind w:firstLine="640"/>
        <w:jc w:val="both"/>
        <w:rPr>
          <w:rFonts w:hint="eastAsia" w:eastAsia="仿宋"/>
          <w:b w:val="0"/>
          <w:bCs w:val="0"/>
          <w:sz w:val="32"/>
          <w:lang w:val="en-US" w:eastAsia="zh-CN"/>
        </w:rPr>
      </w:pPr>
      <w:r>
        <w:rPr>
          <w:rFonts w:hint="eastAsia" w:eastAsia="仿宋"/>
          <w:b w:val="0"/>
          <w:bCs w:val="0"/>
          <w:sz w:val="32"/>
          <w:lang w:val="en-US" w:eastAsia="zh-CN"/>
        </w:rPr>
        <w:t>三</w:t>
      </w:r>
      <w:r>
        <w:rPr>
          <w:rFonts w:hint="eastAsia" w:eastAsia="仿宋"/>
          <w:b w:val="0"/>
          <w:bCs w:val="0"/>
          <w:sz w:val="32"/>
        </w:rPr>
        <w:t>是</w:t>
      </w:r>
      <w:r>
        <w:rPr>
          <w:rFonts w:hint="eastAsia" w:eastAsia="仿宋"/>
          <w:b w:val="0"/>
          <w:bCs w:val="0"/>
          <w:sz w:val="32"/>
          <w:lang w:val="en-US" w:eastAsia="zh-CN"/>
        </w:rPr>
        <w:t>优化硅铁</w:t>
      </w:r>
      <w:r>
        <w:rPr>
          <w:rFonts w:hint="eastAsia" w:eastAsia="仿宋"/>
          <w:sz w:val="32"/>
          <w:lang w:val="en-US" w:eastAsia="zh-CN"/>
        </w:rPr>
        <w:t>期货出库复检筛下物粒度超标补偿方案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，加大不合格交割货物的补偿金额</w:t>
      </w:r>
      <w:r>
        <w:rPr>
          <w:rFonts w:hint="eastAsia" w:eastAsia="仿宋"/>
          <w:sz w:val="32"/>
          <w:lang w:eastAsia="zh-CN"/>
        </w:rPr>
        <w:t>。</w:t>
      </w:r>
    </w:p>
    <w:p>
      <w:pPr>
        <w:ind w:firstLine="64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"/>
          <w:b w:val="0"/>
          <w:bCs w:val="0"/>
          <w:sz w:val="32"/>
          <w:lang w:val="en-US" w:eastAsia="zh-CN"/>
        </w:rPr>
        <w:t>四</w:t>
      </w:r>
      <w:r>
        <w:rPr>
          <w:rFonts w:hint="eastAsia" w:eastAsia="仿宋"/>
          <w:b w:val="0"/>
          <w:bCs w:val="0"/>
          <w:sz w:val="32"/>
        </w:rPr>
        <w:t>是</w:t>
      </w:r>
      <w:r>
        <w:rPr>
          <w:rFonts w:hint="eastAsia" w:eastAsia="仿宋"/>
          <w:b w:val="0"/>
          <w:bCs w:val="0"/>
          <w:sz w:val="32"/>
          <w:lang w:eastAsia="zh-CN"/>
        </w:rPr>
        <w:t>更新</w:t>
      </w:r>
      <w:r>
        <w:rPr>
          <w:rFonts w:hint="eastAsia" w:eastAsia="仿宋"/>
          <w:b w:val="0"/>
          <w:bCs w:val="0"/>
          <w:sz w:val="32"/>
          <w:lang w:val="en-US" w:eastAsia="zh-CN"/>
        </w:rPr>
        <w:t>锰硅期货</w:t>
      </w:r>
      <w:r>
        <w:rPr>
          <w:rFonts w:hint="eastAsia" w:eastAsia="仿宋" w:cs="Times New Roman"/>
          <w:b w:val="0"/>
          <w:bCs w:val="0"/>
          <w:sz w:val="32"/>
          <w:lang w:val="en-US" w:eastAsia="zh-CN"/>
        </w:rPr>
        <w:t>基准交割品国标编号、规定牌号。</w:t>
      </w:r>
    </w:p>
    <w:p>
      <w:pPr>
        <w:snapToGrid w:val="0"/>
        <w:spacing w:line="560" w:lineRule="atLeas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MERGEFIELD 文件标题 </w:instrTex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3DFAFFAB"/>
    <w:rsid w:val="4BFE3C48"/>
    <w:rsid w:val="4BFF3CA7"/>
    <w:rsid w:val="6CBB0788"/>
    <w:rsid w:val="76FEDC0E"/>
    <w:rsid w:val="77FB7D6F"/>
    <w:rsid w:val="78031D0F"/>
    <w:rsid w:val="7CB73F15"/>
    <w:rsid w:val="7D7618F9"/>
    <w:rsid w:val="7DE30E6F"/>
    <w:rsid w:val="7EFEC7FA"/>
    <w:rsid w:val="7F7DED88"/>
    <w:rsid w:val="7FD38902"/>
    <w:rsid w:val="7FEE0838"/>
    <w:rsid w:val="8ED7B373"/>
    <w:rsid w:val="9FEA7341"/>
    <w:rsid w:val="B7FA8BFB"/>
    <w:rsid w:val="E9F7377E"/>
    <w:rsid w:val="EFB59C5E"/>
    <w:rsid w:val="EFD942C2"/>
    <w:rsid w:val="F3FB2306"/>
    <w:rsid w:val="FBB1F033"/>
    <w:rsid w:val="FCE8743C"/>
    <w:rsid w:val="FEF9E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2019-09-17T06:10:00Z</dcterms:created>
  <dc:creator>CN=李小鹏/OU=办公室/O=CZCE</dc:creator>
  <cp:lastModifiedBy>王新宇</cp:lastModifiedBy>
  <dcterms:modified xsi:type="dcterms:W3CDTF">2025-10-24T16:38:47Z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603842D87D8A6D146EF2F16872848E63</vt:lpwstr>
  </property>
</Properties>
</file>