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仿宋" w:hAnsi="仿宋" w:eastAsia="仿宋" w:cs="仿宋"/>
          <w:bCs/>
          <w:sz w:val="32"/>
          <w:szCs w:val="32"/>
          <w:lang w:val="en-US" w:eastAsia="zh-CN"/>
        </w:rPr>
      </w:pPr>
      <w:r>
        <w:rPr>
          <w:rFonts w:hint="eastAsia" w:ascii="黑体" w:hAnsi="黑体" w:eastAsia="黑体" w:cs="黑体"/>
          <w:b w:val="0"/>
          <w:bCs/>
          <w:sz w:val="32"/>
          <w:szCs w:val="32"/>
          <w:lang w:val="en-US" w:eastAsia="zh-CN"/>
        </w:rPr>
        <w:t>附件2</w:t>
      </w:r>
    </w:p>
    <w:p>
      <w:pPr>
        <w:kinsoku/>
        <w:wordWrap/>
        <w:overflowPunct w:val="0"/>
        <w:topLinePunct/>
        <w:autoSpaceDE/>
        <w:autoSpaceDN/>
        <w:spacing w:beforeLines="0" w:line="240" w:lineRule="auto"/>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郑州商品交易所</w:t>
      </w:r>
      <w:r>
        <w:rPr>
          <w:rFonts w:hint="eastAsia" w:eastAsia="方正小标宋简体" w:cs="Times New Roman"/>
          <w:sz w:val="44"/>
          <w:szCs w:val="44"/>
          <w:highlight w:val="none"/>
          <w:lang w:eastAsia="zh-CN"/>
        </w:rPr>
        <w:t>花生仁</w:t>
      </w:r>
      <w:r>
        <w:rPr>
          <w:rFonts w:hint="default" w:ascii="Times New Roman" w:hAnsi="Times New Roman" w:eastAsia="方正小标宋简体" w:cs="Times New Roman"/>
          <w:sz w:val="44"/>
          <w:szCs w:val="44"/>
          <w:highlight w:val="none"/>
        </w:rPr>
        <w:t>期货业务细则</w:t>
      </w:r>
    </w:p>
    <w:p>
      <w:pPr>
        <w:kinsoku/>
        <w:wordWrap/>
        <w:overflowPunct w:val="0"/>
        <w:topLinePunct/>
        <w:autoSpaceDE/>
        <w:autoSpaceDN/>
        <w:spacing w:beforeLines="0" w:line="240" w:lineRule="auto"/>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修订案（</w:t>
      </w:r>
      <w:r>
        <w:rPr>
          <w:rFonts w:hint="eastAsia" w:ascii="Times New Roman" w:hAnsi="Times New Roman" w:eastAsia="方正小标宋简体" w:cs="Times New Roman"/>
          <w:sz w:val="44"/>
          <w:szCs w:val="44"/>
          <w:highlight w:val="none"/>
          <w:lang w:eastAsia="zh-CN"/>
        </w:rPr>
        <w:t>征求意见稿</w:t>
      </w:r>
      <w:r>
        <w:rPr>
          <w:rFonts w:hint="default" w:ascii="Times New Roman" w:hAnsi="Times New Roman" w:eastAsia="方正小标宋简体" w:cs="Times New Roman"/>
          <w:sz w:val="44"/>
          <w:szCs w:val="44"/>
          <w:highlight w:val="none"/>
        </w:rPr>
        <w:t>）</w:t>
      </w:r>
    </w:p>
    <w:p>
      <w:pPr>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拟</w:t>
      </w:r>
      <w:r>
        <w:rPr>
          <w:rFonts w:ascii="Times New Roman" w:hAnsi="Times New Roman" w:eastAsia="仿宋" w:cs="Times New Roman"/>
          <w:bCs/>
          <w:sz w:val="32"/>
          <w:szCs w:val="32"/>
        </w:rPr>
        <w:t>对《郑州商品交易所花生仁期货业务细则》作如下修订：</w:t>
      </w:r>
    </w:p>
    <w:p>
      <w:pPr>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一、将第十四条修订为：</w:t>
      </w:r>
    </w:p>
    <w:p>
      <w:pPr>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“花生期货标准仓单为厂库标准仓单。</w:t>
      </w:r>
    </w:p>
    <w:p>
      <w:pPr>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“花生期货标准仓单为非通用标准仓单。”</w:t>
      </w:r>
    </w:p>
    <w:p>
      <w:pPr>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二、删除第十八条。</w:t>
      </w:r>
    </w:p>
    <w:p>
      <w:pPr>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三、在原第二十五条后新增一条</w:t>
      </w:r>
      <w:r>
        <w:rPr>
          <w:rFonts w:hint="eastAsia" w:eastAsia="仿宋" w:cs="Times New Roman"/>
          <w:bCs/>
          <w:sz w:val="32"/>
          <w:szCs w:val="32"/>
          <w:lang w:eastAsia="zh-CN"/>
        </w:rPr>
        <w:t>：</w:t>
      </w:r>
    </w:p>
    <w:p>
      <w:pPr>
        <w:pStyle w:val="2"/>
        <w:ind w:firstLine="640"/>
        <w:rPr>
          <w:rFonts w:cs="Times New Roman"/>
        </w:rPr>
      </w:pPr>
      <w:r>
        <w:rPr>
          <w:rFonts w:cs="Times New Roman"/>
        </w:rPr>
        <w:t>“</w:t>
      </w:r>
      <w:r>
        <w:rPr>
          <w:rFonts w:hint="eastAsia" w:cs="Times New Roman"/>
        </w:rPr>
        <w:t>水湿</w:t>
      </w:r>
      <w:r>
        <w:rPr>
          <w:rFonts w:cs="Times New Roman"/>
        </w:rPr>
        <w:t>花生不得</w:t>
      </w:r>
      <w:r>
        <w:rPr>
          <w:rFonts w:hint="eastAsia" w:cs="Times New Roman"/>
        </w:rPr>
        <w:t>参与</w:t>
      </w:r>
      <w:r>
        <w:rPr>
          <w:rFonts w:cs="Times New Roman"/>
        </w:rPr>
        <w:t>交割。”</w:t>
      </w:r>
    </w:p>
    <w:p>
      <w:pPr>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四、将第二十六条修订为：</w:t>
      </w:r>
    </w:p>
    <w:p>
      <w:pPr>
        <w:pStyle w:val="2"/>
        <w:widowControl/>
        <w:ind w:firstLine="640"/>
        <w:rPr>
          <w:rFonts w:cs="Times New Roman"/>
          <w:lang w:bidi="ar"/>
        </w:rPr>
      </w:pPr>
      <w:r>
        <w:rPr>
          <w:rFonts w:cs="Times New Roman"/>
        </w:rPr>
        <w:t>“</w:t>
      </w:r>
      <w:r>
        <w:rPr>
          <w:rFonts w:cs="Times New Roman"/>
          <w:lang w:bidi="ar"/>
        </w:rPr>
        <w:t>花生术语和定义、卫生要求及检验方法等按照《中华人民共和国国家标准 花生》（GB/T 1532-2008）、《中华人民共和国农业行业标准 油用花生》（NY/T 1068-2006）、《中华人民共和国国家标准 长圆孔、长方孔和圆孔筛板》（GB/T 12620-2008）及相关规范性引用文件执行。</w:t>
      </w:r>
      <w:r>
        <w:rPr>
          <w:rFonts w:hint="eastAsia" w:cs="Times New Roman"/>
          <w:lang w:bidi="ar"/>
        </w:rPr>
        <w:t>其中，水湿花生</w:t>
      </w:r>
      <w:r>
        <w:rPr>
          <w:rFonts w:hint="eastAsia" w:cs="Times New Roman"/>
          <w:bCs/>
          <w:szCs w:val="32"/>
        </w:rPr>
        <w:t>检验方法按照《水湿花生仁感官性状检验方法》（T/CGTA 10-2025）执行。</w:t>
      </w:r>
      <w:r>
        <w:rPr>
          <w:rFonts w:hint="eastAsia" w:cs="Times New Roman"/>
          <w:lang w:bidi="ar"/>
        </w:rPr>
        <w:t>”</w:t>
      </w:r>
    </w:p>
    <w:p>
      <w:pPr>
        <w:pStyle w:val="2"/>
        <w:widowControl/>
        <w:ind w:firstLine="640"/>
        <w:rPr>
          <w:rFonts w:cs="Times New Roman"/>
          <w:lang w:bidi="ar"/>
        </w:rPr>
      </w:pPr>
      <w:r>
        <w:rPr>
          <w:rFonts w:hint="eastAsia" w:cs="Times New Roman"/>
          <w:bCs/>
          <w:szCs w:val="32"/>
        </w:rPr>
        <w:t>五、删除第二十九条。</w:t>
      </w:r>
    </w:p>
    <w:p>
      <w:pPr>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六、将原第三十三条修订为：</w:t>
      </w:r>
    </w:p>
    <w:p>
      <w:pPr>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w:t>
      </w:r>
      <w:r>
        <w:rPr>
          <w:rFonts w:hint="eastAsia" w:ascii="Times New Roman" w:hAnsi="Times New Roman" w:eastAsia="仿宋" w:cs="Times New Roman"/>
          <w:bCs/>
          <w:sz w:val="32"/>
          <w:szCs w:val="32"/>
        </w:rPr>
        <w:t>厂库应当保证交割商品的质量符合交易所规定的交割标准，双方协商一致的除外。</w:t>
      </w:r>
    </w:p>
    <w:p>
      <w:pPr>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花生出库时，厂库向提货人提供符合交割标准的《产品质量证明书》，提货人可以到场查验货物质量，厂库应当予以配合。用于质量验收的样品应当由厂库和提货人双方按照国家相关标准及交易所有关规定共同扦取，就地分为二份，任选一份供买方使用；另一份由双方共同签字封样，由厂库保管，作为发生质量争议时的复检样品。”</w:t>
      </w:r>
    </w:p>
    <w:p>
      <w:pPr>
        <w:pStyle w:val="15"/>
        <w:numPr>
          <w:ilvl w:val="255"/>
          <w:numId w:val="0"/>
        </w:numPr>
        <w:ind w:left="640"/>
        <w:rPr>
          <w:rFonts w:ascii="Times New Roman" w:hAnsi="Times New Roman" w:eastAsia="仿宋" w:cs="Times New Roman"/>
          <w:bCs/>
          <w:sz w:val="32"/>
          <w:szCs w:val="32"/>
        </w:rPr>
      </w:pPr>
      <w:r>
        <w:rPr>
          <w:rFonts w:hint="eastAsia" w:ascii="Times New Roman" w:hAnsi="Times New Roman" w:eastAsia="仿宋" w:cs="Times New Roman"/>
          <w:bCs/>
          <w:sz w:val="32"/>
          <w:szCs w:val="32"/>
        </w:rPr>
        <w:t>七、</w:t>
      </w:r>
      <w:r>
        <w:rPr>
          <w:rFonts w:ascii="Times New Roman" w:hAnsi="Times New Roman" w:eastAsia="仿宋" w:cs="Times New Roman"/>
          <w:bCs/>
          <w:sz w:val="32"/>
          <w:szCs w:val="32"/>
        </w:rPr>
        <w:t>将</w:t>
      </w:r>
      <w:r>
        <w:rPr>
          <w:rFonts w:hint="eastAsia" w:ascii="Times New Roman" w:hAnsi="Times New Roman" w:eastAsia="仿宋" w:cs="Times New Roman"/>
          <w:bCs/>
          <w:sz w:val="32"/>
          <w:szCs w:val="32"/>
        </w:rPr>
        <w:t>原第四十三</w:t>
      </w:r>
      <w:r>
        <w:rPr>
          <w:rFonts w:ascii="Times New Roman" w:hAnsi="Times New Roman" w:eastAsia="仿宋" w:cs="Times New Roman"/>
          <w:bCs/>
          <w:sz w:val="32"/>
          <w:szCs w:val="32"/>
        </w:rPr>
        <w:t>条修订为：</w:t>
      </w:r>
    </w:p>
    <w:p>
      <w:pPr>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“第三交割日下午3</w:t>
      </w:r>
      <w:r>
        <w:rPr>
          <w:rFonts w:hint="eastAsia" w:ascii="Times New Roman" w:hAnsi="Times New Roman" w:eastAsia="仿宋" w:cs="Times New Roman"/>
          <w:bCs/>
          <w:sz w:val="32"/>
          <w:szCs w:val="32"/>
        </w:rPr>
        <w:t>时</w:t>
      </w:r>
      <w:r>
        <w:rPr>
          <w:rFonts w:ascii="Times New Roman" w:hAnsi="Times New Roman" w:eastAsia="仿宋" w:cs="Times New Roman"/>
          <w:bCs/>
          <w:sz w:val="32"/>
          <w:szCs w:val="32"/>
        </w:rPr>
        <w:t>前，花生买卖双方通过会员在会员服务系统确认《车（船）板交货事项确认单》，逾期未确认的，视为对确认单内容无异议。”</w:t>
      </w:r>
    </w:p>
    <w:p>
      <w:pPr>
        <w:pStyle w:val="15"/>
        <w:numPr>
          <w:ilvl w:val="255"/>
          <w:numId w:val="0"/>
        </w:numPr>
        <w:ind w:left="640"/>
        <w:rPr>
          <w:rFonts w:ascii="Times New Roman" w:hAnsi="Times New Roman" w:eastAsia="仿宋" w:cs="Times New Roman"/>
          <w:bCs/>
          <w:sz w:val="32"/>
          <w:szCs w:val="32"/>
        </w:rPr>
      </w:pPr>
      <w:r>
        <w:rPr>
          <w:rFonts w:hint="eastAsia" w:ascii="Times New Roman" w:hAnsi="Times New Roman" w:eastAsia="仿宋" w:cs="Times New Roman"/>
          <w:bCs/>
          <w:sz w:val="32"/>
          <w:szCs w:val="32"/>
        </w:rPr>
        <w:t>八、将原第四十四条修订为：</w:t>
      </w:r>
    </w:p>
    <w:p>
      <w:pPr>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w:t>
      </w:r>
      <w:r>
        <w:rPr>
          <w:rFonts w:hint="eastAsia" w:ascii="Times New Roman" w:hAnsi="Times New Roman" w:eastAsia="仿宋" w:cs="Times New Roman"/>
          <w:bCs/>
          <w:sz w:val="32"/>
          <w:szCs w:val="32"/>
        </w:rPr>
        <w:t>花生</w:t>
      </w:r>
      <w:r>
        <w:rPr>
          <w:rFonts w:ascii="Times New Roman" w:hAnsi="Times New Roman" w:eastAsia="仿宋" w:cs="Times New Roman"/>
          <w:bCs/>
          <w:sz w:val="32"/>
          <w:szCs w:val="32"/>
        </w:rPr>
        <w:t>在交割服务机构进行交割</w:t>
      </w:r>
      <w:r>
        <w:rPr>
          <w:rFonts w:hint="eastAsia" w:ascii="Times New Roman" w:hAnsi="Times New Roman" w:eastAsia="仿宋" w:cs="Times New Roman"/>
          <w:bCs/>
          <w:sz w:val="32"/>
          <w:szCs w:val="32"/>
        </w:rPr>
        <w:t>。</w:t>
      </w:r>
      <w:r>
        <w:rPr>
          <w:rFonts w:ascii="Times New Roman" w:hAnsi="Times New Roman" w:eastAsia="仿宋" w:cs="Times New Roman"/>
          <w:bCs/>
          <w:sz w:val="32"/>
          <w:szCs w:val="32"/>
        </w:rPr>
        <w:t>货物到达接受交割预报的交割服务机构的，自货物全部到达之日起2个工作日内，交割预报定金予以返还；部分到达的，自货物到达之日起2个工作日内，按实际到达量返还；未到达的，不予返还</w:t>
      </w:r>
      <w:r>
        <w:rPr>
          <w:rFonts w:hint="eastAsia" w:ascii="Times New Roman" w:hAnsi="Times New Roman" w:eastAsia="仿宋" w:cs="Times New Roman"/>
          <w:bCs/>
          <w:sz w:val="32"/>
          <w:szCs w:val="32"/>
        </w:rPr>
        <w:t>。</w:t>
      </w:r>
      <w:r>
        <w:rPr>
          <w:rFonts w:ascii="Times New Roman" w:hAnsi="Times New Roman" w:eastAsia="仿宋" w:cs="Times New Roman"/>
          <w:bCs/>
          <w:sz w:val="32"/>
          <w:szCs w:val="32"/>
        </w:rPr>
        <w:t>”</w:t>
      </w:r>
    </w:p>
    <w:p>
      <w:pPr>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九、将原第四十五条修订为：</w:t>
      </w:r>
    </w:p>
    <w:p>
      <w:pPr>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“交割服务机构应当在第三交割日之后（不含该日）</w:t>
      </w:r>
      <w:r>
        <w:rPr>
          <w:rFonts w:hint="eastAsia" w:ascii="Times New Roman" w:hAnsi="Times New Roman" w:eastAsia="仿宋" w:cs="Times New Roman"/>
          <w:bCs/>
          <w:sz w:val="32"/>
          <w:szCs w:val="32"/>
        </w:rPr>
        <w:t>第1</w:t>
      </w:r>
      <w:r>
        <w:rPr>
          <w:rFonts w:ascii="Times New Roman" w:hAnsi="Times New Roman" w:eastAsia="仿宋" w:cs="Times New Roman"/>
          <w:bCs/>
          <w:sz w:val="32"/>
          <w:szCs w:val="32"/>
        </w:rPr>
        <w:t>个日历日组织货物交收。买卖双方应当按照交割服务机构安排的时间进行货物交收。卖方未在约定时间前将货物运达交割服务机构或者买方未按时到场监收的，视为未按规定时间交收货物，新的交收时间由交割服务机构根据自身服务能力重新确定并通知买卖双方。当日交收量超过交割服务机构服务能力的，交割服务机构可以延后交收时间，并通知买卖双方。交割服务机构的每日最大交割数量、每日最大服务客户数由交易所另行公布</w:t>
      </w:r>
      <w:r>
        <w:rPr>
          <w:rFonts w:hint="eastAsia" w:ascii="Times New Roman" w:hAnsi="Times New Roman" w:eastAsia="仿宋" w:cs="Times New Roman"/>
          <w:bCs/>
          <w:sz w:val="32"/>
          <w:szCs w:val="32"/>
        </w:rPr>
        <w:t>。</w:t>
      </w:r>
      <w:r>
        <w:rPr>
          <w:rFonts w:ascii="Times New Roman" w:hAnsi="Times New Roman" w:eastAsia="仿宋" w:cs="Times New Roman"/>
          <w:bCs/>
          <w:sz w:val="32"/>
          <w:szCs w:val="32"/>
        </w:rPr>
        <w:t>”</w:t>
      </w:r>
    </w:p>
    <w:p>
      <w:pPr>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十、在原第五十一条后新增一条：</w:t>
      </w:r>
    </w:p>
    <w:p>
      <w:pPr>
        <w:ind w:firstLine="640" w:firstLineChars="200"/>
        <w:rPr>
          <w:rFonts w:ascii="仿宋" w:hAnsi="仿宋" w:eastAsia="仿宋"/>
          <w:sz w:val="32"/>
        </w:rPr>
      </w:pPr>
      <w:r>
        <w:rPr>
          <w:rFonts w:ascii="Times New Roman" w:hAnsi="Times New Roman" w:eastAsia="仿宋" w:cs="Times New Roman"/>
          <w:bCs/>
          <w:sz w:val="32"/>
          <w:szCs w:val="32"/>
        </w:rPr>
        <w:t>“花生买卖双方确认货物质量、重量后，在货款划转时，通过会员服务系统选择货款结算方式。”</w:t>
      </w:r>
      <w:bookmarkStart w:id="0" w:name="_GoBack"/>
      <w:bookmarkEnd w:id="0"/>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fG0rr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beiKEsctDvzy88fl15/L7+9kmeXpA9SYdR8wLw3v/IBLM/sBnZn1oKLNX+RDMI7inq/iyiER&#10;kR+tV+t1hSGBsfmC+OzheYiQ3ktvSTYaGnF6RVR++ghpTJ1TcjXn77QxZYLG/eNAzOxhufexx2yl&#10;YT9MhPa+PSOfHgffUId7Ton54FDXvCOzEWdjPxvHEPWhK0uU60G4PSZsovSWK4ywU2GcWGE3bVde&#10;icf3kvXwR23/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">
          <v:path/>
          <v:fill on="f" focussize="0,0"/>
          <v:stroke on="f"/>
          <v:imagedata o:title=""/>
          <o:lock v:ext="edit" aspectratio="f"/>
          <v:textbox inset="0mm,0mm,0mm,0mm" style="mso-fit-shape-to-text:t;">
            <w:txbxContent>
              <w:p>
                <w:pPr>
                  <w:pStyle w:val="4"/>
                  <w:rPr>
                    <w:sz w:val="22"/>
                    <w:szCs w:val="22"/>
                  </w:rPr>
                </w:pPr>
                <w:r>
                  <w:rPr>
                    <w:sz w:val="22"/>
                    <w:szCs w:val="22"/>
                  </w:rPr>
                  <w:t xml:space="preserve">— </w:t>
                </w:r>
                <w:r>
                  <w:rPr>
                    <w:sz w:val="22"/>
                    <w:szCs w:val="22"/>
                  </w:rPr>
                  <w:fldChar w:fldCharType="begin"/>
                </w:r>
                <w:r>
                  <w:rPr>
                    <w:sz w:val="22"/>
                    <w:szCs w:val="22"/>
                  </w:rPr>
                  <w:instrText xml:space="preserve"> PAGE  \* MERGEFORMAT </w:instrText>
                </w:r>
                <w:r>
                  <w:rPr>
                    <w:sz w:val="22"/>
                    <w:szCs w:val="22"/>
                  </w:rPr>
                  <w:fldChar w:fldCharType="separate"/>
                </w:r>
                <w:r>
                  <w:rPr>
                    <w:sz w:val="22"/>
                    <w:szCs w:val="22"/>
                  </w:rPr>
                  <w:t>1</w:t>
                </w:r>
                <w:r>
                  <w:rPr>
                    <w:sz w:val="22"/>
                    <w:szCs w:val="22"/>
                  </w:rPr>
                  <w:fldChar w:fldCharType="end"/>
                </w:r>
                <w:r>
                  <w:rPr>
                    <w:sz w:val="22"/>
                    <w:szCs w:val="22"/>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1FD7EC60"/>
    <w:rsid w:val="36AFAA25"/>
    <w:rsid w:val="3FF3551A"/>
    <w:rsid w:val="4BB79C80"/>
    <w:rsid w:val="57FDC763"/>
    <w:rsid w:val="5DFF3CD0"/>
    <w:rsid w:val="6EFF1ECD"/>
    <w:rsid w:val="6F6DEEC1"/>
    <w:rsid w:val="6FCF5C11"/>
    <w:rsid w:val="78031D0F"/>
    <w:rsid w:val="7B7B93D3"/>
    <w:rsid w:val="7BE3AA2D"/>
    <w:rsid w:val="7D67FF5E"/>
    <w:rsid w:val="7EFCCC74"/>
    <w:rsid w:val="7F4E8A0A"/>
    <w:rsid w:val="7F5AF2FC"/>
    <w:rsid w:val="7FDD3AC8"/>
    <w:rsid w:val="7FECCB79"/>
    <w:rsid w:val="A7EA3BCC"/>
    <w:rsid w:val="B5FFC9C3"/>
    <w:rsid w:val="BFBF61CC"/>
    <w:rsid w:val="CF3795BB"/>
    <w:rsid w:val="D0FF593B"/>
    <w:rsid w:val="D73E23C3"/>
    <w:rsid w:val="E4FEB820"/>
    <w:rsid w:val="EFFAFE07"/>
    <w:rsid w:val="F67F0B96"/>
    <w:rsid w:val="FAF3D301"/>
    <w:rsid w:val="FC7969D4"/>
    <w:rsid w:val="FF9FEBBB"/>
    <w:rsid w:val="FFFD35EC"/>
    <w:rsid w:val="FFFF13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ind w:firstLine="883" w:firstLineChars="200"/>
    </w:pPr>
    <w:rPr>
      <w:rFonts w:ascii="Times New Roman" w:hAnsi="Times New Roman" w:eastAsia="仿宋"/>
      <w:sz w:val="32"/>
      <w:szCs w:val="24"/>
    </w:rPr>
  </w:style>
  <w:style w:type="paragraph" w:styleId="3">
    <w:name w:val="Date"/>
    <w:basedOn w:val="1"/>
    <w:next w:val="1"/>
    <w:link w:val="13"/>
    <w:qFormat/>
    <w:uiPriority w:val="0"/>
    <w:rPr>
      <w:rFonts w:ascii="仿宋_GB2312" w:eastAsia="仿宋_GB2312"/>
      <w:sz w:val="32"/>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2"/>
    <w:basedOn w:val="1"/>
    <w:unhideWhenUsed/>
    <w:qFormat/>
    <w:uiPriority w:val="0"/>
    <w:pPr>
      <w:spacing w:after="120" w:line="480" w:lineRule="auto"/>
    </w:pPr>
  </w:style>
  <w:style w:type="table" w:styleId="8">
    <w:name w:val="Table Grid"/>
    <w:basedOn w:val="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basedOn w:val="9"/>
    <w:qFormat/>
    <w:uiPriority w:val="0"/>
    <w:rPr>
      <w:color w:val="0000FF"/>
      <w:u w:val="single"/>
    </w:rPr>
  </w:style>
  <w:style w:type="character" w:customStyle="1" w:styleId="12">
    <w:name w:val="页脚 Char"/>
    <w:basedOn w:val="9"/>
    <w:link w:val="4"/>
    <w:qFormat/>
    <w:uiPriority w:val="0"/>
    <w:rPr>
      <w:rFonts w:ascii="Times New Roman" w:hAnsi="Times New Roman" w:eastAsia="宋体" w:cs="Times New Roman"/>
      <w:sz w:val="18"/>
      <w:szCs w:val="18"/>
    </w:rPr>
  </w:style>
  <w:style w:type="character" w:customStyle="1" w:styleId="13">
    <w:name w:val="日期 Char"/>
    <w:basedOn w:val="9"/>
    <w:link w:val="3"/>
    <w:qFormat/>
    <w:uiPriority w:val="0"/>
    <w:rPr>
      <w:rFonts w:ascii="仿宋_GB2312" w:hAnsi="Times New Roman" w:eastAsia="仿宋_GB2312" w:cs="Times New Roman"/>
      <w:sz w:val="32"/>
      <w:szCs w:val="24"/>
    </w:rPr>
  </w:style>
  <w:style w:type="character" w:customStyle="1" w:styleId="14">
    <w:name w:val="页眉 Char"/>
    <w:basedOn w:val="9"/>
    <w:link w:val="5"/>
    <w:qFormat/>
    <w:uiPriority w:val="99"/>
    <w:rPr>
      <w:rFonts w:ascii="Times New Roman" w:hAnsi="Times New Roman" w:eastAsia="宋体" w:cs="Times New Roman"/>
      <w:sz w:val="18"/>
      <w:szCs w:val="18"/>
    </w:rPr>
  </w:style>
  <w:style w:type="paragraph" w:styleId="1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43</Words>
  <Characters>246</Characters>
  <Lines>2</Lines>
  <Paragraphs>1</Paragraphs>
  <TotalTime>71</TotalTime>
  <ScaleCrop>false</ScaleCrop>
  <LinksUpToDate>false</LinksUpToDate>
  <CharactersWithSpaces>288</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2019-09-16T22:10:00Z</dcterms:created>
  <dc:creator>CN=李小鹏/OU=办公室/O=CZCE</dc:creator>
  <cp:lastModifiedBy>王新宇</cp:lastModifiedBy>
  <dcterms:modified xsi:type="dcterms:W3CDTF">2025-10-31T11:26:29Z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6BCE835B6BC1197504CAFE683A863D62</vt:lpwstr>
  </property>
</Properties>
</file>