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Times New Roman"/>
          <w:sz w:val="44"/>
          <w:szCs w:val="44"/>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pPr>
        <w:spacing w:before="0" w:beforeLines="0" w:after="0" w:afterLine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关于制定《红枣</w:t>
      </w:r>
      <w:r>
        <w:rPr>
          <w:rFonts w:hint="eastAsia" w:ascii="方正小标宋简体" w:hAnsi="方正小标宋简体" w:eastAsia="方正小标宋简体" w:cs="方正小标宋简体"/>
          <w:b w:val="0"/>
          <w:bCs/>
          <w:sz w:val="44"/>
          <w:szCs w:val="44"/>
          <w:lang w:val="en-US" w:eastAsia="zh-CN"/>
        </w:rPr>
        <w:t>期货车（船）板交收指引</w:t>
      </w:r>
    </w:p>
    <w:p>
      <w:pPr>
        <w:spacing w:before="0" w:beforeLines="0" w:after="0" w:afterLine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（草案）</w:t>
      </w:r>
      <w:r>
        <w:rPr>
          <w:rFonts w:hint="eastAsia" w:ascii="方正小标宋简体" w:hAnsi="方正小标宋简体" w:eastAsia="方正小标宋简体" w:cs="方正小标宋简体"/>
          <w:color w:val="auto"/>
          <w:sz w:val="44"/>
          <w:szCs w:val="44"/>
          <w:lang w:val="en-US" w:eastAsia="zh-CN"/>
        </w:rPr>
        <w:t>》的说明</w:t>
      </w:r>
    </w:p>
    <w:p>
      <w:pPr>
        <w:spacing w:before="0" w:beforeLines="0" w:after="0" w:afterLines="0"/>
        <w:ind w:firstLine="640" w:firstLineChars="200"/>
        <w:jc w:val="both"/>
        <w:rPr>
          <w:rFonts w:hint="eastAsia" w:ascii="仿宋" w:hAnsi="仿宋" w:eastAsia="仿宋"/>
          <w:color w:val="auto"/>
          <w:sz w:val="32"/>
          <w:szCs w:val="32"/>
          <w:lang w:val="en-US" w:eastAsia="zh-CN"/>
        </w:rPr>
      </w:pPr>
      <w:r>
        <w:rPr>
          <w:rFonts w:hint="eastAsia" w:eastAsia="仿宋" w:cs="Times New Roman"/>
          <w:color w:val="auto"/>
          <w:sz w:val="32"/>
          <w:szCs w:val="32"/>
          <w:lang w:val="en-US" w:eastAsia="zh-CN"/>
        </w:rPr>
        <w:t>为了适应新的市场变化，更大程度便利产业客户参与，</w:t>
      </w:r>
      <w:r>
        <w:rPr>
          <w:rFonts w:hint="default" w:ascii="Times New Roman" w:hAnsi="Times New Roman" w:eastAsia="仿宋"/>
          <w:sz w:val="32"/>
          <w:szCs w:val="32"/>
        </w:rPr>
        <w:t>根据《郑州商品交易所期货交割</w:t>
      </w:r>
      <w:r>
        <w:rPr>
          <w:rFonts w:hint="eastAsia" w:ascii="Times New Roman" w:hAnsi="Times New Roman" w:eastAsia="仿宋"/>
          <w:sz w:val="32"/>
          <w:szCs w:val="32"/>
          <w:lang w:eastAsia="zh-CN"/>
        </w:rPr>
        <w:t>管理办法</w:t>
      </w:r>
      <w:r>
        <w:rPr>
          <w:rFonts w:hint="default" w:ascii="Times New Roman" w:hAnsi="Times New Roman" w:eastAsia="仿宋"/>
          <w:sz w:val="32"/>
          <w:szCs w:val="32"/>
        </w:rPr>
        <w:t>》</w:t>
      </w:r>
      <w:r>
        <w:rPr>
          <w:rFonts w:hint="default" w:ascii="Times New Roman" w:hAnsi="Times New Roman" w:eastAsia="仿宋" w:cs="Times New Roman"/>
          <w:b w:val="0"/>
          <w:bCs/>
          <w:sz w:val="32"/>
          <w:szCs w:val="32"/>
          <w:lang w:val="en-US" w:eastAsia="zh-CN"/>
        </w:rPr>
        <w:t>《</w:t>
      </w:r>
      <w:r>
        <w:rPr>
          <w:rFonts w:hint="default" w:ascii="Times New Roman" w:hAnsi="Times New Roman" w:eastAsia="仿宋"/>
          <w:sz w:val="32"/>
          <w:szCs w:val="32"/>
        </w:rPr>
        <w:t>郑州商品交易所</w:t>
      </w:r>
      <w:r>
        <w:rPr>
          <w:rFonts w:hint="eastAsia" w:ascii="Times New Roman" w:hAnsi="Times New Roman" w:eastAsia="仿宋"/>
          <w:sz w:val="32"/>
          <w:szCs w:val="32"/>
          <w:lang w:eastAsia="zh-CN"/>
        </w:rPr>
        <w:t>干制</w:t>
      </w:r>
      <w:r>
        <w:rPr>
          <w:rFonts w:hint="eastAsia" w:ascii="Times New Roman" w:hAnsi="Times New Roman" w:eastAsia="仿宋" w:cs="Times New Roman"/>
          <w:b w:val="0"/>
          <w:bCs/>
          <w:sz w:val="32"/>
          <w:szCs w:val="32"/>
          <w:lang w:val="en-US" w:eastAsia="zh-CN"/>
        </w:rPr>
        <w:t>红枣</w:t>
      </w:r>
      <w:r>
        <w:rPr>
          <w:rFonts w:hint="default" w:ascii="Times New Roman" w:hAnsi="Times New Roman" w:eastAsia="仿宋" w:cs="Times New Roman"/>
          <w:b w:val="0"/>
          <w:bCs/>
          <w:sz w:val="32"/>
          <w:szCs w:val="32"/>
          <w:lang w:val="en-US" w:eastAsia="zh-CN"/>
        </w:rPr>
        <w:t>期货业务细则》</w:t>
      </w:r>
      <w:r>
        <w:rPr>
          <w:rFonts w:hint="eastAsia" w:eastAsia="仿宋" w:cs="Times New Roman"/>
          <w:b w:val="0"/>
          <w:bCs/>
          <w:sz w:val="32"/>
          <w:szCs w:val="32"/>
          <w:lang w:val="en-US" w:eastAsia="zh-CN"/>
        </w:rPr>
        <w:t>（以下简称《红枣细则》）</w:t>
      </w:r>
      <w:r>
        <w:rPr>
          <w:rFonts w:hint="default" w:ascii="Times New Roman" w:hAnsi="Times New Roman" w:eastAsia="仿宋"/>
          <w:sz w:val="32"/>
          <w:szCs w:val="32"/>
        </w:rPr>
        <w:t>等有关规定</w:t>
      </w:r>
      <w:r>
        <w:rPr>
          <w:rFonts w:hint="eastAsia" w:eastAsia="仿宋"/>
          <w:sz w:val="32"/>
          <w:szCs w:val="32"/>
          <w:lang w:eastAsia="zh-CN"/>
        </w:rPr>
        <w:t>，郑州商品交易所（以下简称交易所）</w:t>
      </w:r>
      <w:r>
        <w:rPr>
          <w:rFonts w:hint="default" w:ascii="Times New Roman" w:hAnsi="Times New Roman" w:eastAsia="仿宋" w:cs="Times New Roman"/>
          <w:b w:val="0"/>
          <w:bCs/>
          <w:sz w:val="32"/>
          <w:szCs w:val="32"/>
          <w:lang w:val="en-US" w:eastAsia="zh-CN"/>
        </w:rPr>
        <w:t>起草了《郑州商品交易所</w:t>
      </w:r>
      <w:r>
        <w:rPr>
          <w:rFonts w:hint="eastAsia" w:eastAsia="仿宋" w:cs="Times New Roman"/>
          <w:b w:val="0"/>
          <w:bCs/>
          <w:sz w:val="32"/>
          <w:szCs w:val="32"/>
          <w:lang w:val="en-US" w:eastAsia="zh-CN"/>
        </w:rPr>
        <w:t>红枣期货车（船）板交收指引</w:t>
      </w:r>
      <w:r>
        <w:rPr>
          <w:rFonts w:hint="default" w:ascii="Times New Roman" w:hAnsi="Times New Roman" w:eastAsia="仿宋" w:cs="Times New Roman"/>
          <w:b w:val="0"/>
          <w:bCs/>
          <w:sz w:val="32"/>
          <w:szCs w:val="32"/>
          <w:lang w:val="en-US" w:eastAsia="zh-CN"/>
        </w:rPr>
        <w:t>（</w:t>
      </w:r>
      <w:r>
        <w:rPr>
          <w:rFonts w:hint="eastAsia" w:eastAsia="仿宋" w:cs="Times New Roman"/>
          <w:b w:val="0"/>
          <w:bCs/>
          <w:sz w:val="32"/>
          <w:szCs w:val="32"/>
          <w:lang w:val="en-US" w:eastAsia="zh-CN"/>
        </w:rPr>
        <w:t>征求意见稿</w:t>
      </w:r>
      <w:r>
        <w:rPr>
          <w:rFonts w:hint="default" w:ascii="Times New Roman" w:hAnsi="Times New Roman" w:eastAsia="仿宋" w:cs="Times New Roman"/>
          <w:b w:val="0"/>
          <w:bCs/>
          <w:sz w:val="32"/>
          <w:szCs w:val="32"/>
          <w:lang w:val="en-US" w:eastAsia="zh-CN"/>
        </w:rPr>
        <w:t>）》</w:t>
      </w:r>
      <w:r>
        <w:rPr>
          <w:rFonts w:hint="default" w:ascii="Times New Roman" w:hAnsi="Times New Roman" w:eastAsia="仿宋"/>
          <w:color w:val="auto"/>
          <w:sz w:val="32"/>
          <w:szCs w:val="32"/>
          <w:lang w:val="en-US" w:eastAsia="zh-CN"/>
        </w:rPr>
        <w:t>（以下简称《</w:t>
      </w:r>
      <w:r>
        <w:rPr>
          <w:rFonts w:hint="eastAsia" w:eastAsia="仿宋"/>
          <w:color w:val="auto"/>
          <w:sz w:val="32"/>
          <w:szCs w:val="32"/>
          <w:lang w:val="en-US" w:eastAsia="zh-CN"/>
        </w:rPr>
        <w:t>车板交收指引</w:t>
      </w:r>
      <w:r>
        <w:rPr>
          <w:rFonts w:hint="default" w:ascii="Times New Roman" w:hAnsi="Times New Roman" w:eastAsia="仿宋"/>
          <w:color w:val="auto"/>
          <w:sz w:val="32"/>
          <w:szCs w:val="32"/>
          <w:lang w:val="en-US" w:eastAsia="zh-CN"/>
        </w:rPr>
        <w:t>》）</w:t>
      </w:r>
      <w:r>
        <w:rPr>
          <w:rFonts w:hint="eastAsia" w:ascii="仿宋" w:hAnsi="仿宋" w:eastAsia="仿宋"/>
          <w:color w:val="auto"/>
          <w:sz w:val="32"/>
          <w:szCs w:val="32"/>
          <w:lang w:val="en-US" w:eastAsia="zh-CN"/>
        </w:rPr>
        <w:t>。现将有关情况说明如下。</w:t>
      </w:r>
    </w:p>
    <w:p>
      <w:pPr>
        <w:keepNext w:val="0"/>
        <w:keepLines w:val="0"/>
        <w:pageBreakBefore w:val="0"/>
        <w:widowControl/>
        <w:numPr>
          <w:ilvl w:val="0"/>
          <w:numId w:val="1"/>
        </w:numPr>
        <w:kinsoku/>
        <w:wordWrap/>
        <w:overflowPunct/>
        <w:topLinePunct w:val="0"/>
        <w:autoSpaceDE/>
        <w:autoSpaceDN/>
        <w:bidi w:val="0"/>
        <w:adjustRightInd/>
        <w:snapToGrid/>
        <w:spacing w:beforeLines="0" w:afterLines="0"/>
        <w:ind w:firstLine="640" w:firstLineChars="200"/>
        <w:jc w:val="left"/>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制定背景</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640" w:firstLineChars="200"/>
        <w:jc w:val="left"/>
        <w:textAlignment w:val="auto"/>
        <w:outlineLvl w:val="0"/>
        <w:rPr>
          <w:rFonts w:hint="eastAsia"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近年来，</w:t>
      </w:r>
      <w:r>
        <w:rPr>
          <w:rFonts w:hint="eastAsia" w:ascii="Times New Roman" w:hAnsi="Times New Roman" w:eastAsia="仿宋" w:cs="Times New Roman"/>
          <w:b w:val="0"/>
          <w:bCs/>
          <w:sz w:val="32"/>
          <w:szCs w:val="32"/>
          <w:lang w:val="en-US" w:eastAsia="zh-CN"/>
        </w:rPr>
        <w:t>红枣</w:t>
      </w:r>
      <w:r>
        <w:rPr>
          <w:rFonts w:hint="default" w:ascii="Times New Roman" w:hAnsi="Times New Roman" w:eastAsia="仿宋" w:cs="Times New Roman"/>
          <w:b w:val="0"/>
          <w:bCs/>
          <w:sz w:val="32"/>
          <w:szCs w:val="32"/>
          <w:lang w:val="en-US" w:eastAsia="zh-CN"/>
        </w:rPr>
        <w:t>期现货市场快速发展，</w:t>
      </w:r>
      <w:r>
        <w:rPr>
          <w:rFonts w:hint="eastAsia" w:eastAsia="仿宋" w:cs="Times New Roman"/>
          <w:sz w:val="32"/>
          <w:szCs w:val="32"/>
          <w:lang w:eastAsia="zh-CN"/>
        </w:rPr>
        <w:t>呈现</w:t>
      </w:r>
      <w:r>
        <w:rPr>
          <w:rFonts w:hint="default" w:ascii="Times New Roman" w:hAnsi="Times New Roman" w:eastAsia="仿宋" w:cs="Times New Roman"/>
          <w:sz w:val="32"/>
          <w:szCs w:val="32"/>
          <w:lang w:eastAsia="zh-CN"/>
        </w:rPr>
        <w:t>一些新形势、新情况</w:t>
      </w:r>
      <w:r>
        <w:rPr>
          <w:rFonts w:hint="eastAsia" w:eastAsia="仿宋" w:cs="Times New Roman"/>
          <w:sz w:val="32"/>
          <w:szCs w:val="32"/>
          <w:lang w:eastAsia="zh-CN"/>
        </w:rPr>
        <w:t>、新变化，为</w:t>
      </w:r>
      <w:r>
        <w:rPr>
          <w:rFonts w:hint="default" w:ascii="Times New Roman" w:hAnsi="Times New Roman" w:eastAsia="仿宋" w:cs="Times New Roman"/>
          <w:sz w:val="32"/>
          <w:szCs w:val="32"/>
          <w:lang w:eastAsia="zh-CN"/>
        </w:rPr>
        <w:t>推动期货标准不断贴近现货产业实际，促进品种功能发挥</w:t>
      </w:r>
      <w:r>
        <w:rPr>
          <w:rFonts w:hint="eastAsia" w:eastAsia="仿宋" w:cs="Times New Roman"/>
          <w:sz w:val="32"/>
          <w:szCs w:val="32"/>
          <w:lang w:eastAsia="zh-CN"/>
        </w:rPr>
        <w:t>，交易所修订了</w:t>
      </w:r>
      <w:r>
        <w:rPr>
          <w:rFonts w:hint="eastAsia" w:eastAsia="仿宋" w:cs="Times New Roman"/>
          <w:b w:val="0"/>
          <w:bCs/>
          <w:sz w:val="32"/>
          <w:szCs w:val="32"/>
          <w:lang w:val="en-US" w:eastAsia="zh-CN"/>
        </w:rPr>
        <w:t>《红枣细则》。为细化相关制度安排，便于产业客户、交割服务机构、会员等理解、操作，结合新规定、新要求及实践经验，按照“明确交割参与主体的权利义务、强化交割服务机构及会员责任、细化交割流程、便于参与各方理解执行”的思路，交易所制定了《车板交收指引》，指引市场主体做好交割的各项准备工作，推动红枣期货交割向高效、高质开展迈进。</w:t>
      </w:r>
    </w:p>
    <w:p>
      <w:pPr>
        <w:widowControl/>
        <w:numPr>
          <w:ilvl w:val="0"/>
          <w:numId w:val="1"/>
        </w:numPr>
        <w:spacing w:before="0" w:beforeLines="0" w:after="0" w:afterLines="0"/>
        <w:ind w:firstLine="640" w:firstLineChars="200"/>
        <w:jc w:val="left"/>
        <w:outlineLvl w:val="0"/>
        <w:rPr>
          <w:rFonts w:hint="eastAsia" w:ascii="黑体" w:hAnsi="黑体" w:eastAsia="黑体" w:cs="黑体"/>
          <w:b w:val="0"/>
          <w:color w:val="auto"/>
          <w:sz w:val="32"/>
          <w:szCs w:val="32"/>
          <w:lang w:val="en-US" w:eastAsia="zh-CN"/>
        </w:rPr>
      </w:pPr>
      <w:r>
        <w:rPr>
          <w:rFonts w:hint="eastAsia" w:ascii="黑体" w:hAnsi="黑体" w:eastAsia="黑体" w:cs="黑体"/>
          <w:b w:val="0"/>
          <w:color w:val="auto"/>
          <w:sz w:val="32"/>
          <w:szCs w:val="32"/>
          <w:lang w:val="en-US" w:eastAsia="zh-CN"/>
        </w:rPr>
        <w:t>主要制定内容</w:t>
      </w:r>
    </w:p>
    <w:p>
      <w:pPr>
        <w:widowControl/>
        <w:numPr>
          <w:ilvl w:val="0"/>
          <w:numId w:val="0"/>
        </w:numPr>
        <w:spacing w:before="0" w:beforeLines="0" w:after="0" w:afterLines="0"/>
        <w:ind w:firstLine="640" w:firstLineChars="200"/>
        <w:jc w:val="left"/>
        <w:outlineLvl w:val="0"/>
        <w:rPr>
          <w:rFonts w:hint="eastAsia" w:eastAsia="仿宋" w:cs="Times New Roman"/>
          <w:b w:val="0"/>
          <w:bCs/>
          <w:sz w:val="32"/>
          <w:szCs w:val="32"/>
          <w:lang w:val="en-US" w:eastAsia="zh-CN"/>
        </w:rPr>
      </w:pPr>
      <w:r>
        <w:rPr>
          <w:rFonts w:hint="eastAsia" w:eastAsia="仿宋" w:cs="Times New Roman"/>
          <w:b w:val="0"/>
          <w:bCs/>
          <w:sz w:val="32"/>
          <w:szCs w:val="32"/>
          <w:lang w:val="en-US" w:eastAsia="zh-CN"/>
        </w:rPr>
        <w:t>《车板交收指引》分六个章节，分别为</w:t>
      </w:r>
      <w:r>
        <w:rPr>
          <w:rFonts w:hint="default" w:ascii="Times New Roman" w:hAnsi="Times New Roman" w:eastAsia="仿宋" w:cs="Times New Roman"/>
          <w:b w:val="0"/>
          <w:bCs/>
          <w:sz w:val="32"/>
          <w:szCs w:val="32"/>
          <w:lang w:val="en-US" w:eastAsia="zh-CN"/>
        </w:rPr>
        <w:t>总则、交割服务机构、</w:t>
      </w:r>
      <w:r>
        <w:rPr>
          <w:rFonts w:hint="eastAsia" w:eastAsia="仿宋" w:cs="Times New Roman"/>
          <w:b w:val="0"/>
          <w:bCs/>
          <w:sz w:val="32"/>
          <w:szCs w:val="32"/>
          <w:lang w:val="en-US" w:eastAsia="zh-CN"/>
        </w:rPr>
        <w:t>交收流程</w:t>
      </w:r>
      <w:r>
        <w:rPr>
          <w:rFonts w:hint="default" w:ascii="Times New Roman" w:hAnsi="Times New Roman" w:eastAsia="仿宋" w:cs="Times New Roman"/>
          <w:b w:val="0"/>
          <w:bCs/>
          <w:sz w:val="32"/>
          <w:szCs w:val="32"/>
          <w:lang w:val="en-US" w:eastAsia="zh-CN"/>
        </w:rPr>
        <w:t>、复检</w:t>
      </w:r>
      <w:r>
        <w:rPr>
          <w:rFonts w:hint="eastAsia" w:eastAsia="仿宋" w:cs="Times New Roman"/>
          <w:b w:val="0"/>
          <w:bCs/>
          <w:sz w:val="32"/>
          <w:szCs w:val="32"/>
          <w:lang w:val="en-US" w:eastAsia="zh-CN"/>
        </w:rPr>
        <w:t>流程</w:t>
      </w:r>
      <w:r>
        <w:rPr>
          <w:rFonts w:hint="default" w:ascii="Times New Roman" w:hAnsi="Times New Roman" w:eastAsia="仿宋" w:cs="Times New Roman"/>
          <w:b w:val="0"/>
          <w:bCs/>
          <w:sz w:val="32"/>
          <w:szCs w:val="32"/>
          <w:lang w:val="en-US" w:eastAsia="zh-CN"/>
        </w:rPr>
        <w:t>、监督管理</w:t>
      </w:r>
      <w:r>
        <w:rPr>
          <w:rFonts w:hint="eastAsia" w:eastAsia="仿宋" w:cs="Times New Roman"/>
          <w:b w:val="0"/>
          <w:bCs/>
          <w:sz w:val="32"/>
          <w:szCs w:val="32"/>
          <w:lang w:val="en-US" w:eastAsia="zh-CN"/>
        </w:rPr>
        <w:t>、附则等，共二十九条。具体内容及制定考虑如下。</w:t>
      </w:r>
    </w:p>
    <w:p>
      <w:pPr>
        <w:widowControl/>
        <w:numPr>
          <w:ilvl w:val="0"/>
          <w:numId w:val="2"/>
        </w:numPr>
        <w:spacing w:before="0" w:beforeLines="0" w:after="0" w:afterLines="0"/>
        <w:ind w:firstLine="640" w:firstLineChars="200"/>
        <w:jc w:val="left"/>
        <w:outlineLvl w:val="0"/>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总则部分</w:t>
      </w:r>
    </w:p>
    <w:p>
      <w:pPr>
        <w:widowControl/>
        <w:numPr>
          <w:ilvl w:val="0"/>
          <w:numId w:val="0"/>
        </w:numPr>
        <w:spacing w:before="0" w:beforeLines="0" w:after="0" w:afterLines="0"/>
        <w:ind w:firstLine="640" w:firstLineChars="200"/>
        <w:jc w:val="left"/>
        <w:outlineLvl w:val="0"/>
        <w:rPr>
          <w:rFonts w:hint="eastAsia" w:eastAsia="仿宋" w:cs="Times New Roman"/>
          <w:b w:val="0"/>
          <w:bCs/>
          <w:sz w:val="32"/>
          <w:szCs w:val="32"/>
          <w:lang w:val="en-US" w:eastAsia="zh-CN"/>
        </w:rPr>
      </w:pPr>
      <w:r>
        <w:rPr>
          <w:rFonts w:hint="eastAsia" w:eastAsia="仿宋" w:cs="Times New Roman"/>
          <w:b w:val="0"/>
          <w:bCs/>
          <w:sz w:val="32"/>
          <w:szCs w:val="32"/>
          <w:lang w:val="en-US" w:eastAsia="zh-CN"/>
        </w:rPr>
        <w:t>本章共两条，明确了规则制定依据、规范主体、交收原则。</w:t>
      </w:r>
    </w:p>
    <w:p>
      <w:pPr>
        <w:widowControl/>
        <w:numPr>
          <w:ilvl w:val="0"/>
          <w:numId w:val="2"/>
        </w:numPr>
        <w:spacing w:before="0" w:beforeLines="0" w:after="0" w:afterLines="0"/>
        <w:ind w:firstLine="640" w:firstLineChars="200"/>
        <w:jc w:val="left"/>
        <w:outlineLvl w:val="0"/>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交割服务机构</w:t>
      </w:r>
    </w:p>
    <w:p>
      <w:pPr>
        <w:widowControl/>
        <w:numPr>
          <w:ilvl w:val="0"/>
          <w:numId w:val="0"/>
        </w:numPr>
        <w:spacing w:before="0" w:beforeLines="0" w:after="0" w:afterLines="0"/>
        <w:ind w:firstLine="640" w:firstLineChars="200"/>
        <w:jc w:val="left"/>
        <w:outlineLvl w:val="0"/>
        <w:rPr>
          <w:rFonts w:hint="eastAsia" w:eastAsia="仿宋"/>
          <w:sz w:val="32"/>
          <w:szCs w:val="32"/>
          <w:lang w:eastAsia="zh-CN"/>
        </w:rPr>
      </w:pPr>
      <w:r>
        <w:rPr>
          <w:rFonts w:hint="eastAsia" w:eastAsia="仿宋" w:cs="Times New Roman"/>
          <w:b w:val="0"/>
          <w:bCs/>
          <w:sz w:val="32"/>
          <w:szCs w:val="32"/>
          <w:lang w:val="en-US" w:eastAsia="zh-CN"/>
        </w:rPr>
        <w:t>本章共两条，包括交割服务机构信息公示、安排专门人员负责交割、交割服务能力保障等。明确红枣车（船）板</w:t>
      </w:r>
      <w:r>
        <w:rPr>
          <w:rFonts w:hint="eastAsia" w:eastAsia="仿宋"/>
          <w:sz w:val="32"/>
          <w:szCs w:val="32"/>
          <w:lang w:eastAsia="zh-CN"/>
        </w:rPr>
        <w:t>交割预报定金</w:t>
      </w:r>
      <w:r>
        <w:rPr>
          <w:rFonts w:hint="eastAsia" w:ascii="Times New Roman" w:hAnsi="Times New Roman" w:eastAsia="仿宋"/>
          <w:sz w:val="32"/>
          <w:szCs w:val="32"/>
          <w:lang w:eastAsia="zh-CN"/>
        </w:rPr>
        <w:t>、</w:t>
      </w:r>
      <w:r>
        <w:rPr>
          <w:rFonts w:hint="default" w:ascii="Times New Roman" w:hAnsi="Times New Roman" w:eastAsia="仿宋"/>
          <w:sz w:val="32"/>
          <w:szCs w:val="32"/>
        </w:rPr>
        <w:t>复检</w:t>
      </w:r>
      <w:r>
        <w:rPr>
          <w:rFonts w:hint="eastAsia" w:ascii="Times New Roman" w:hAnsi="Times New Roman" w:eastAsia="仿宋"/>
          <w:sz w:val="32"/>
          <w:szCs w:val="32"/>
          <w:lang w:eastAsia="zh-CN"/>
        </w:rPr>
        <w:t>押金及</w:t>
      </w:r>
      <w:r>
        <w:rPr>
          <w:rFonts w:hint="eastAsia" w:eastAsia="仿宋"/>
          <w:sz w:val="32"/>
          <w:szCs w:val="32"/>
          <w:lang w:eastAsia="zh-CN"/>
        </w:rPr>
        <w:t>出入库费由交割服务机构收取，要求交割服务机构专人负责、独立台账、专项列明。</w:t>
      </w:r>
    </w:p>
    <w:p>
      <w:pPr>
        <w:widowControl/>
        <w:numPr>
          <w:ilvl w:val="0"/>
          <w:numId w:val="2"/>
        </w:numPr>
        <w:spacing w:before="0" w:beforeLines="0" w:after="0" w:afterLines="0"/>
        <w:ind w:firstLine="640" w:firstLineChars="200"/>
        <w:jc w:val="left"/>
        <w:outlineLvl w:val="0"/>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交收流程</w:t>
      </w:r>
    </w:p>
    <w:p>
      <w:pPr>
        <w:widowControl/>
        <w:numPr>
          <w:ilvl w:val="0"/>
          <w:numId w:val="0"/>
        </w:numPr>
        <w:spacing w:before="0" w:beforeLines="0" w:after="0" w:afterLines="0"/>
        <w:ind w:firstLine="640" w:firstLineChars="200"/>
        <w:jc w:val="left"/>
        <w:outlineLvl w:val="0"/>
        <w:rPr>
          <w:rFonts w:hint="eastAsia" w:eastAsia="仿宋"/>
          <w:sz w:val="32"/>
          <w:szCs w:val="32"/>
          <w:lang w:eastAsia="zh-CN"/>
        </w:rPr>
      </w:pPr>
      <w:r>
        <w:rPr>
          <w:rFonts w:hint="eastAsia" w:eastAsia="仿宋"/>
          <w:sz w:val="32"/>
          <w:szCs w:val="32"/>
          <w:lang w:eastAsia="zh-CN"/>
        </w:rPr>
        <w:t>本章共七条，</w:t>
      </w:r>
      <w:r>
        <w:rPr>
          <w:rFonts w:hint="eastAsia" w:eastAsia="仿宋"/>
          <w:b/>
          <w:bCs/>
          <w:sz w:val="32"/>
          <w:szCs w:val="32"/>
          <w:lang w:eastAsia="zh-CN"/>
        </w:rPr>
        <w:t>一是</w:t>
      </w:r>
      <w:r>
        <w:rPr>
          <w:rFonts w:hint="eastAsia" w:eastAsia="仿宋"/>
          <w:sz w:val="32"/>
          <w:szCs w:val="32"/>
          <w:lang w:eastAsia="zh-CN"/>
        </w:rPr>
        <w:t>规范交割买卖双方自交割配对至完成现场货物交收的全流程；</w:t>
      </w:r>
      <w:r>
        <w:rPr>
          <w:rFonts w:hint="eastAsia" w:eastAsia="仿宋"/>
          <w:b/>
          <w:bCs/>
          <w:sz w:val="32"/>
          <w:szCs w:val="32"/>
          <w:lang w:eastAsia="zh-CN"/>
        </w:rPr>
        <w:t>二是</w:t>
      </w:r>
      <w:r>
        <w:rPr>
          <w:rFonts w:hint="eastAsia" w:eastAsia="仿宋"/>
          <w:sz w:val="32"/>
          <w:szCs w:val="32"/>
          <w:lang w:eastAsia="zh-CN"/>
        </w:rPr>
        <w:t>要求交割服务机构应当具备货物质检能力。</w:t>
      </w:r>
    </w:p>
    <w:p>
      <w:pPr>
        <w:widowControl/>
        <w:numPr>
          <w:ilvl w:val="0"/>
          <w:numId w:val="2"/>
        </w:numPr>
        <w:spacing w:before="0" w:beforeLines="0" w:after="0" w:afterLines="0"/>
        <w:ind w:firstLine="640" w:firstLineChars="200"/>
        <w:jc w:val="left"/>
        <w:outlineLvl w:val="0"/>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复检流程</w:t>
      </w:r>
    </w:p>
    <w:p>
      <w:pPr>
        <w:widowControl/>
        <w:numPr>
          <w:ilvl w:val="0"/>
          <w:numId w:val="0"/>
        </w:numPr>
        <w:spacing w:before="0" w:beforeLines="0" w:after="0" w:afterLines="0"/>
        <w:jc w:val="left"/>
        <w:outlineLvl w:val="0"/>
        <w:rPr>
          <w:rFonts w:hint="eastAsia" w:ascii="仿宋" w:hAnsi="仿宋" w:eastAsia="仿宋" w:cs="仿宋"/>
          <w:b w:val="0"/>
          <w:bCs/>
          <w:sz w:val="32"/>
          <w:szCs w:val="32"/>
          <w:lang w:val="en-US" w:eastAsia="zh-CN"/>
        </w:rPr>
      </w:pPr>
      <w:r>
        <w:rPr>
          <w:rFonts w:hint="eastAsia" w:ascii="楷体" w:hAnsi="楷体" w:eastAsia="楷体" w:cs="楷体"/>
          <w:b w:val="0"/>
          <w:bCs/>
          <w:sz w:val="32"/>
          <w:szCs w:val="32"/>
          <w:lang w:val="en-US" w:eastAsia="zh-CN"/>
        </w:rPr>
        <w:t xml:space="preserve">    </w:t>
      </w:r>
      <w:r>
        <w:rPr>
          <w:rFonts w:hint="eastAsia" w:eastAsia="仿宋"/>
          <w:sz w:val="32"/>
          <w:szCs w:val="32"/>
          <w:lang w:eastAsia="zh-CN"/>
        </w:rPr>
        <w:t>本章共十一条，包括复检申请、复检安排、复检费用缴纳、复检抽样等。</w:t>
      </w:r>
      <w:r>
        <w:rPr>
          <w:rFonts w:hint="eastAsia" w:eastAsia="仿宋"/>
          <w:b/>
          <w:bCs/>
          <w:sz w:val="32"/>
          <w:szCs w:val="32"/>
          <w:lang w:eastAsia="zh-CN"/>
        </w:rPr>
        <w:t>一是</w:t>
      </w:r>
      <w:r>
        <w:rPr>
          <w:rFonts w:hint="eastAsia" w:ascii="仿宋" w:hAnsi="仿宋" w:eastAsia="仿宋" w:cs="仿宋"/>
          <w:b w:val="0"/>
          <w:bCs/>
          <w:sz w:val="32"/>
          <w:szCs w:val="32"/>
          <w:lang w:val="en-US" w:eastAsia="zh-CN"/>
        </w:rPr>
        <w:t>要求买方提交复检申请，须出具买方自检报告以及该报告出具人从事红枣检验从业经历相关材料。</w:t>
      </w:r>
      <w:r>
        <w:rPr>
          <w:rFonts w:hint="eastAsia" w:ascii="仿宋" w:hAnsi="仿宋" w:eastAsia="仿宋" w:cs="仿宋"/>
          <w:b/>
          <w:bCs w:val="0"/>
          <w:sz w:val="32"/>
          <w:szCs w:val="32"/>
          <w:lang w:val="en-US" w:eastAsia="zh-CN"/>
        </w:rPr>
        <w:t>二是</w:t>
      </w:r>
      <w:r>
        <w:rPr>
          <w:rFonts w:hint="eastAsia" w:ascii="仿宋" w:hAnsi="仿宋" w:eastAsia="仿宋" w:cs="仿宋"/>
          <w:b w:val="0"/>
          <w:bCs/>
          <w:sz w:val="32"/>
          <w:szCs w:val="32"/>
          <w:lang w:val="en-US" w:eastAsia="zh-CN"/>
        </w:rPr>
        <w:t>明确两种复检抽样方式流程，分别为质检机构现场取样以及买卖双方共同抽样寄样。</w:t>
      </w:r>
    </w:p>
    <w:p>
      <w:pPr>
        <w:widowControl/>
        <w:numPr>
          <w:ilvl w:val="0"/>
          <w:numId w:val="2"/>
        </w:numPr>
        <w:spacing w:before="0" w:beforeLines="0" w:after="0" w:afterLines="0"/>
        <w:ind w:firstLine="640" w:firstLineChars="200"/>
        <w:jc w:val="left"/>
        <w:outlineLvl w:val="0"/>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监督管理</w:t>
      </w:r>
    </w:p>
    <w:p>
      <w:pPr>
        <w:widowControl/>
        <w:numPr>
          <w:ilvl w:val="0"/>
          <w:numId w:val="0"/>
        </w:numPr>
        <w:spacing w:before="0" w:beforeLines="0" w:after="0" w:afterLines="0"/>
        <w:ind w:firstLine="640"/>
        <w:jc w:val="left"/>
        <w:outlineLvl w:val="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本章共五条，包括资料保存、交割服务机构质检水平要求，买方货物自检要求、交收参与主体监管要求。</w:t>
      </w:r>
      <w:r>
        <w:rPr>
          <w:rFonts w:hint="eastAsia" w:ascii="仿宋" w:hAnsi="仿宋" w:eastAsia="仿宋" w:cs="仿宋"/>
          <w:b/>
          <w:bCs w:val="0"/>
          <w:sz w:val="32"/>
          <w:szCs w:val="32"/>
          <w:lang w:val="en-US" w:eastAsia="zh-CN"/>
        </w:rPr>
        <w:t>一是</w:t>
      </w:r>
      <w:r>
        <w:rPr>
          <w:rFonts w:hint="eastAsia" w:ascii="仿宋" w:hAnsi="仿宋" w:eastAsia="仿宋" w:cs="仿宋"/>
          <w:b w:val="0"/>
          <w:bCs/>
          <w:sz w:val="32"/>
          <w:szCs w:val="32"/>
          <w:lang w:val="en-US" w:eastAsia="zh-CN"/>
        </w:rPr>
        <w:t>明确交割服务机构、复检机构资料保存的内容及年限。</w:t>
      </w:r>
      <w:r>
        <w:rPr>
          <w:rFonts w:hint="eastAsia" w:ascii="仿宋" w:hAnsi="仿宋" w:eastAsia="仿宋" w:cs="仿宋"/>
          <w:b/>
          <w:bCs w:val="0"/>
          <w:sz w:val="32"/>
          <w:szCs w:val="32"/>
          <w:lang w:val="en-US" w:eastAsia="zh-CN"/>
        </w:rPr>
        <w:t>二是</w:t>
      </w:r>
      <w:r>
        <w:rPr>
          <w:rFonts w:hint="eastAsia" w:ascii="仿宋" w:hAnsi="仿宋" w:eastAsia="仿宋" w:cs="仿宋"/>
          <w:b w:val="0"/>
          <w:bCs/>
          <w:sz w:val="32"/>
          <w:szCs w:val="32"/>
          <w:lang w:val="en-US" w:eastAsia="zh-CN"/>
        </w:rPr>
        <w:t>明确对相关主体自律管理措施</w:t>
      </w:r>
      <w:r>
        <w:rPr>
          <w:rFonts w:hint="eastAsia" w:eastAsia="仿宋"/>
          <w:sz w:val="32"/>
          <w:szCs w:val="32"/>
          <w:lang w:eastAsia="zh-CN"/>
        </w:rPr>
        <w:t>。</w:t>
      </w:r>
    </w:p>
    <w:p>
      <w:pPr>
        <w:widowControl/>
        <w:numPr>
          <w:ilvl w:val="0"/>
          <w:numId w:val="2"/>
        </w:numPr>
        <w:spacing w:before="0" w:beforeLines="0" w:after="0" w:afterLines="0"/>
        <w:ind w:firstLine="640" w:firstLineChars="200"/>
        <w:jc w:val="left"/>
        <w:outlineLvl w:val="0"/>
        <w:rPr>
          <w:rFonts w:hint="default"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附则</w:t>
      </w:r>
    </w:p>
    <w:p>
      <w:pPr>
        <w:widowControl/>
        <w:numPr>
          <w:ilvl w:val="0"/>
          <w:numId w:val="0"/>
        </w:numPr>
        <w:spacing w:before="0" w:beforeLines="0" w:after="0" w:afterLines="0"/>
        <w:ind w:firstLine="640"/>
        <w:jc w:val="left"/>
        <w:outlineLvl w:val="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本章共两条，包括解释权、实施日期等事项予以说明。</w:t>
      </w:r>
    </w:p>
    <w:p>
      <w:pPr>
        <w:widowControl/>
        <w:numPr>
          <w:ilvl w:val="0"/>
          <w:numId w:val="0"/>
        </w:numPr>
        <w:spacing w:before="0" w:beforeLines="0" w:after="0" w:afterLines="0"/>
        <w:ind w:firstLine="640"/>
        <w:jc w:val="left"/>
        <w:outlineLvl w:val="0"/>
        <w:rPr>
          <w:rFonts w:ascii="仿宋" w:hAnsi="仿宋" w:eastAsia="仿宋"/>
          <w:sz w:val="32"/>
        </w:rPr>
      </w:pPr>
      <w:r>
        <w:rPr>
          <w:rFonts w:hint="eastAsia" w:ascii="仿宋" w:hAnsi="仿宋" w:eastAsia="仿宋" w:cs="仿宋"/>
          <w:b w:val="0"/>
          <w:bCs/>
          <w:sz w:val="32"/>
          <w:szCs w:val="32"/>
          <w:lang w:val="en-US" w:eastAsia="zh-CN"/>
        </w:rPr>
        <w:t>特此说明。</w:t>
      </w:r>
      <w:bookmarkStart w:id="0" w:name="_GoBack"/>
      <w:bookmarkEnd w:id="0"/>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1</w:t>
    </w:r>
    <w:r>
      <w:rPr>
        <w:rStyle w:val="9"/>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4</w:t>
    </w:r>
    <w:r>
      <w:rPr>
        <w:rStyle w:val="9"/>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56D86"/>
    <w:multiLevelType w:val="singleLevel"/>
    <w:tmpl w:val="AFD56D86"/>
    <w:lvl w:ilvl="0" w:tentative="0">
      <w:start w:val="1"/>
      <w:numFmt w:val="chineseCounting"/>
      <w:suff w:val="nothing"/>
      <w:lvlText w:val="（%1）"/>
      <w:lvlJc w:val="left"/>
      <w:rPr>
        <w:rFonts w:hint="eastAsia"/>
      </w:rPr>
    </w:lvl>
  </w:abstractNum>
  <w:abstractNum w:abstractNumId="1">
    <w:nsid w:val="42953FFA"/>
    <w:multiLevelType w:val="singleLevel"/>
    <w:tmpl w:val="42953FF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24FE4279"/>
    <w:rsid w:val="3DC80BB4"/>
    <w:rsid w:val="4FF73858"/>
    <w:rsid w:val="6AFCD35C"/>
    <w:rsid w:val="6DFF5BAA"/>
    <w:rsid w:val="6EEBE081"/>
    <w:rsid w:val="6FE72944"/>
    <w:rsid w:val="72FBB79A"/>
    <w:rsid w:val="775B8F38"/>
    <w:rsid w:val="7797E3D4"/>
    <w:rsid w:val="78031D0F"/>
    <w:rsid w:val="7BF19F86"/>
    <w:rsid w:val="7FBF8CE7"/>
    <w:rsid w:val="7FEACE8B"/>
    <w:rsid w:val="7FF727AE"/>
    <w:rsid w:val="B6953D71"/>
    <w:rsid w:val="B77B61A2"/>
    <w:rsid w:val="C1C722DC"/>
    <w:rsid w:val="C7EEC0EC"/>
    <w:rsid w:val="D7D32267"/>
    <w:rsid w:val="D7FF56E2"/>
    <w:rsid w:val="DB7E12B8"/>
    <w:rsid w:val="DBE7904E"/>
    <w:rsid w:val="DFDCC2A7"/>
    <w:rsid w:val="ECFF47F4"/>
    <w:rsid w:val="EFBA1887"/>
    <w:rsid w:val="F2DB88E9"/>
    <w:rsid w:val="F6FB174D"/>
    <w:rsid w:val="F6FCE87C"/>
    <w:rsid w:val="F7680B55"/>
    <w:rsid w:val="F7AF5FB6"/>
    <w:rsid w:val="F7FE2FAE"/>
    <w:rsid w:val="F97C6729"/>
    <w:rsid w:val="FCEFAB0C"/>
    <w:rsid w:val="FDC7B765"/>
    <w:rsid w:val="FE7FFF4E"/>
    <w:rsid w:val="FEEFB6D5"/>
    <w:rsid w:val="FEFB19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2"/>
      <w:szCs w:val="32"/>
      <w:lang w:val="en-US" w:eastAsia="zh-CN" w:bidi="ar-SA"/>
    </w:rPr>
  </w:style>
  <w:style w:type="paragraph" w:styleId="4">
    <w:name w:val="Date"/>
    <w:basedOn w:val="1"/>
    <w:next w:val="1"/>
    <w:link w:val="11"/>
    <w:qFormat/>
    <w:uiPriority w:val="0"/>
    <w:rPr>
      <w:rFonts w:ascii="仿宋_GB2312" w:eastAsia="仿宋_GB2312"/>
      <w:sz w:val="32"/>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脚 Char"/>
    <w:basedOn w:val="8"/>
    <w:link w:val="5"/>
    <w:qFormat/>
    <w:uiPriority w:val="0"/>
    <w:rPr>
      <w:rFonts w:ascii="Times New Roman" w:hAnsi="Times New Roman" w:eastAsia="宋体" w:cs="Times New Roman"/>
      <w:sz w:val="18"/>
      <w:szCs w:val="18"/>
    </w:rPr>
  </w:style>
  <w:style w:type="character" w:customStyle="1" w:styleId="11">
    <w:name w:val="日期 Char"/>
    <w:basedOn w:val="8"/>
    <w:link w:val="4"/>
    <w:qFormat/>
    <w:uiPriority w:val="0"/>
    <w:rPr>
      <w:rFonts w:ascii="仿宋_GB2312" w:hAnsi="Times New Roman" w:eastAsia="仿宋_GB2312" w:cs="Times New Roman"/>
      <w:sz w:val="32"/>
      <w:szCs w:val="24"/>
    </w:rPr>
  </w:style>
  <w:style w:type="character" w:customStyle="1" w:styleId="12">
    <w:name w:val="页眉 Char"/>
    <w:basedOn w:val="8"/>
    <w:link w:val="6"/>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0</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2019-09-20T22:10:00Z</dcterms:created>
  <dc:creator>CN=李小鹏/OU=办公室/O=CZCE</dc:creator>
  <cp:lastModifiedBy>王新宇</cp:lastModifiedBy>
  <dcterms:modified xsi:type="dcterms:W3CDTF">2025-10-20T16:51:52Z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63349321485E01AEE2E2D968386447B4</vt:lpwstr>
  </property>
</Properties>
</file>