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imes New Roman" w:hAnsi="Times New Roman" w:eastAsia="黑体" w:cs="Times New Roman"/>
          <w:sz w:val="44"/>
          <w:szCs w:val="44"/>
          <w:lang w:val="en-US" w:eastAsia="zh-CN"/>
        </w:rPr>
      </w:pP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2</w:t>
      </w:r>
    </w:p>
    <w:p>
      <w:pPr>
        <w:spacing w:before="0" w:beforeLines="0" w:after="0"/>
        <w:jc w:val="center"/>
        <w:outlineLvl w:val="0"/>
        <w:rPr>
          <w:rFonts w:hint="eastAsia" w:ascii="方正小标宋简体" w:hAnsi="方正小标宋简体" w:eastAsia="方正小标宋简体" w:cs="方正小标宋简体"/>
          <w:b w:val="0"/>
          <w:bCs/>
          <w:color w:val="auto"/>
          <w:sz w:val="44"/>
          <w:szCs w:val="36"/>
          <w:highlight w:val="none"/>
          <w:lang w:val="en-US" w:eastAsia="zh-CN"/>
        </w:rPr>
      </w:pPr>
      <w:r>
        <w:rPr>
          <w:rFonts w:hint="eastAsia" w:ascii="方正小标宋简体" w:hAnsi="方正小标宋简体" w:eastAsia="方正小标宋简体" w:cs="方正小标宋简体"/>
          <w:b w:val="0"/>
          <w:bCs/>
          <w:color w:val="auto"/>
          <w:sz w:val="44"/>
          <w:szCs w:val="36"/>
          <w:highlight w:val="none"/>
          <w:lang w:val="en-US" w:eastAsia="zh-CN"/>
        </w:rPr>
        <w:t>郑州商品交易所干制红枣期货</w:t>
      </w:r>
    </w:p>
    <w:p>
      <w:pPr>
        <w:spacing w:before="0" w:beforeLines="0" w:after="0"/>
        <w:jc w:val="center"/>
        <w:outlineLvl w:val="0"/>
        <w:rPr>
          <w:rFonts w:hint="eastAsia" w:ascii="方正小标宋简体" w:hAnsi="方正小标宋简体" w:eastAsia="方正小标宋简体" w:cs="方正小标宋简体"/>
          <w:b w:val="0"/>
          <w:bCs/>
          <w:color w:val="auto"/>
          <w:kern w:val="0"/>
          <w:sz w:val="44"/>
          <w:szCs w:val="44"/>
          <w:highlight w:val="none"/>
          <w:lang w:val="en-US" w:eastAsia="zh-CN" w:bidi="ar-SA"/>
        </w:rPr>
      </w:pPr>
      <w:r>
        <w:rPr>
          <w:rFonts w:hint="eastAsia" w:ascii="方正小标宋简体" w:hAnsi="方正小标宋简体" w:eastAsia="方正小标宋简体" w:cs="方正小标宋简体"/>
          <w:b w:val="0"/>
          <w:bCs/>
          <w:color w:val="auto"/>
          <w:sz w:val="44"/>
          <w:szCs w:val="36"/>
          <w:highlight w:val="none"/>
          <w:lang w:val="en-US" w:eastAsia="zh-CN"/>
        </w:rPr>
        <w:t>车（船）板交收业务指引</w:t>
      </w:r>
      <w:bookmarkStart w:id="0" w:name="_GoBack"/>
      <w:bookmarkEnd w:id="0"/>
    </w:p>
    <w:p>
      <w:pPr>
        <w:spacing w:before="156" w:beforeLines="50" w:after="156" w:afterLines="50"/>
        <w:jc w:val="center"/>
        <w:outlineLvl w:val="0"/>
        <w:rPr>
          <w:rFonts w:hint="eastAsia" w:ascii="仿宋" w:hAnsi="仿宋" w:eastAsia="仿宋" w:cs="Times New Roman"/>
          <w:color w:val="auto"/>
          <w:kern w:val="2"/>
          <w:sz w:val="32"/>
          <w:szCs w:val="32"/>
          <w:highlight w:val="none"/>
          <w:lang w:val="en-US" w:eastAsia="zh-CN" w:bidi="ar-SA"/>
        </w:rPr>
      </w:pPr>
      <w:r>
        <w:rPr>
          <w:rFonts w:hint="eastAsia" w:ascii="仿宋" w:hAnsi="仿宋" w:eastAsia="仿宋"/>
          <w:b/>
          <w:color w:val="auto"/>
          <w:sz w:val="32"/>
          <w:szCs w:val="32"/>
          <w:highlight w:val="none"/>
          <w:lang w:val="en-US" w:eastAsia="zh-CN"/>
        </w:rPr>
        <w:t>第一章 总则</w:t>
      </w:r>
    </w:p>
    <w:p>
      <w:pPr>
        <w:pStyle w:val="13"/>
        <w:numPr>
          <w:ilvl w:val="0"/>
          <w:numId w:val="1"/>
        </w:numPr>
        <w:spacing w:line="240" w:lineRule="auto"/>
        <w:ind w:left="-10" w:leftChars="0" w:firstLine="640" w:firstLineChars="0"/>
        <w:rPr>
          <w:rFonts w:hint="eastAsia" w:ascii="仿宋" w:hAnsi="仿宋" w:eastAsia="仿宋" w:cs="仿宋"/>
          <w:color w:val="auto"/>
          <w:sz w:val="32"/>
          <w:szCs w:val="32"/>
          <w:highlight w:val="none"/>
          <w:lang w:val="en-US" w:eastAsia="zh-CN"/>
        </w:rPr>
      </w:pPr>
      <w:r>
        <w:rPr>
          <w:rFonts w:hint="eastAsia" w:ascii="仿宋" w:hAnsi="仿宋" w:eastAsia="仿宋" w:cs="Times New Roman"/>
          <w:color w:val="auto"/>
          <w:kern w:val="2"/>
          <w:sz w:val="32"/>
          <w:szCs w:val="32"/>
          <w:highlight w:val="none"/>
          <w:lang w:val="en-US" w:eastAsia="zh-CN" w:bidi="ar-SA"/>
        </w:rPr>
        <w:t xml:space="preserve"> </w:t>
      </w:r>
      <w:r>
        <w:rPr>
          <w:rFonts w:hint="eastAsia" w:ascii="仿宋" w:hAnsi="仿宋" w:eastAsia="仿宋" w:cs="仿宋"/>
          <w:color w:val="auto"/>
          <w:sz w:val="32"/>
          <w:szCs w:val="32"/>
          <w:highlight w:val="none"/>
          <w:lang w:val="en-US" w:eastAsia="zh-CN"/>
        </w:rPr>
        <w:t>为了促进郑州商品交易所（以下简称交易所）干制红枣（以下简称红枣）期货车（船）板交收工作有序开展，切实保障交收客户合法权益，根据《郑州商品交易所期货交割管理办法》《郑州商品交易所干制红枣期货业务细则》等有关规定，制定本指引。</w:t>
      </w:r>
    </w:p>
    <w:p>
      <w:pPr>
        <w:pStyle w:val="13"/>
        <w:numPr>
          <w:ilvl w:val="0"/>
          <w:numId w:val="1"/>
        </w:numPr>
        <w:ind w:left="-10" w:leftChars="0" w:firstLine="640" w:firstLineChars="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pacing w:val="-5"/>
          <w:sz w:val="32"/>
          <w:szCs w:val="32"/>
          <w:highlight w:val="none"/>
          <w:lang w:val="en-US" w:eastAsia="zh-CN"/>
        </w:rPr>
        <w:t xml:space="preserve"> </w:t>
      </w:r>
      <w:r>
        <w:rPr>
          <w:rFonts w:hint="eastAsia" w:ascii="仿宋" w:hAnsi="仿宋" w:eastAsia="仿宋" w:cs="仿宋"/>
          <w:color w:val="auto"/>
          <w:sz w:val="32"/>
          <w:szCs w:val="32"/>
          <w:highlight w:val="none"/>
        </w:rPr>
        <w:t>指定</w:t>
      </w:r>
      <w:r>
        <w:rPr>
          <w:rFonts w:hint="eastAsia" w:ascii="仿宋" w:hAnsi="仿宋" w:eastAsia="仿宋" w:cs="仿宋"/>
          <w:color w:val="auto"/>
          <w:sz w:val="32"/>
          <w:szCs w:val="32"/>
          <w:highlight w:val="none"/>
          <w:lang w:val="en-US" w:eastAsia="zh-CN"/>
        </w:rPr>
        <w:t>红枣</w:t>
      </w:r>
      <w:r>
        <w:rPr>
          <w:rFonts w:hint="eastAsia" w:ascii="仿宋" w:hAnsi="仿宋" w:eastAsia="仿宋" w:cs="仿宋"/>
          <w:color w:val="auto"/>
          <w:sz w:val="32"/>
          <w:szCs w:val="32"/>
          <w:highlight w:val="none"/>
        </w:rPr>
        <w:t>车（船）板交割服务机构（以下简称</w:t>
      </w:r>
      <w:r>
        <w:rPr>
          <w:rFonts w:hint="eastAsia" w:ascii="仿宋" w:hAnsi="仿宋" w:eastAsia="仿宋" w:cs="仿宋"/>
          <w:color w:val="auto"/>
          <w:sz w:val="32"/>
          <w:szCs w:val="32"/>
          <w:highlight w:val="none"/>
          <w:lang w:eastAsia="zh-CN"/>
        </w:rPr>
        <w:t>交割服务机构</w:t>
      </w:r>
      <w:r>
        <w:rPr>
          <w:rFonts w:hint="eastAsia" w:ascii="仿宋" w:hAnsi="仿宋" w:eastAsia="仿宋" w:cs="仿宋"/>
          <w:color w:val="auto"/>
          <w:sz w:val="32"/>
          <w:szCs w:val="32"/>
          <w:highlight w:val="none"/>
        </w:rPr>
        <w:t>）、指定</w:t>
      </w:r>
      <w:r>
        <w:rPr>
          <w:rFonts w:hint="eastAsia" w:ascii="仿宋" w:hAnsi="仿宋" w:eastAsia="仿宋" w:cs="仿宋"/>
          <w:color w:val="auto"/>
          <w:sz w:val="32"/>
          <w:szCs w:val="32"/>
          <w:highlight w:val="none"/>
          <w:lang w:val="en-US" w:eastAsia="zh-CN"/>
        </w:rPr>
        <w:t>红枣</w:t>
      </w:r>
      <w:r>
        <w:rPr>
          <w:rFonts w:hint="eastAsia" w:ascii="仿宋" w:hAnsi="仿宋" w:eastAsia="仿宋" w:cs="仿宋"/>
          <w:color w:val="auto"/>
          <w:sz w:val="32"/>
          <w:szCs w:val="32"/>
          <w:highlight w:val="none"/>
        </w:rPr>
        <w:t>质检机构（以下简称质检机构）</w:t>
      </w:r>
      <w:r>
        <w:rPr>
          <w:rFonts w:hint="eastAsia" w:ascii="仿宋" w:hAnsi="仿宋" w:eastAsia="仿宋" w:cs="仿宋"/>
          <w:color w:val="auto"/>
          <w:sz w:val="32"/>
          <w:szCs w:val="32"/>
          <w:highlight w:val="none"/>
          <w:lang w:eastAsia="zh-CN"/>
        </w:rPr>
        <w:t>、会员、交割买卖双方及其工作人员等红枣交收参与主体</w:t>
      </w:r>
      <w:r>
        <w:rPr>
          <w:rFonts w:hint="eastAsia" w:ascii="仿宋" w:hAnsi="仿宋" w:eastAsia="仿宋" w:cs="仿宋"/>
          <w:color w:val="auto"/>
          <w:sz w:val="32"/>
          <w:szCs w:val="32"/>
          <w:highlight w:val="none"/>
        </w:rPr>
        <w:t>应当</w:t>
      </w:r>
      <w:r>
        <w:rPr>
          <w:rFonts w:hint="eastAsia" w:ascii="仿宋" w:hAnsi="仿宋" w:eastAsia="仿宋" w:cs="仿宋"/>
          <w:color w:val="auto"/>
          <w:sz w:val="32"/>
          <w:szCs w:val="32"/>
          <w:highlight w:val="none"/>
          <w:lang w:eastAsia="zh-CN"/>
        </w:rPr>
        <w:t>遵守</w:t>
      </w:r>
      <w:r>
        <w:rPr>
          <w:rFonts w:hint="eastAsia" w:ascii="仿宋" w:hAnsi="仿宋" w:eastAsia="仿宋" w:cs="仿宋"/>
          <w:color w:val="auto"/>
          <w:sz w:val="32"/>
          <w:szCs w:val="32"/>
          <w:highlight w:val="none"/>
        </w:rPr>
        <w:t>本指引</w:t>
      </w:r>
      <w:r>
        <w:rPr>
          <w:rFonts w:hint="eastAsia" w:ascii="仿宋" w:hAnsi="仿宋" w:eastAsia="仿宋" w:cs="仿宋"/>
          <w:color w:val="auto"/>
          <w:sz w:val="32"/>
          <w:szCs w:val="32"/>
          <w:highlight w:val="none"/>
          <w:lang w:eastAsia="zh-CN"/>
        </w:rPr>
        <w:t>规定</w:t>
      </w:r>
      <w:r>
        <w:rPr>
          <w:rFonts w:hint="eastAsia" w:ascii="仿宋" w:hAnsi="仿宋" w:eastAsia="仿宋" w:cs="仿宋"/>
          <w:color w:val="auto"/>
          <w:sz w:val="32"/>
          <w:szCs w:val="32"/>
          <w:highlight w:val="none"/>
        </w:rPr>
        <w:t>，依规开展</w:t>
      </w:r>
      <w:r>
        <w:rPr>
          <w:rFonts w:hint="eastAsia" w:ascii="仿宋" w:hAnsi="仿宋" w:eastAsia="仿宋" w:cs="仿宋"/>
          <w:color w:val="auto"/>
          <w:sz w:val="32"/>
          <w:szCs w:val="32"/>
          <w:highlight w:val="none"/>
          <w:lang w:val="en-US" w:eastAsia="zh-CN"/>
        </w:rPr>
        <w:t>红枣</w:t>
      </w:r>
      <w:r>
        <w:rPr>
          <w:rFonts w:hint="eastAsia" w:ascii="仿宋" w:hAnsi="仿宋" w:eastAsia="仿宋" w:cs="仿宋"/>
          <w:color w:val="auto"/>
          <w:sz w:val="32"/>
          <w:szCs w:val="32"/>
          <w:highlight w:val="none"/>
        </w:rPr>
        <w:t>期货交收工作，确保</w:t>
      </w:r>
      <w:r>
        <w:rPr>
          <w:rFonts w:hint="eastAsia" w:ascii="仿宋" w:hAnsi="仿宋" w:eastAsia="仿宋" w:cs="仿宋"/>
          <w:color w:val="auto"/>
          <w:sz w:val="32"/>
          <w:szCs w:val="32"/>
          <w:highlight w:val="none"/>
          <w:lang w:val="en-US" w:eastAsia="zh-CN"/>
        </w:rPr>
        <w:t>相关</w:t>
      </w:r>
      <w:r>
        <w:rPr>
          <w:rFonts w:hint="eastAsia" w:ascii="仿宋" w:hAnsi="仿宋" w:eastAsia="仿宋" w:cs="仿宋"/>
          <w:color w:val="auto"/>
          <w:sz w:val="32"/>
          <w:szCs w:val="32"/>
          <w:highlight w:val="none"/>
        </w:rPr>
        <w:t>工作有序进行。</w:t>
      </w:r>
    </w:p>
    <w:p>
      <w:pPr>
        <w:pStyle w:val="13"/>
        <w:numPr>
          <w:ilvl w:val="0"/>
          <w:numId w:val="0"/>
        </w:numPr>
        <w:ind w:left="0" w:leftChars="0" w:firstLine="0" w:firstLineChars="0"/>
        <w:jc w:val="center"/>
        <w:outlineLvl w:val="0"/>
        <w:rPr>
          <w:rFonts w:hint="default" w:ascii="宋体" w:hAnsi="宋体" w:eastAsia="仿宋" w:cs="宋体"/>
          <w:color w:val="auto"/>
          <w:sz w:val="32"/>
          <w:szCs w:val="32"/>
          <w:highlight w:val="none"/>
          <w:lang w:val="en-US" w:eastAsia="zh-CN"/>
        </w:rPr>
      </w:pPr>
      <w:r>
        <w:rPr>
          <w:rFonts w:hint="eastAsia" w:ascii="仿宋" w:hAnsi="仿宋" w:eastAsia="仿宋" w:cs="Times New Roman"/>
          <w:b/>
          <w:color w:val="auto"/>
          <w:sz w:val="32"/>
          <w:szCs w:val="32"/>
          <w:highlight w:val="none"/>
          <w:lang w:val="en-US" w:eastAsia="zh-CN"/>
        </w:rPr>
        <w:t xml:space="preserve">第二章 </w:t>
      </w:r>
      <w:r>
        <w:rPr>
          <w:rFonts w:hint="default" w:ascii="Times New Roman" w:hAnsi="Times New Roman" w:eastAsia="仿宋"/>
          <w:color w:val="auto"/>
          <w:sz w:val="32"/>
          <w:szCs w:val="32"/>
          <w:highlight w:val="none"/>
          <w:lang w:val="en-US" w:eastAsia="zh-CN"/>
        </w:rPr>
        <w:t xml:space="preserve"> </w:t>
      </w:r>
      <w:r>
        <w:rPr>
          <w:rFonts w:hint="default" w:ascii="Times New Roman" w:hAnsi="Times New Roman" w:eastAsia="仿宋"/>
          <w:b/>
          <w:color w:val="auto"/>
          <w:sz w:val="32"/>
          <w:szCs w:val="32"/>
          <w:highlight w:val="none"/>
          <w:lang w:val="en-US" w:eastAsia="zh-CN"/>
        </w:rPr>
        <w:t>交割</w:t>
      </w:r>
      <w:r>
        <w:rPr>
          <w:rFonts w:hint="default" w:ascii="Times New Roman" w:hAnsi="Times New Roman" w:eastAsia="仿宋"/>
          <w:b/>
          <w:color w:val="auto"/>
          <w:sz w:val="32"/>
          <w:szCs w:val="32"/>
          <w:highlight w:val="none"/>
          <w:lang w:eastAsia="zh-CN"/>
        </w:rPr>
        <w:t>服务机构</w:t>
      </w:r>
    </w:p>
    <w:p>
      <w:pPr>
        <w:pStyle w:val="13"/>
        <w:numPr>
          <w:ilvl w:val="0"/>
          <w:numId w:val="1"/>
        </w:numPr>
        <w:ind w:left="-10" w:leftChars="0" w:firstLine="640" w:firstLineChars="0"/>
        <w:rPr>
          <w:rFonts w:hint="eastAsia" w:ascii="仿宋" w:hAnsi="仿宋" w:eastAsia="仿宋" w:cs="仿宋"/>
          <w:color w:val="auto"/>
          <w:sz w:val="32"/>
          <w:szCs w:val="32"/>
          <w:highlight w:val="none"/>
        </w:rPr>
      </w:pPr>
      <w:r>
        <w:rPr>
          <w:rFonts w:hint="eastAsia" w:ascii="Times New Roman" w:hAnsi="Times New Roman" w:eastAsia="黑体" w:cs="Times New Roman"/>
          <w:color w:val="auto"/>
          <w:kern w:val="0"/>
          <w:sz w:val="28"/>
          <w:szCs w:val="28"/>
          <w:highlight w:val="none"/>
          <w:lang w:val="en-US" w:eastAsia="zh-CN" w:bidi="ar-SA"/>
        </w:rPr>
        <w:t xml:space="preserve"> </w:t>
      </w:r>
      <w:r>
        <w:rPr>
          <w:rFonts w:hint="eastAsia" w:ascii="仿宋" w:hAnsi="仿宋" w:eastAsia="仿宋" w:cs="仿宋"/>
          <w:color w:val="auto"/>
          <w:sz w:val="32"/>
          <w:szCs w:val="32"/>
          <w:highlight w:val="none"/>
          <w:lang w:val="en-US" w:eastAsia="zh-CN"/>
        </w:rPr>
        <w:t>交割服务机构应当在经营场所的显著位置公示期货业务信息，包括但不限于：</w:t>
      </w:r>
      <w:r>
        <w:rPr>
          <w:rFonts w:hint="default" w:ascii="Times New Roman" w:hAnsi="Times New Roman" w:eastAsia="仿宋"/>
          <w:color w:val="auto"/>
          <w:sz w:val="32"/>
          <w:szCs w:val="32"/>
          <w:highlight w:val="none"/>
        </w:rPr>
        <w:t>业务</w:t>
      </w:r>
      <w:r>
        <w:rPr>
          <w:rFonts w:ascii="Times New Roman" w:hAnsi="Times New Roman" w:eastAsia="仿宋"/>
          <w:color w:val="auto"/>
          <w:sz w:val="32"/>
          <w:szCs w:val="32"/>
          <w:highlight w:val="none"/>
        </w:rPr>
        <w:t>流程、</w:t>
      </w:r>
      <w:r>
        <w:rPr>
          <w:rFonts w:hint="default" w:ascii="Times New Roman" w:hAnsi="Times New Roman" w:eastAsia="仿宋"/>
          <w:color w:val="auto"/>
          <w:sz w:val="32"/>
          <w:szCs w:val="32"/>
          <w:highlight w:val="none"/>
        </w:rPr>
        <w:t>收费标准、联系人及联系方式、投诉电话</w:t>
      </w:r>
      <w:r>
        <w:rPr>
          <w:rFonts w:hint="eastAsia" w:eastAsia="仿宋"/>
          <w:color w:val="auto"/>
          <w:sz w:val="32"/>
          <w:szCs w:val="32"/>
          <w:highlight w:val="none"/>
          <w:lang w:eastAsia="zh-CN"/>
        </w:rPr>
        <w:t>、</w:t>
      </w:r>
      <w:r>
        <w:rPr>
          <w:rFonts w:hint="eastAsia" w:ascii="仿宋" w:hAnsi="仿宋" w:eastAsia="仿宋" w:cs="仿宋"/>
          <w:color w:val="auto"/>
          <w:sz w:val="32"/>
          <w:szCs w:val="32"/>
          <w:highlight w:val="none"/>
          <w:lang w:val="en-US" w:eastAsia="zh-CN"/>
        </w:rPr>
        <w:t>日均最低可交割数量等，</w:t>
      </w:r>
      <w:r>
        <w:rPr>
          <w:rFonts w:hint="eastAsia" w:ascii="Times New Roman" w:hAnsi="Times New Roman" w:eastAsia="仿宋"/>
          <w:color w:val="auto"/>
          <w:sz w:val="32"/>
          <w:szCs w:val="32"/>
          <w:highlight w:val="none"/>
          <w:lang w:eastAsia="zh-CN"/>
        </w:rPr>
        <w:t>并向</w:t>
      </w:r>
      <w:r>
        <w:rPr>
          <w:rFonts w:hint="default" w:ascii="Times New Roman" w:hAnsi="Times New Roman" w:eastAsia="仿宋"/>
          <w:color w:val="auto"/>
          <w:sz w:val="32"/>
          <w:szCs w:val="32"/>
          <w:highlight w:val="none"/>
        </w:rPr>
        <w:t>交易所</w:t>
      </w:r>
      <w:r>
        <w:rPr>
          <w:rFonts w:hint="eastAsia" w:ascii="Times New Roman" w:hAnsi="Times New Roman" w:eastAsia="仿宋"/>
          <w:color w:val="auto"/>
          <w:sz w:val="32"/>
          <w:szCs w:val="32"/>
          <w:highlight w:val="none"/>
          <w:lang w:eastAsia="zh-CN"/>
        </w:rPr>
        <w:t>报备</w:t>
      </w:r>
      <w:r>
        <w:rPr>
          <w:rFonts w:hint="eastAsia" w:ascii="仿宋" w:hAnsi="仿宋" w:eastAsia="仿宋" w:cs="仿宋"/>
          <w:color w:val="auto"/>
          <w:sz w:val="32"/>
          <w:szCs w:val="32"/>
          <w:highlight w:val="none"/>
          <w:lang w:val="en-US" w:eastAsia="zh-CN"/>
        </w:rPr>
        <w:t>。</w:t>
      </w:r>
      <w:r>
        <w:rPr>
          <w:rFonts w:hint="default" w:ascii="Times New Roman" w:hAnsi="Times New Roman" w:eastAsia="仿宋"/>
          <w:color w:val="auto"/>
          <w:sz w:val="32"/>
          <w:szCs w:val="32"/>
          <w:highlight w:val="none"/>
          <w:lang w:eastAsia="zh-CN"/>
        </w:rPr>
        <w:t>相关信息变更的，应</w:t>
      </w:r>
      <w:r>
        <w:rPr>
          <w:rFonts w:hint="eastAsia" w:ascii="Times New Roman" w:hAnsi="Times New Roman" w:eastAsia="仿宋"/>
          <w:color w:val="auto"/>
          <w:sz w:val="32"/>
          <w:szCs w:val="32"/>
          <w:highlight w:val="none"/>
          <w:lang w:eastAsia="zh-CN"/>
        </w:rPr>
        <w:t>当</w:t>
      </w:r>
      <w:r>
        <w:rPr>
          <w:rFonts w:hint="default" w:ascii="Times New Roman" w:hAnsi="Times New Roman" w:eastAsia="仿宋"/>
          <w:color w:val="auto"/>
          <w:sz w:val="32"/>
          <w:szCs w:val="32"/>
          <w:highlight w:val="none"/>
          <w:lang w:eastAsia="zh-CN"/>
        </w:rPr>
        <w:t>在</w:t>
      </w:r>
      <w:r>
        <w:rPr>
          <w:rFonts w:hint="default" w:ascii="Times New Roman" w:hAnsi="Times New Roman" w:eastAsia="仿宋"/>
          <w:color w:val="auto"/>
          <w:sz w:val="32"/>
          <w:szCs w:val="32"/>
          <w:highlight w:val="none"/>
          <w:lang w:val="en-US" w:eastAsia="zh-CN"/>
        </w:rPr>
        <w:t>10个工作日内完成公示信息的调整并向</w:t>
      </w:r>
      <w:r>
        <w:rPr>
          <w:rFonts w:hint="default" w:ascii="Times New Roman" w:hAnsi="Times New Roman" w:eastAsia="仿宋"/>
          <w:color w:val="auto"/>
          <w:sz w:val="32"/>
          <w:szCs w:val="32"/>
          <w:highlight w:val="none"/>
        </w:rPr>
        <w:t>交易所</w:t>
      </w:r>
      <w:r>
        <w:rPr>
          <w:rFonts w:hint="default" w:ascii="Times New Roman" w:hAnsi="Times New Roman" w:eastAsia="仿宋"/>
          <w:color w:val="auto"/>
          <w:sz w:val="32"/>
          <w:szCs w:val="32"/>
          <w:highlight w:val="none"/>
          <w:lang w:val="en-US" w:eastAsia="zh-CN"/>
        </w:rPr>
        <w:t>报备。</w:t>
      </w:r>
    </w:p>
    <w:p>
      <w:pPr>
        <w:pStyle w:val="13"/>
        <w:numPr>
          <w:ilvl w:val="0"/>
          <w:numId w:val="0"/>
        </w:numPr>
        <w:ind w:firstLine="640" w:firstLineChars="200"/>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交割服务机构期货业务收费标准不得高于交易所公布的收费标准</w:t>
      </w:r>
      <w:r>
        <w:rPr>
          <w:rFonts w:hint="default" w:ascii="仿宋" w:hAnsi="仿宋" w:eastAsia="仿宋" w:cs="仿宋"/>
          <w:color w:val="auto"/>
          <w:sz w:val="32"/>
          <w:szCs w:val="32"/>
          <w:highlight w:val="none"/>
          <w:lang w:val="en-US" w:eastAsia="zh-CN"/>
        </w:rPr>
        <w:t>.</w:t>
      </w:r>
    </w:p>
    <w:p>
      <w:pPr>
        <w:pStyle w:val="13"/>
        <w:numPr>
          <w:ilvl w:val="0"/>
          <w:numId w:val="1"/>
        </w:numPr>
        <w:ind w:left="-10" w:leftChars="0" w:firstLine="640" w:firstLineChars="0"/>
        <w:rPr>
          <w:rFonts w:ascii="Times New Roman" w:hAnsi="Times New Roman" w:eastAsia="仿宋"/>
          <w:color w:val="auto"/>
          <w:sz w:val="32"/>
          <w:szCs w:val="32"/>
          <w:highlight w:val="none"/>
        </w:rPr>
      </w:pPr>
      <w:r>
        <w:rPr>
          <w:rFonts w:hint="eastAsia" w:ascii="仿宋" w:hAnsi="仿宋" w:eastAsia="仿宋" w:cs="仿宋"/>
          <w:color w:val="auto"/>
          <w:kern w:val="0"/>
          <w:sz w:val="32"/>
          <w:szCs w:val="32"/>
          <w:highlight w:val="none"/>
          <w:lang w:val="en-US" w:eastAsia="zh-CN" w:bidi="ar-SA"/>
        </w:rPr>
        <w:t xml:space="preserve"> </w:t>
      </w:r>
      <w:r>
        <w:rPr>
          <w:rFonts w:hint="default" w:ascii="Times New Roman" w:hAnsi="Times New Roman" w:eastAsia="仿宋"/>
          <w:color w:val="auto"/>
          <w:sz w:val="32"/>
          <w:szCs w:val="32"/>
          <w:highlight w:val="none"/>
          <w:lang w:eastAsia="zh-CN"/>
        </w:rPr>
        <w:t>交割服务机构应当</w:t>
      </w:r>
      <w:r>
        <w:rPr>
          <w:rFonts w:hint="default" w:ascii="Times New Roman" w:hAnsi="Times New Roman" w:eastAsia="仿宋"/>
          <w:color w:val="auto"/>
          <w:sz w:val="32"/>
          <w:szCs w:val="32"/>
          <w:highlight w:val="none"/>
        </w:rPr>
        <w:t>指定专人</w:t>
      </w:r>
      <w:r>
        <w:rPr>
          <w:rFonts w:hint="eastAsia" w:ascii="Times New Roman" w:hAnsi="Times New Roman" w:eastAsia="仿宋"/>
          <w:color w:val="auto"/>
          <w:sz w:val="32"/>
          <w:szCs w:val="32"/>
          <w:highlight w:val="none"/>
          <w:lang w:eastAsia="zh-CN"/>
        </w:rPr>
        <w:t>负责</w:t>
      </w:r>
      <w:r>
        <w:rPr>
          <w:rFonts w:hint="default" w:ascii="Times New Roman" w:hAnsi="Times New Roman" w:eastAsia="仿宋"/>
          <w:color w:val="auto"/>
          <w:sz w:val="32"/>
          <w:szCs w:val="32"/>
          <w:highlight w:val="none"/>
        </w:rPr>
        <w:t>期货交割业务，</w:t>
      </w:r>
      <w:r>
        <w:rPr>
          <w:rFonts w:hint="default" w:ascii="Times New Roman" w:hAnsi="Times New Roman" w:eastAsia="仿宋"/>
          <w:color w:val="auto"/>
          <w:sz w:val="32"/>
          <w:szCs w:val="32"/>
          <w:highlight w:val="none"/>
          <w:lang w:eastAsia="zh-CN"/>
        </w:rPr>
        <w:t>办理交割预报</w:t>
      </w:r>
      <w:r>
        <w:rPr>
          <w:rFonts w:hint="default" w:ascii="Times New Roman" w:hAnsi="Times New Roman" w:eastAsia="仿宋"/>
          <w:color w:val="auto"/>
          <w:sz w:val="32"/>
          <w:szCs w:val="32"/>
          <w:highlight w:val="none"/>
        </w:rPr>
        <w:t>、</w:t>
      </w:r>
      <w:r>
        <w:rPr>
          <w:rFonts w:hint="default" w:ascii="Times New Roman" w:hAnsi="Times New Roman" w:eastAsia="仿宋"/>
          <w:color w:val="auto"/>
          <w:sz w:val="32"/>
          <w:szCs w:val="32"/>
          <w:highlight w:val="none"/>
          <w:lang w:eastAsia="zh-CN"/>
        </w:rPr>
        <w:t>安排客户交收时间、组织现场交收</w:t>
      </w:r>
      <w:r>
        <w:rPr>
          <w:rFonts w:hint="eastAsia" w:ascii="Times New Roman" w:hAnsi="Times New Roman" w:eastAsia="仿宋"/>
          <w:color w:val="auto"/>
          <w:sz w:val="32"/>
          <w:szCs w:val="32"/>
          <w:highlight w:val="none"/>
          <w:lang w:eastAsia="zh-CN"/>
        </w:rPr>
        <w:t>、收取及清退交收相关费用。</w:t>
      </w:r>
    </w:p>
    <w:p>
      <w:pPr>
        <w:pStyle w:val="13"/>
        <w:numPr>
          <w:ilvl w:val="0"/>
          <w:numId w:val="0"/>
        </w:numPr>
        <w:ind w:left="0" w:firstLine="640" w:firstLineChars="200"/>
        <w:rPr>
          <w:rFonts w:hint="eastAsia" w:ascii="Times New Roman" w:hAnsi="Times New Roman" w:eastAsia="仿宋"/>
          <w:color w:val="auto"/>
          <w:sz w:val="32"/>
          <w:szCs w:val="32"/>
          <w:highlight w:val="none"/>
          <w:lang w:eastAsia="zh-CN"/>
        </w:rPr>
      </w:pPr>
      <w:r>
        <w:rPr>
          <w:rFonts w:hint="eastAsia" w:ascii="Times New Roman" w:hAnsi="Times New Roman" w:eastAsia="仿宋"/>
          <w:color w:val="auto"/>
          <w:sz w:val="32"/>
          <w:szCs w:val="32"/>
          <w:highlight w:val="none"/>
          <w:lang w:eastAsia="zh-CN"/>
        </w:rPr>
        <w:t>交收相关费用应当建立台账，分别专项列明，确保台账与收据一一对应，禁止混淆、挪用。</w:t>
      </w:r>
    </w:p>
    <w:p>
      <w:pPr>
        <w:pStyle w:val="13"/>
        <w:numPr>
          <w:ilvl w:val="0"/>
          <w:numId w:val="0"/>
        </w:numPr>
        <w:ind w:left="0" w:firstLine="640" w:firstLineChars="200"/>
        <w:rPr>
          <w:rFonts w:hint="eastAsia" w:ascii="仿宋" w:hAnsi="仿宋" w:eastAsia="仿宋" w:cs="仿宋"/>
          <w:color w:val="auto"/>
          <w:sz w:val="32"/>
          <w:szCs w:val="32"/>
          <w:highlight w:val="none"/>
          <w:lang w:val="en-US" w:eastAsia="zh-CN"/>
        </w:rPr>
      </w:pPr>
      <w:r>
        <w:rPr>
          <w:rFonts w:hint="eastAsia" w:ascii="Times New Roman" w:hAnsi="Times New Roman" w:eastAsia="仿宋"/>
          <w:color w:val="auto"/>
          <w:sz w:val="32"/>
          <w:szCs w:val="32"/>
          <w:highlight w:val="none"/>
          <w:lang w:eastAsia="zh-CN"/>
        </w:rPr>
        <w:t>交收相关费用包括交割预报定金、</w:t>
      </w:r>
      <w:r>
        <w:rPr>
          <w:rFonts w:hint="eastAsia" w:eastAsia="仿宋"/>
          <w:color w:val="auto"/>
          <w:sz w:val="32"/>
          <w:szCs w:val="32"/>
          <w:highlight w:val="none"/>
          <w:lang w:eastAsia="zh-CN"/>
        </w:rPr>
        <w:t>出入库费、临时储存费以及</w:t>
      </w:r>
      <w:r>
        <w:rPr>
          <w:rFonts w:hint="default" w:ascii="Times New Roman" w:hAnsi="Times New Roman" w:eastAsia="仿宋"/>
          <w:color w:val="auto"/>
          <w:sz w:val="32"/>
          <w:szCs w:val="32"/>
          <w:highlight w:val="none"/>
        </w:rPr>
        <w:t>复检费用</w:t>
      </w:r>
      <w:r>
        <w:rPr>
          <w:rFonts w:hint="eastAsia" w:ascii="Times New Roman" w:hAnsi="Times New Roman" w:eastAsia="仿宋"/>
          <w:color w:val="auto"/>
          <w:sz w:val="32"/>
          <w:szCs w:val="32"/>
          <w:highlight w:val="none"/>
          <w:lang w:eastAsia="zh-CN"/>
        </w:rPr>
        <w:t>押金</w:t>
      </w:r>
      <w:r>
        <w:rPr>
          <w:rFonts w:hint="eastAsia" w:eastAsia="仿宋"/>
          <w:color w:val="auto"/>
          <w:sz w:val="32"/>
          <w:szCs w:val="32"/>
          <w:highlight w:val="none"/>
          <w:lang w:eastAsia="zh-CN"/>
        </w:rPr>
        <w:t>等</w:t>
      </w:r>
      <w:r>
        <w:rPr>
          <w:rFonts w:hint="default" w:ascii="Times New Roman" w:hAnsi="Times New Roman" w:eastAsia="仿宋"/>
          <w:color w:val="auto"/>
          <w:sz w:val="32"/>
          <w:szCs w:val="32"/>
          <w:highlight w:val="none"/>
        </w:rPr>
        <w:t>。</w:t>
      </w:r>
    </w:p>
    <w:p>
      <w:pPr>
        <w:pStyle w:val="13"/>
        <w:numPr>
          <w:ilvl w:val="0"/>
          <w:numId w:val="0"/>
        </w:numPr>
        <w:spacing w:before="156" w:beforeLines="50" w:after="156" w:afterLines="50"/>
        <w:jc w:val="center"/>
        <w:outlineLvl w:val="0"/>
        <w:rPr>
          <w:rFonts w:hint="eastAsia" w:ascii="仿宋" w:hAnsi="仿宋" w:eastAsia="仿宋" w:cs="仿宋"/>
          <w:color w:val="auto"/>
          <w:sz w:val="32"/>
          <w:szCs w:val="32"/>
          <w:highlight w:val="none"/>
        </w:rPr>
      </w:pPr>
      <w:r>
        <w:rPr>
          <w:rFonts w:hint="eastAsia" w:ascii="仿宋" w:hAnsi="仿宋" w:eastAsia="仿宋"/>
          <w:b/>
          <w:color w:val="auto"/>
          <w:sz w:val="32"/>
          <w:szCs w:val="32"/>
          <w:highlight w:val="none"/>
        </w:rPr>
        <w:t>第</w:t>
      </w:r>
      <w:r>
        <w:rPr>
          <w:rFonts w:hint="eastAsia" w:ascii="仿宋" w:hAnsi="仿宋" w:eastAsia="仿宋"/>
          <w:b/>
          <w:color w:val="auto"/>
          <w:sz w:val="32"/>
          <w:szCs w:val="32"/>
          <w:highlight w:val="none"/>
          <w:lang w:val="en-US" w:eastAsia="zh-CN"/>
        </w:rPr>
        <w:t>三</w:t>
      </w:r>
      <w:r>
        <w:rPr>
          <w:rFonts w:hint="eastAsia" w:ascii="仿宋" w:hAnsi="仿宋" w:eastAsia="仿宋"/>
          <w:b/>
          <w:color w:val="auto"/>
          <w:sz w:val="32"/>
          <w:szCs w:val="32"/>
          <w:highlight w:val="none"/>
        </w:rPr>
        <w:t>章 交收流程</w:t>
      </w:r>
    </w:p>
    <w:p>
      <w:pPr>
        <w:pStyle w:val="13"/>
        <w:numPr>
          <w:ilvl w:val="0"/>
          <w:numId w:val="1"/>
        </w:numPr>
        <w:ind w:left="-10" w:leftChars="0" w:firstLine="640" w:firstLineChars="0"/>
        <w:rPr>
          <w:rFonts w:hint="eastAsia" w:ascii="仿宋" w:hAnsi="仿宋" w:eastAsia="仿宋"/>
          <w:color w:val="auto"/>
          <w:sz w:val="32"/>
          <w:szCs w:val="32"/>
          <w:highlight w:val="none"/>
        </w:rPr>
      </w:pPr>
      <w:r>
        <w:rPr>
          <w:rFonts w:hint="eastAsia" w:ascii="仿宋" w:hAnsi="仿宋" w:eastAsia="仿宋" w:cs="仿宋"/>
          <w:color w:val="auto"/>
          <w:sz w:val="32"/>
          <w:szCs w:val="32"/>
          <w:highlight w:val="none"/>
          <w:lang w:val="en-US" w:eastAsia="zh-CN"/>
        </w:rPr>
        <w:t xml:space="preserve"> 交割服务机构</w:t>
      </w:r>
      <w:r>
        <w:rPr>
          <w:rFonts w:hint="eastAsia" w:ascii="仿宋" w:hAnsi="仿宋" w:eastAsia="仿宋" w:cs="仿宋"/>
          <w:color w:val="auto"/>
          <w:sz w:val="32"/>
          <w:szCs w:val="32"/>
          <w:highlight w:val="none"/>
        </w:rPr>
        <w:t>应</w:t>
      </w:r>
      <w:r>
        <w:rPr>
          <w:rFonts w:hint="eastAsia" w:ascii="仿宋" w:hAnsi="仿宋" w:eastAsia="仿宋" w:cs="仿宋"/>
          <w:color w:val="auto"/>
          <w:sz w:val="32"/>
          <w:szCs w:val="32"/>
          <w:highlight w:val="none"/>
          <w:lang w:eastAsia="zh-CN"/>
        </w:rPr>
        <w:t>当</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val="en-US" w:eastAsia="zh-CN"/>
        </w:rPr>
        <w:t>红枣期货交割</w:t>
      </w:r>
      <w:r>
        <w:rPr>
          <w:rFonts w:hint="eastAsia" w:ascii="仿宋" w:hAnsi="仿宋" w:eastAsia="仿宋" w:cs="仿宋"/>
          <w:color w:val="auto"/>
          <w:sz w:val="32"/>
          <w:szCs w:val="32"/>
          <w:highlight w:val="none"/>
        </w:rPr>
        <w:t>配对后，登录会员服务系统查询配对客户数及配对数量，</w:t>
      </w:r>
      <w:r>
        <w:rPr>
          <w:rFonts w:hint="eastAsia" w:ascii="仿宋" w:hAnsi="仿宋" w:eastAsia="仿宋" w:cs="仿宋"/>
          <w:color w:val="auto"/>
          <w:sz w:val="32"/>
          <w:szCs w:val="32"/>
          <w:highlight w:val="none"/>
          <w:lang w:val="en-US" w:eastAsia="zh-CN"/>
        </w:rPr>
        <w:t>安排客户交收时间并报交易所备案。交割服务机构应当通知客户在规定时间办理货物交收，并</w:t>
      </w:r>
      <w:r>
        <w:rPr>
          <w:rFonts w:hint="eastAsia" w:ascii="仿宋" w:hAnsi="仿宋" w:eastAsia="仿宋" w:cs="仿宋"/>
          <w:color w:val="auto"/>
          <w:sz w:val="32"/>
          <w:szCs w:val="32"/>
          <w:highlight w:val="none"/>
        </w:rPr>
        <w:t>与交收客户签订《</w:t>
      </w:r>
      <w:r>
        <w:rPr>
          <w:rFonts w:hint="eastAsia" w:ascii="仿宋" w:hAnsi="仿宋" w:eastAsia="仿宋" w:cs="仿宋"/>
          <w:color w:val="auto"/>
          <w:sz w:val="32"/>
          <w:szCs w:val="32"/>
          <w:highlight w:val="none"/>
          <w:lang w:val="en-US" w:eastAsia="zh-CN"/>
        </w:rPr>
        <w:t>红枣期货</w:t>
      </w:r>
      <w:r>
        <w:rPr>
          <w:rFonts w:hint="eastAsia" w:ascii="仿宋" w:hAnsi="仿宋" w:eastAsia="仿宋" w:cs="仿宋"/>
          <w:color w:val="auto"/>
          <w:sz w:val="32"/>
          <w:szCs w:val="32"/>
          <w:highlight w:val="none"/>
        </w:rPr>
        <w:t>车（船）板货物交收三方协议书》，约定各方在交割过程中的权利和义务。</w:t>
      </w:r>
    </w:p>
    <w:p>
      <w:pPr>
        <w:pStyle w:val="13"/>
        <w:numPr>
          <w:ilvl w:val="0"/>
          <w:numId w:val="1"/>
        </w:numPr>
        <w:ind w:left="-79" w:firstLine="710" w:firstLineChars="0"/>
        <w:rPr>
          <w:rFonts w:hint="eastAsia" w:ascii="仿宋" w:hAnsi="仿宋" w:eastAsia="仿宋"/>
          <w:color w:val="auto"/>
          <w:sz w:val="32"/>
          <w:szCs w:val="32"/>
          <w:highlight w:val="none"/>
        </w:rPr>
      </w:pPr>
      <w:r>
        <w:rPr>
          <w:rFonts w:hint="eastAsia" w:eastAsia="黑体" w:cs="Times New Roman"/>
          <w:color w:val="auto"/>
          <w:kern w:val="0"/>
          <w:sz w:val="28"/>
          <w:szCs w:val="28"/>
          <w:highlight w:val="none"/>
          <w:lang w:val="en-US" w:eastAsia="zh-CN" w:bidi="ar-SA"/>
        </w:rPr>
        <w:t xml:space="preserve"> </w:t>
      </w:r>
      <w:r>
        <w:rPr>
          <w:rFonts w:hint="default" w:ascii="Times New Roman" w:hAnsi="Times New Roman" w:eastAsia="仿宋"/>
          <w:color w:val="auto"/>
          <w:sz w:val="32"/>
          <w:szCs w:val="32"/>
          <w:highlight w:val="none"/>
        </w:rPr>
        <w:t>交收客户</w:t>
      </w:r>
      <w:r>
        <w:rPr>
          <w:rFonts w:hint="default" w:ascii="Times New Roman" w:hAnsi="Times New Roman" w:eastAsia="仿宋"/>
          <w:color w:val="auto"/>
          <w:sz w:val="32"/>
          <w:szCs w:val="32"/>
          <w:highlight w:val="none"/>
          <w:lang w:eastAsia="zh-CN"/>
        </w:rPr>
        <w:t>到达</w:t>
      </w:r>
      <w:r>
        <w:rPr>
          <w:rFonts w:hint="eastAsia" w:ascii="Times New Roman" w:hAnsi="Times New Roman" w:eastAsia="仿宋"/>
          <w:color w:val="auto"/>
          <w:sz w:val="32"/>
          <w:szCs w:val="32"/>
          <w:highlight w:val="none"/>
          <w:lang w:eastAsia="zh-CN"/>
        </w:rPr>
        <w:t>交割服务机构</w:t>
      </w:r>
      <w:r>
        <w:rPr>
          <w:rFonts w:hint="default" w:ascii="Times New Roman" w:hAnsi="Times New Roman" w:eastAsia="仿宋"/>
          <w:color w:val="auto"/>
          <w:sz w:val="32"/>
          <w:szCs w:val="32"/>
          <w:highlight w:val="none"/>
          <w:lang w:eastAsia="zh-CN"/>
        </w:rPr>
        <w:t>后，应</w:t>
      </w:r>
      <w:r>
        <w:rPr>
          <w:rFonts w:hint="eastAsia" w:ascii="Times New Roman" w:hAnsi="Times New Roman" w:eastAsia="仿宋"/>
          <w:color w:val="auto"/>
          <w:sz w:val="32"/>
          <w:szCs w:val="32"/>
          <w:highlight w:val="none"/>
          <w:lang w:eastAsia="zh-CN"/>
        </w:rPr>
        <w:t>当现场</w:t>
      </w:r>
      <w:r>
        <w:rPr>
          <w:rFonts w:hint="default" w:ascii="Times New Roman" w:hAnsi="Times New Roman" w:eastAsia="仿宋"/>
          <w:color w:val="auto"/>
          <w:sz w:val="32"/>
          <w:szCs w:val="32"/>
          <w:highlight w:val="none"/>
          <w:lang w:eastAsia="zh-CN"/>
        </w:rPr>
        <w:t>提交</w:t>
      </w:r>
      <w:r>
        <w:rPr>
          <w:rFonts w:hint="default" w:ascii="Times New Roman" w:hAnsi="Times New Roman" w:eastAsia="仿宋"/>
          <w:color w:val="auto"/>
          <w:sz w:val="32"/>
          <w:szCs w:val="32"/>
          <w:highlight w:val="none"/>
        </w:rPr>
        <w:t>授权委托书原件、身份证原件及复印件等材料，</w:t>
      </w:r>
      <w:r>
        <w:rPr>
          <w:rFonts w:hint="eastAsia" w:ascii="仿宋" w:hAnsi="仿宋" w:eastAsia="仿宋"/>
          <w:color w:val="auto"/>
          <w:spacing w:val="0"/>
          <w:w w:val="100"/>
          <w:sz w:val="32"/>
          <w:szCs w:val="32"/>
          <w:highlight w:val="none"/>
          <w:lang w:eastAsia="zh-CN"/>
        </w:rPr>
        <w:t>并以</w:t>
      </w:r>
      <w:r>
        <w:rPr>
          <w:rFonts w:hint="eastAsia" w:ascii="仿宋" w:hAnsi="仿宋" w:eastAsia="仿宋"/>
          <w:color w:val="auto"/>
          <w:spacing w:val="0"/>
          <w:w w:val="100"/>
          <w:sz w:val="32"/>
          <w:szCs w:val="32"/>
          <w:highlight w:val="none"/>
        </w:rPr>
        <w:t>签字或加盖公章</w:t>
      </w:r>
      <w:r>
        <w:rPr>
          <w:rFonts w:hint="eastAsia" w:ascii="仿宋" w:hAnsi="仿宋" w:eastAsia="仿宋"/>
          <w:color w:val="auto"/>
          <w:spacing w:val="0"/>
          <w:w w:val="100"/>
          <w:sz w:val="32"/>
          <w:szCs w:val="32"/>
          <w:highlight w:val="none"/>
          <w:lang w:eastAsia="zh-CN"/>
        </w:rPr>
        <w:t>形式签署</w:t>
      </w:r>
      <w:r>
        <w:rPr>
          <w:rFonts w:hint="eastAsia" w:ascii="仿宋" w:hAnsi="仿宋" w:eastAsia="仿宋"/>
          <w:color w:val="auto"/>
          <w:spacing w:val="0"/>
          <w:w w:val="100"/>
          <w:sz w:val="32"/>
          <w:szCs w:val="32"/>
          <w:highlight w:val="none"/>
        </w:rPr>
        <w:t>《</w:t>
      </w:r>
      <w:r>
        <w:rPr>
          <w:rFonts w:hint="eastAsia" w:ascii="仿宋" w:hAnsi="仿宋" w:eastAsia="仿宋"/>
          <w:color w:val="auto"/>
          <w:spacing w:val="0"/>
          <w:w w:val="100"/>
          <w:sz w:val="32"/>
          <w:szCs w:val="32"/>
          <w:highlight w:val="none"/>
          <w:lang w:val="en-US" w:eastAsia="zh-CN"/>
        </w:rPr>
        <w:t>红枣</w:t>
      </w:r>
      <w:r>
        <w:rPr>
          <w:rFonts w:hint="eastAsia" w:ascii="仿宋" w:hAnsi="仿宋" w:eastAsia="仿宋"/>
          <w:color w:val="auto"/>
          <w:spacing w:val="0"/>
          <w:w w:val="100"/>
          <w:sz w:val="32"/>
          <w:szCs w:val="32"/>
          <w:highlight w:val="none"/>
        </w:rPr>
        <w:t>期货交收检验告知书》</w:t>
      </w:r>
      <w:r>
        <w:rPr>
          <w:rFonts w:hint="eastAsia" w:ascii="仿宋" w:hAnsi="仿宋" w:eastAsia="仿宋"/>
          <w:color w:val="auto"/>
          <w:spacing w:val="0"/>
          <w:sz w:val="32"/>
          <w:szCs w:val="32"/>
          <w:highlight w:val="none"/>
        </w:rPr>
        <w:t>。</w:t>
      </w:r>
      <w:r>
        <w:rPr>
          <w:rFonts w:hint="eastAsia" w:ascii="仿宋" w:hAnsi="仿宋" w:eastAsia="仿宋"/>
          <w:color w:val="auto"/>
          <w:spacing w:val="0"/>
          <w:sz w:val="32"/>
          <w:szCs w:val="32"/>
          <w:highlight w:val="none"/>
          <w:lang w:eastAsia="zh-CN"/>
        </w:rPr>
        <w:t>卖方客户应向买方客户提交本批红枣生产厂家出具的《生产加工证明》。</w:t>
      </w:r>
    </w:p>
    <w:p>
      <w:pPr>
        <w:pStyle w:val="13"/>
        <w:numPr>
          <w:ilvl w:val="0"/>
          <w:numId w:val="1"/>
        </w:numPr>
        <w:ind w:left="-10" w:leftChars="0" w:firstLine="640" w:firstLineChars="0"/>
        <w:rPr>
          <w:rFonts w:ascii="仿宋" w:hAnsi="仿宋" w:eastAsia="仿宋"/>
          <w:color w:val="auto"/>
          <w:sz w:val="32"/>
          <w:szCs w:val="32"/>
          <w:highlight w:val="none"/>
        </w:rPr>
      </w:pPr>
      <w:r>
        <w:rPr>
          <w:rFonts w:hint="eastAsia" w:ascii="宋体" w:hAnsi="宋体" w:eastAsia="宋体" w:cs="宋体"/>
          <w:color w:val="auto"/>
          <w:spacing w:val="-5"/>
          <w:sz w:val="32"/>
          <w:szCs w:val="32"/>
          <w:highlight w:val="none"/>
          <w:lang w:val="en-US" w:eastAsia="zh-CN"/>
        </w:rPr>
        <w:t xml:space="preserve"> </w:t>
      </w:r>
      <w:r>
        <w:rPr>
          <w:rFonts w:hint="eastAsia" w:ascii="仿宋" w:hAnsi="仿宋" w:eastAsia="仿宋"/>
          <w:color w:val="auto"/>
          <w:sz w:val="32"/>
          <w:szCs w:val="32"/>
          <w:highlight w:val="none"/>
          <w:lang w:eastAsia="zh-CN"/>
        </w:rPr>
        <w:t>交割服务机构</w:t>
      </w:r>
      <w:r>
        <w:rPr>
          <w:rFonts w:hint="eastAsia" w:ascii="仿宋" w:hAnsi="仿宋" w:eastAsia="仿宋"/>
          <w:color w:val="auto"/>
          <w:sz w:val="32"/>
          <w:szCs w:val="32"/>
          <w:highlight w:val="none"/>
        </w:rPr>
        <w:t>应</w:t>
      </w:r>
      <w:r>
        <w:rPr>
          <w:rFonts w:hint="eastAsia" w:ascii="仿宋" w:hAnsi="仿宋" w:eastAsia="仿宋"/>
          <w:color w:val="auto"/>
          <w:sz w:val="32"/>
          <w:szCs w:val="32"/>
          <w:highlight w:val="none"/>
          <w:lang w:eastAsia="zh-CN"/>
        </w:rPr>
        <w:t>当</w:t>
      </w:r>
      <w:r>
        <w:rPr>
          <w:rFonts w:hint="eastAsia" w:ascii="仿宋" w:hAnsi="仿宋" w:eastAsia="仿宋"/>
          <w:color w:val="auto"/>
          <w:sz w:val="32"/>
          <w:szCs w:val="32"/>
          <w:highlight w:val="none"/>
        </w:rPr>
        <w:t>要求交收客户在《</w:t>
      </w:r>
      <w:r>
        <w:rPr>
          <w:rFonts w:hint="eastAsia" w:ascii="仿宋" w:hAnsi="仿宋" w:eastAsia="仿宋"/>
          <w:color w:val="auto"/>
          <w:sz w:val="32"/>
          <w:szCs w:val="32"/>
          <w:highlight w:val="none"/>
          <w:lang w:val="en-US" w:eastAsia="zh-CN"/>
        </w:rPr>
        <w:t>红枣</w:t>
      </w:r>
      <w:r>
        <w:rPr>
          <w:rFonts w:hint="eastAsia" w:ascii="仿宋" w:hAnsi="仿宋" w:eastAsia="仿宋"/>
          <w:color w:val="auto"/>
          <w:sz w:val="32"/>
          <w:szCs w:val="32"/>
          <w:highlight w:val="none"/>
        </w:rPr>
        <w:t>期货货物交收时间确认表》上签字确认抵达</w:t>
      </w:r>
      <w:r>
        <w:rPr>
          <w:rFonts w:hint="eastAsia" w:ascii="仿宋" w:hAnsi="仿宋" w:eastAsia="仿宋"/>
          <w:color w:val="auto"/>
          <w:sz w:val="32"/>
          <w:szCs w:val="32"/>
          <w:highlight w:val="none"/>
          <w:lang w:eastAsia="zh-CN"/>
        </w:rPr>
        <w:t>交割现场</w:t>
      </w:r>
      <w:r>
        <w:rPr>
          <w:rFonts w:hint="eastAsia" w:ascii="仿宋" w:hAnsi="仿宋" w:eastAsia="仿宋"/>
          <w:color w:val="auto"/>
          <w:sz w:val="32"/>
          <w:szCs w:val="32"/>
          <w:highlight w:val="none"/>
        </w:rPr>
        <w:t>的时间，该时间作为滞纳金判罚的依据。如客户未在规定时间到场，</w:t>
      </w:r>
      <w:r>
        <w:rPr>
          <w:rFonts w:hint="eastAsia" w:ascii="仿宋" w:hAnsi="仿宋" w:eastAsia="仿宋"/>
          <w:color w:val="auto"/>
          <w:sz w:val="32"/>
          <w:szCs w:val="32"/>
          <w:highlight w:val="none"/>
          <w:lang w:eastAsia="zh-CN"/>
        </w:rPr>
        <w:t>交割服务机构</w:t>
      </w:r>
      <w:r>
        <w:rPr>
          <w:rFonts w:hint="eastAsia" w:ascii="仿宋" w:hAnsi="仿宋" w:eastAsia="仿宋"/>
          <w:color w:val="auto"/>
          <w:sz w:val="32"/>
          <w:szCs w:val="32"/>
          <w:highlight w:val="none"/>
        </w:rPr>
        <w:t>应</w:t>
      </w:r>
      <w:r>
        <w:rPr>
          <w:rFonts w:hint="eastAsia" w:ascii="仿宋" w:hAnsi="仿宋" w:eastAsia="仿宋"/>
          <w:color w:val="auto"/>
          <w:sz w:val="32"/>
          <w:szCs w:val="32"/>
          <w:highlight w:val="none"/>
          <w:lang w:eastAsia="zh-CN"/>
        </w:rPr>
        <w:t>当</w:t>
      </w:r>
      <w:r>
        <w:rPr>
          <w:rFonts w:hint="eastAsia" w:ascii="仿宋" w:hAnsi="仿宋" w:eastAsia="仿宋"/>
          <w:color w:val="auto"/>
          <w:sz w:val="32"/>
          <w:szCs w:val="32"/>
          <w:highlight w:val="none"/>
        </w:rPr>
        <w:t>如实记录相关信息，并提供佐证材料。</w:t>
      </w:r>
    </w:p>
    <w:p>
      <w:pPr>
        <w:pStyle w:val="13"/>
        <w:numPr>
          <w:ilvl w:val="0"/>
          <w:numId w:val="1"/>
        </w:numPr>
        <w:ind w:left="-79" w:firstLine="640" w:firstLineChars="0"/>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 xml:space="preserve"> </w:t>
      </w:r>
      <w:r>
        <w:rPr>
          <w:rFonts w:hint="default" w:ascii="Times New Roman" w:hAnsi="Times New Roman" w:eastAsia="仿宋"/>
          <w:color w:val="auto"/>
          <w:sz w:val="32"/>
          <w:szCs w:val="32"/>
          <w:highlight w:val="none"/>
        </w:rPr>
        <w:t>交收</w:t>
      </w:r>
      <w:r>
        <w:rPr>
          <w:rFonts w:hint="default" w:ascii="Times New Roman" w:hAnsi="Times New Roman" w:eastAsia="仿宋"/>
          <w:color w:val="auto"/>
          <w:sz w:val="32"/>
          <w:szCs w:val="32"/>
          <w:highlight w:val="none"/>
          <w:lang w:eastAsia="zh-CN"/>
        </w:rPr>
        <w:t>客户进入现场人员原则上不超过</w:t>
      </w:r>
      <w:r>
        <w:rPr>
          <w:rFonts w:hint="eastAsia" w:ascii="Times New Roman" w:hAnsi="Times New Roman" w:eastAsia="仿宋"/>
          <w:color w:val="auto"/>
          <w:sz w:val="32"/>
          <w:szCs w:val="32"/>
          <w:highlight w:val="none"/>
          <w:lang w:val="en-US" w:eastAsia="zh-CN"/>
        </w:rPr>
        <w:t>2</w:t>
      </w:r>
      <w:r>
        <w:rPr>
          <w:rFonts w:hint="default" w:ascii="Times New Roman" w:hAnsi="Times New Roman" w:eastAsia="仿宋"/>
          <w:color w:val="auto"/>
          <w:sz w:val="32"/>
          <w:szCs w:val="32"/>
          <w:highlight w:val="none"/>
          <w:lang w:val="en-US" w:eastAsia="zh-CN"/>
        </w:rPr>
        <w:t>名</w:t>
      </w:r>
      <w:r>
        <w:rPr>
          <w:rFonts w:hint="eastAsia" w:ascii="Times New Roman" w:hAnsi="Times New Roman" w:eastAsia="仿宋"/>
          <w:color w:val="auto"/>
          <w:sz w:val="32"/>
          <w:szCs w:val="32"/>
          <w:highlight w:val="none"/>
          <w:lang w:eastAsia="zh-CN"/>
        </w:rPr>
        <w:t>，非交收客户不得进入交割现场。交收过程中，交割服务机构应当对交割现场全程录音录像。</w:t>
      </w:r>
    </w:p>
    <w:p>
      <w:pPr>
        <w:pStyle w:val="13"/>
        <w:numPr>
          <w:ilvl w:val="0"/>
          <w:numId w:val="1"/>
        </w:numPr>
        <w:ind w:left="-79" w:firstLine="640" w:firstLineChars="0"/>
        <w:rPr>
          <w:rFonts w:ascii="仿宋" w:hAnsi="仿宋" w:eastAsia="仿宋"/>
          <w:color w:val="auto"/>
          <w:sz w:val="32"/>
          <w:szCs w:val="32"/>
          <w:highlight w:val="none"/>
        </w:rPr>
      </w:pPr>
      <w:r>
        <w:rPr>
          <w:rFonts w:hint="eastAsia" w:eastAsia="仿宋"/>
          <w:color w:val="auto"/>
          <w:sz w:val="32"/>
          <w:szCs w:val="32"/>
          <w:highlight w:val="none"/>
          <w:lang w:val="en-US" w:eastAsia="zh-CN"/>
        </w:rPr>
        <w:t xml:space="preserve"> </w:t>
      </w:r>
      <w:r>
        <w:rPr>
          <w:rFonts w:hint="default" w:ascii="Times New Roman" w:hAnsi="Times New Roman" w:eastAsia="仿宋"/>
          <w:color w:val="auto"/>
          <w:sz w:val="32"/>
          <w:szCs w:val="32"/>
          <w:highlight w:val="none"/>
        </w:rPr>
        <w:t>交收客户</w:t>
      </w:r>
      <w:r>
        <w:rPr>
          <w:rFonts w:hint="default" w:ascii="Times New Roman" w:hAnsi="Times New Roman" w:eastAsia="仿宋"/>
          <w:color w:val="auto"/>
          <w:sz w:val="32"/>
          <w:szCs w:val="32"/>
          <w:highlight w:val="none"/>
          <w:lang w:eastAsia="zh-CN"/>
        </w:rPr>
        <w:t>可以</w:t>
      </w:r>
      <w:r>
        <w:rPr>
          <w:rFonts w:hint="default" w:ascii="Times New Roman" w:hAnsi="Times New Roman" w:eastAsia="仿宋"/>
          <w:color w:val="auto"/>
          <w:sz w:val="32"/>
          <w:szCs w:val="32"/>
          <w:highlight w:val="none"/>
        </w:rPr>
        <w:t>采取贴标签或者其他合理方式，确定交割货物的存储位置。</w:t>
      </w:r>
      <w:r>
        <w:rPr>
          <w:rFonts w:hint="default" w:ascii="Times New Roman" w:hAnsi="Times New Roman" w:eastAsia="仿宋"/>
          <w:color w:val="auto"/>
          <w:sz w:val="32"/>
          <w:szCs w:val="32"/>
          <w:highlight w:val="none"/>
          <w:lang w:eastAsia="zh-CN"/>
        </w:rPr>
        <w:t>交割服务机构应当配合完成货物标记工作。</w:t>
      </w:r>
    </w:p>
    <w:p>
      <w:pPr>
        <w:pStyle w:val="13"/>
        <w:numPr>
          <w:ilvl w:val="0"/>
          <w:numId w:val="1"/>
        </w:numPr>
        <w:ind w:left="-10" w:leftChars="0" w:firstLine="710" w:firstLineChars="0"/>
        <w:rPr>
          <w:rFonts w:hint="eastAsia"/>
          <w:color w:val="auto"/>
          <w:highlight w:val="none"/>
          <w:lang w:val="en-US" w:eastAsia="zh-CN"/>
        </w:rPr>
      </w:pPr>
      <w:r>
        <w:rPr>
          <w:rFonts w:hint="eastAsia"/>
          <w:color w:val="auto"/>
          <w:highlight w:val="none"/>
          <w:lang w:val="en-US" w:eastAsia="zh-CN"/>
        </w:rPr>
        <w:t xml:space="preserve"> </w:t>
      </w:r>
      <w:r>
        <w:rPr>
          <w:rFonts w:hint="eastAsia" w:ascii="仿宋" w:hAnsi="仿宋" w:eastAsia="仿宋" w:cs="仿宋"/>
          <w:color w:val="auto"/>
          <w:sz w:val="32"/>
          <w:szCs w:val="32"/>
          <w:highlight w:val="none"/>
          <w:lang w:eastAsia="zh-CN"/>
        </w:rPr>
        <w:t>交割服务机构应当具备红枣质量检验能力，对货物进行预检，预检结果告知买卖双方作为参考。</w:t>
      </w:r>
    </w:p>
    <w:p>
      <w:pPr>
        <w:pStyle w:val="13"/>
        <w:numPr>
          <w:ilvl w:val="0"/>
          <w:numId w:val="0"/>
        </w:numPr>
        <w:ind w:firstLine="640" w:firstLineChars="200"/>
        <w:rPr>
          <w:rFonts w:hint="eastAsia"/>
          <w:color w:val="auto"/>
          <w:highlight w:val="none"/>
          <w:lang w:val="en-US" w:eastAsia="zh-CN"/>
        </w:rPr>
      </w:pPr>
      <w:r>
        <w:rPr>
          <w:rFonts w:hint="eastAsia" w:ascii="仿宋" w:hAnsi="仿宋" w:eastAsia="仿宋" w:cs="仿宋"/>
          <w:color w:val="auto"/>
          <w:sz w:val="32"/>
          <w:szCs w:val="32"/>
          <w:highlight w:val="none"/>
          <w:lang w:eastAsia="zh-CN"/>
        </w:rPr>
        <w:t>交割服务机构应当</w:t>
      </w:r>
      <w:r>
        <w:rPr>
          <w:rFonts w:hint="eastAsia" w:ascii="仿宋" w:hAnsi="仿宋" w:eastAsia="仿宋"/>
          <w:color w:val="auto"/>
          <w:sz w:val="32"/>
          <w:szCs w:val="32"/>
          <w:highlight w:val="none"/>
        </w:rPr>
        <w:t>协助交收</w:t>
      </w:r>
      <w:r>
        <w:rPr>
          <w:rFonts w:hint="eastAsia" w:ascii="仿宋" w:hAnsi="仿宋" w:eastAsia="仿宋"/>
          <w:color w:val="auto"/>
          <w:sz w:val="32"/>
          <w:szCs w:val="32"/>
          <w:highlight w:val="none"/>
          <w:lang w:val="en-US" w:eastAsia="zh-CN"/>
        </w:rPr>
        <w:t>买方</w:t>
      </w:r>
      <w:r>
        <w:rPr>
          <w:rFonts w:hint="eastAsia" w:ascii="仿宋" w:hAnsi="仿宋" w:eastAsia="仿宋"/>
          <w:color w:val="auto"/>
          <w:sz w:val="32"/>
          <w:szCs w:val="32"/>
          <w:highlight w:val="none"/>
        </w:rPr>
        <w:t>完成</w:t>
      </w:r>
      <w:r>
        <w:rPr>
          <w:rFonts w:hint="eastAsia" w:ascii="仿宋" w:hAnsi="仿宋" w:eastAsia="仿宋"/>
          <w:color w:val="auto"/>
          <w:sz w:val="32"/>
          <w:szCs w:val="32"/>
          <w:highlight w:val="none"/>
          <w:lang w:eastAsia="zh-CN"/>
        </w:rPr>
        <w:t>质量</w:t>
      </w:r>
      <w:r>
        <w:rPr>
          <w:rFonts w:hint="eastAsia" w:ascii="仿宋" w:hAnsi="仿宋" w:eastAsia="仿宋"/>
          <w:color w:val="auto"/>
          <w:sz w:val="32"/>
          <w:szCs w:val="32"/>
          <w:highlight w:val="none"/>
        </w:rPr>
        <w:t>检验</w:t>
      </w:r>
      <w:r>
        <w:rPr>
          <w:rFonts w:hint="eastAsia" w:ascii="仿宋" w:hAnsi="仿宋" w:eastAsia="仿宋" w:cs="仿宋"/>
          <w:color w:val="auto"/>
          <w:sz w:val="32"/>
          <w:szCs w:val="32"/>
          <w:highlight w:val="none"/>
          <w:lang w:eastAsia="zh-CN"/>
        </w:rPr>
        <w:t>，</w:t>
      </w:r>
      <w:r>
        <w:rPr>
          <w:rFonts w:hint="eastAsia" w:ascii="仿宋" w:hAnsi="仿宋" w:eastAsia="仿宋"/>
          <w:color w:val="auto"/>
          <w:sz w:val="32"/>
          <w:szCs w:val="32"/>
          <w:highlight w:val="none"/>
          <w:lang w:eastAsia="zh-CN"/>
        </w:rPr>
        <w:t>买方</w:t>
      </w:r>
      <w:r>
        <w:rPr>
          <w:rFonts w:hint="eastAsia" w:ascii="仿宋" w:hAnsi="仿宋" w:eastAsia="仿宋"/>
          <w:color w:val="auto"/>
          <w:sz w:val="32"/>
          <w:szCs w:val="32"/>
          <w:highlight w:val="none"/>
        </w:rPr>
        <w:t>自行</w:t>
      </w:r>
      <w:r>
        <w:rPr>
          <w:rFonts w:ascii="仿宋" w:hAnsi="仿宋" w:eastAsia="仿宋"/>
          <w:color w:val="auto"/>
          <w:sz w:val="32"/>
          <w:szCs w:val="32"/>
          <w:highlight w:val="none"/>
        </w:rPr>
        <w:t>检验完成后，</w:t>
      </w:r>
      <w:r>
        <w:rPr>
          <w:rFonts w:hint="eastAsia" w:ascii="仿宋" w:hAnsi="仿宋" w:eastAsia="仿宋" w:cs="Times New Roman"/>
          <w:color w:val="auto"/>
          <w:kern w:val="2"/>
          <w:sz w:val="32"/>
          <w:szCs w:val="32"/>
          <w:highlight w:val="none"/>
          <w:lang w:val="en-US" w:eastAsia="zh-CN" w:bidi="ar-SA"/>
        </w:rPr>
        <w:t>检验数据符合期货交割标准（包括基准交割品或替代品，下同）且双方无异议的，交割服务机构和买卖双方应当</w:t>
      </w:r>
      <w:r>
        <w:rPr>
          <w:rFonts w:hint="eastAsia" w:ascii="仿宋" w:hAnsi="仿宋" w:eastAsia="仿宋"/>
          <w:color w:val="auto"/>
          <w:sz w:val="32"/>
          <w:szCs w:val="32"/>
          <w:highlight w:val="none"/>
        </w:rPr>
        <w:t>在《</w:t>
      </w:r>
      <w:r>
        <w:rPr>
          <w:rFonts w:hint="eastAsia" w:ascii="仿宋" w:hAnsi="仿宋" w:eastAsia="仿宋"/>
          <w:color w:val="auto"/>
          <w:sz w:val="32"/>
          <w:szCs w:val="32"/>
          <w:highlight w:val="none"/>
          <w:lang w:val="en-US" w:eastAsia="zh-CN"/>
        </w:rPr>
        <w:t>红枣</w:t>
      </w:r>
      <w:r>
        <w:rPr>
          <w:rFonts w:hint="eastAsia" w:ascii="仿宋" w:hAnsi="仿宋" w:eastAsia="仿宋"/>
          <w:color w:val="auto"/>
          <w:sz w:val="32"/>
          <w:szCs w:val="32"/>
          <w:highlight w:val="none"/>
        </w:rPr>
        <w:t>期货</w:t>
      </w:r>
      <w:r>
        <w:rPr>
          <w:rFonts w:hint="eastAsia" w:ascii="仿宋" w:hAnsi="仿宋" w:eastAsia="仿宋"/>
          <w:color w:val="auto"/>
          <w:sz w:val="32"/>
          <w:szCs w:val="32"/>
          <w:highlight w:val="none"/>
          <w:lang w:val="en-US" w:eastAsia="zh-CN"/>
        </w:rPr>
        <w:t>质量验收</w:t>
      </w:r>
      <w:r>
        <w:rPr>
          <w:rFonts w:hint="eastAsia" w:ascii="仿宋" w:hAnsi="仿宋" w:eastAsia="仿宋"/>
          <w:color w:val="auto"/>
          <w:sz w:val="32"/>
          <w:szCs w:val="32"/>
          <w:highlight w:val="none"/>
        </w:rPr>
        <w:t>确认单》</w:t>
      </w:r>
      <w:r>
        <w:rPr>
          <w:rFonts w:ascii="仿宋" w:hAnsi="仿宋" w:eastAsia="仿宋"/>
          <w:color w:val="auto"/>
          <w:sz w:val="32"/>
          <w:szCs w:val="32"/>
          <w:highlight w:val="none"/>
        </w:rPr>
        <w:t>签字</w:t>
      </w:r>
      <w:r>
        <w:rPr>
          <w:rFonts w:hint="eastAsia" w:ascii="仿宋" w:hAnsi="仿宋" w:eastAsia="仿宋"/>
          <w:color w:val="auto"/>
          <w:sz w:val="32"/>
          <w:szCs w:val="32"/>
          <w:highlight w:val="none"/>
        </w:rPr>
        <w:t>或加盖公章</w:t>
      </w:r>
      <w:r>
        <w:rPr>
          <w:rFonts w:ascii="仿宋" w:hAnsi="仿宋" w:eastAsia="仿宋"/>
          <w:color w:val="auto"/>
          <w:sz w:val="32"/>
          <w:szCs w:val="32"/>
          <w:highlight w:val="none"/>
        </w:rPr>
        <w:t>确认</w:t>
      </w:r>
      <w:r>
        <w:rPr>
          <w:rFonts w:hint="eastAsia" w:ascii="仿宋" w:hAnsi="仿宋" w:eastAsia="仿宋"/>
          <w:color w:val="auto"/>
          <w:sz w:val="32"/>
          <w:szCs w:val="32"/>
          <w:highlight w:val="none"/>
        </w:rPr>
        <w:t>，并</w:t>
      </w:r>
      <w:r>
        <w:rPr>
          <w:rFonts w:ascii="仿宋" w:hAnsi="仿宋" w:eastAsia="仿宋"/>
          <w:color w:val="auto"/>
          <w:sz w:val="32"/>
          <w:szCs w:val="32"/>
          <w:highlight w:val="none"/>
        </w:rPr>
        <w:t>载明检验数据</w:t>
      </w:r>
      <w:r>
        <w:rPr>
          <w:rFonts w:hint="eastAsia" w:ascii="仿宋" w:hAnsi="仿宋" w:eastAsia="仿宋"/>
          <w:color w:val="auto"/>
          <w:sz w:val="32"/>
          <w:szCs w:val="32"/>
          <w:highlight w:val="none"/>
        </w:rPr>
        <w:t>等</w:t>
      </w:r>
      <w:r>
        <w:rPr>
          <w:rFonts w:ascii="仿宋" w:hAnsi="仿宋" w:eastAsia="仿宋"/>
          <w:color w:val="auto"/>
          <w:sz w:val="32"/>
          <w:szCs w:val="32"/>
          <w:highlight w:val="none"/>
        </w:rPr>
        <w:t>信息</w:t>
      </w:r>
      <w:r>
        <w:rPr>
          <w:rFonts w:hint="eastAsia" w:ascii="仿宋" w:hAnsi="仿宋" w:eastAsia="仿宋"/>
          <w:color w:val="auto"/>
          <w:sz w:val="32"/>
          <w:szCs w:val="32"/>
          <w:highlight w:val="none"/>
        </w:rPr>
        <w:t>。</w:t>
      </w:r>
    </w:p>
    <w:p>
      <w:pPr>
        <w:pStyle w:val="13"/>
        <w:numPr>
          <w:ilvl w:val="0"/>
          <w:numId w:val="1"/>
        </w:numPr>
        <w:ind w:left="-10" w:leftChars="0" w:firstLine="710" w:firstLineChars="0"/>
        <w:rPr>
          <w:rFonts w:hint="default"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 xml:space="preserve"> </w:t>
      </w:r>
      <w:r>
        <w:rPr>
          <w:rFonts w:hint="eastAsia" w:ascii="仿宋" w:hAnsi="仿宋" w:eastAsia="仿宋" w:cs="Times New Roman"/>
          <w:color w:val="auto"/>
          <w:kern w:val="2"/>
          <w:sz w:val="32"/>
          <w:szCs w:val="32"/>
          <w:highlight w:val="none"/>
          <w:lang w:val="en-US" w:eastAsia="zh-CN" w:bidi="ar-SA"/>
        </w:rPr>
        <w:t>货物发运时，买方应当到现场验收并监装、监运，卖方应当安排足够的人力、设备，确保正常发货。货物发运完毕以后，</w:t>
      </w:r>
      <w:r>
        <w:rPr>
          <w:rFonts w:hint="eastAsia" w:ascii="仿宋" w:hAnsi="仿宋" w:eastAsia="仿宋"/>
          <w:color w:val="auto"/>
          <w:sz w:val="32"/>
          <w:szCs w:val="32"/>
          <w:highlight w:val="none"/>
          <w:lang w:eastAsia="zh-CN"/>
        </w:rPr>
        <w:t>交割服务机构和</w:t>
      </w:r>
      <w:r>
        <w:rPr>
          <w:rFonts w:hint="eastAsia" w:ascii="仿宋" w:hAnsi="仿宋" w:eastAsia="仿宋"/>
          <w:color w:val="auto"/>
          <w:sz w:val="32"/>
          <w:szCs w:val="32"/>
          <w:highlight w:val="none"/>
        </w:rPr>
        <w:t>买</w:t>
      </w:r>
      <w:r>
        <w:rPr>
          <w:rFonts w:hint="eastAsia" w:ascii="仿宋" w:hAnsi="仿宋" w:eastAsia="仿宋"/>
          <w:color w:val="auto"/>
          <w:sz w:val="32"/>
          <w:szCs w:val="32"/>
          <w:highlight w:val="none"/>
          <w:lang w:eastAsia="zh-CN"/>
        </w:rPr>
        <w:t>卖</w:t>
      </w:r>
      <w:r>
        <w:rPr>
          <w:rFonts w:hint="eastAsia" w:ascii="仿宋" w:hAnsi="仿宋" w:eastAsia="仿宋"/>
          <w:color w:val="auto"/>
          <w:sz w:val="32"/>
          <w:szCs w:val="32"/>
          <w:highlight w:val="none"/>
        </w:rPr>
        <w:t>客户双方</w:t>
      </w:r>
      <w:r>
        <w:rPr>
          <w:rFonts w:hint="eastAsia" w:ascii="仿宋" w:hAnsi="仿宋" w:eastAsia="仿宋"/>
          <w:color w:val="auto"/>
          <w:sz w:val="32"/>
          <w:szCs w:val="32"/>
          <w:highlight w:val="none"/>
          <w:lang w:eastAsia="zh-CN"/>
        </w:rPr>
        <w:t>应当</w:t>
      </w:r>
      <w:r>
        <w:rPr>
          <w:rFonts w:hint="eastAsia" w:ascii="仿宋" w:hAnsi="仿宋" w:eastAsia="仿宋"/>
          <w:color w:val="auto"/>
          <w:sz w:val="32"/>
          <w:szCs w:val="32"/>
          <w:highlight w:val="none"/>
        </w:rPr>
        <w:t>在</w:t>
      </w:r>
      <w:r>
        <w:rPr>
          <w:rFonts w:hint="eastAsia" w:ascii="仿宋" w:hAnsi="仿宋" w:eastAsia="仿宋" w:cs="Times New Roman"/>
          <w:color w:val="auto"/>
          <w:kern w:val="2"/>
          <w:sz w:val="32"/>
          <w:szCs w:val="32"/>
          <w:highlight w:val="none"/>
          <w:lang w:val="en-US" w:eastAsia="zh-CN" w:bidi="ar-SA"/>
        </w:rPr>
        <w:t>《红枣期货数量验收确认单》签字或加盖公章确认，完成货物交收。</w:t>
      </w:r>
    </w:p>
    <w:p>
      <w:pPr>
        <w:spacing w:before="156" w:beforeLines="50" w:after="156" w:afterLines="50"/>
        <w:jc w:val="center"/>
        <w:outlineLvl w:val="0"/>
        <w:rPr>
          <w:rFonts w:hint="eastAsia" w:ascii="仿宋" w:hAnsi="仿宋" w:eastAsia="仿宋"/>
          <w:b/>
          <w:color w:val="auto"/>
          <w:sz w:val="32"/>
          <w:szCs w:val="32"/>
          <w:highlight w:val="none"/>
          <w:lang w:val="en-US" w:eastAsia="zh-CN"/>
        </w:rPr>
      </w:pPr>
      <w:r>
        <w:rPr>
          <w:rFonts w:hint="eastAsia" w:ascii="仿宋" w:hAnsi="仿宋" w:eastAsia="仿宋"/>
          <w:b/>
          <w:color w:val="auto"/>
          <w:sz w:val="32"/>
          <w:szCs w:val="32"/>
          <w:highlight w:val="none"/>
          <w:lang w:val="en-US" w:eastAsia="zh-CN"/>
        </w:rPr>
        <w:t xml:space="preserve">第四章 </w:t>
      </w:r>
      <w:r>
        <w:rPr>
          <w:rFonts w:hint="eastAsia" w:ascii="仿宋" w:hAnsi="仿宋" w:eastAsia="仿宋"/>
          <w:b/>
          <w:color w:val="auto"/>
          <w:sz w:val="32"/>
          <w:szCs w:val="32"/>
          <w:highlight w:val="none"/>
        </w:rPr>
        <w:t>复检流程</w:t>
      </w:r>
    </w:p>
    <w:p>
      <w:pPr>
        <w:pStyle w:val="3"/>
        <w:numPr>
          <w:ilvl w:val="0"/>
          <w:numId w:val="1"/>
        </w:numPr>
        <w:autoSpaceDE w:val="0"/>
        <w:autoSpaceDN w:val="0"/>
        <w:spacing w:before="2" w:line="364" w:lineRule="auto"/>
        <w:ind w:left="-10" w:leftChars="0" w:right="277" w:firstLine="624" w:firstLineChars="200"/>
        <w:jc w:val="left"/>
        <w:rPr>
          <w:rFonts w:hint="eastAsia" w:ascii="仿宋" w:hAnsi="仿宋" w:eastAsia="仿宋" w:cs="仿宋"/>
          <w:color w:val="auto"/>
          <w:spacing w:val="-4"/>
          <w:kern w:val="0"/>
          <w:highlight w:val="none"/>
          <w:lang w:val="en-US" w:eastAsia="zh-CN"/>
        </w:rPr>
      </w:pPr>
      <w:r>
        <w:rPr>
          <w:rFonts w:hint="eastAsia" w:cs="仿宋"/>
          <w:color w:val="auto"/>
          <w:spacing w:val="-4"/>
          <w:kern w:val="0"/>
          <w:highlight w:val="none"/>
          <w:lang w:val="en-US" w:eastAsia="zh-CN"/>
        </w:rPr>
        <w:t xml:space="preserve"> </w:t>
      </w:r>
      <w:r>
        <w:rPr>
          <w:rFonts w:hint="eastAsia" w:ascii="仿宋" w:hAnsi="仿宋" w:eastAsia="仿宋" w:cs="仿宋"/>
          <w:color w:val="auto"/>
          <w:spacing w:val="-4"/>
          <w:kern w:val="0"/>
          <w:highlight w:val="none"/>
          <w:lang w:val="en-US" w:eastAsia="zh-CN"/>
        </w:rPr>
        <w:t>交收双方</w:t>
      </w:r>
      <w:r>
        <w:rPr>
          <w:rFonts w:hint="eastAsia" w:cs="仿宋"/>
          <w:color w:val="auto"/>
          <w:spacing w:val="-4"/>
          <w:kern w:val="0"/>
          <w:highlight w:val="none"/>
          <w:lang w:val="en-US" w:eastAsia="zh-CN"/>
        </w:rPr>
        <w:t>发生质量争议时</w:t>
      </w:r>
      <w:r>
        <w:rPr>
          <w:rFonts w:hint="eastAsia" w:ascii="仿宋" w:hAnsi="仿宋" w:eastAsia="仿宋" w:cs="仿宋"/>
          <w:color w:val="auto"/>
          <w:spacing w:val="-4"/>
          <w:kern w:val="0"/>
          <w:highlight w:val="none"/>
          <w:lang w:val="en-US" w:eastAsia="zh-CN"/>
        </w:rPr>
        <w:t>，</w:t>
      </w:r>
      <w:r>
        <w:rPr>
          <w:rFonts w:hint="eastAsia" w:cs="仿宋"/>
          <w:color w:val="auto"/>
          <w:spacing w:val="-4"/>
          <w:kern w:val="0"/>
          <w:highlight w:val="none"/>
          <w:lang w:val="en-US" w:eastAsia="zh-CN"/>
        </w:rPr>
        <w:t>交割服务机构</w:t>
      </w:r>
      <w:r>
        <w:rPr>
          <w:rFonts w:hint="eastAsia" w:ascii="仿宋" w:hAnsi="仿宋" w:eastAsia="仿宋" w:cs="仿宋"/>
          <w:color w:val="auto"/>
          <w:spacing w:val="-4"/>
          <w:kern w:val="0"/>
          <w:highlight w:val="none"/>
          <w:lang w:val="en-US" w:eastAsia="zh-CN"/>
        </w:rPr>
        <w:t>应当告知各方可协商处理</w:t>
      </w:r>
      <w:r>
        <w:rPr>
          <w:rFonts w:hint="eastAsia" w:cs="仿宋"/>
          <w:color w:val="auto"/>
          <w:spacing w:val="-4"/>
          <w:kern w:val="0"/>
          <w:highlight w:val="none"/>
          <w:lang w:val="en-US" w:eastAsia="zh-CN"/>
        </w:rPr>
        <w:t>。</w:t>
      </w:r>
      <w:r>
        <w:rPr>
          <w:rFonts w:hint="eastAsia" w:ascii="仿宋" w:hAnsi="仿宋" w:eastAsia="仿宋" w:cs="仿宋"/>
          <w:color w:val="auto"/>
          <w:spacing w:val="-4"/>
          <w:kern w:val="0"/>
          <w:highlight w:val="none"/>
          <w:lang w:val="en-US" w:eastAsia="zh-CN"/>
        </w:rPr>
        <w:t>协商不成的，</w:t>
      </w:r>
      <w:r>
        <w:rPr>
          <w:rFonts w:hint="eastAsia" w:cs="仿宋"/>
          <w:color w:val="auto"/>
          <w:spacing w:val="-4"/>
          <w:kern w:val="0"/>
          <w:highlight w:val="none"/>
          <w:lang w:val="en-US" w:eastAsia="zh-CN"/>
        </w:rPr>
        <w:t>买方有权在完成自行检验且货物未离开交收现场情况下</w:t>
      </w:r>
      <w:r>
        <w:rPr>
          <w:rFonts w:hint="eastAsia" w:ascii="仿宋" w:hAnsi="仿宋" w:eastAsia="仿宋" w:cs="仿宋"/>
          <w:color w:val="auto"/>
          <w:spacing w:val="-4"/>
          <w:kern w:val="0"/>
          <w:highlight w:val="none"/>
          <w:lang w:val="en-US" w:eastAsia="zh-CN"/>
        </w:rPr>
        <w:t>提出一次复检申请。</w:t>
      </w:r>
    </w:p>
    <w:p>
      <w:pPr>
        <w:pStyle w:val="3"/>
        <w:numPr>
          <w:ilvl w:val="0"/>
          <w:numId w:val="1"/>
        </w:numPr>
        <w:autoSpaceDE w:val="0"/>
        <w:autoSpaceDN w:val="0"/>
        <w:spacing w:before="2" w:line="364" w:lineRule="auto"/>
        <w:ind w:left="-10" w:leftChars="0" w:right="277" w:firstLine="640" w:firstLineChars="200"/>
        <w:jc w:val="left"/>
        <w:rPr>
          <w:rFonts w:hint="eastAsia" w:ascii="仿宋" w:hAnsi="仿宋" w:eastAsia="仿宋" w:cs="Times New Roman"/>
          <w:color w:val="auto"/>
          <w:kern w:val="2"/>
          <w:sz w:val="32"/>
          <w:szCs w:val="32"/>
          <w:highlight w:val="none"/>
          <w:lang w:val="en-US" w:eastAsia="zh-CN" w:bidi="ar-SA"/>
        </w:rPr>
      </w:pPr>
      <w:r>
        <w:rPr>
          <w:rFonts w:hint="eastAsia" w:cs="Times New Roman"/>
          <w:color w:val="auto"/>
          <w:kern w:val="2"/>
          <w:sz w:val="32"/>
          <w:szCs w:val="32"/>
          <w:highlight w:val="none"/>
          <w:lang w:val="en-US" w:eastAsia="zh-CN" w:bidi="ar-SA"/>
        </w:rPr>
        <w:t xml:space="preserve"> 买方应</w:t>
      </w:r>
      <w:r>
        <w:rPr>
          <w:rFonts w:hint="eastAsia" w:ascii="仿宋" w:hAnsi="仿宋" w:eastAsia="仿宋" w:cs="Times New Roman"/>
          <w:color w:val="auto"/>
          <w:kern w:val="2"/>
          <w:sz w:val="32"/>
          <w:szCs w:val="32"/>
          <w:highlight w:val="none"/>
          <w:lang w:val="en-US" w:eastAsia="zh-CN" w:bidi="ar-SA"/>
        </w:rPr>
        <w:t>于自行检验</w:t>
      </w:r>
      <w:r>
        <w:rPr>
          <w:rFonts w:hint="eastAsia" w:ascii="Times New Roman" w:hAnsi="Times New Roman" w:eastAsia="仿宋" w:cs="Times New Roman"/>
          <w:b w:val="0"/>
          <w:bCs w:val="0"/>
          <w:color w:val="auto"/>
          <w:sz w:val="32"/>
          <w:szCs w:val="32"/>
          <w:highlight w:val="none"/>
          <w:lang w:eastAsia="zh-CN"/>
        </w:rPr>
        <w:t>后</w:t>
      </w:r>
      <w:r>
        <w:rPr>
          <w:rFonts w:hint="default" w:ascii="Times New Roman" w:hAnsi="Times New Roman" w:eastAsia="仿宋" w:cs="Times New Roman"/>
          <w:b w:val="0"/>
          <w:bCs w:val="0"/>
          <w:color w:val="auto"/>
          <w:sz w:val="32"/>
          <w:szCs w:val="32"/>
          <w:highlight w:val="none"/>
        </w:rPr>
        <w:t>（不含该日）</w:t>
      </w:r>
      <w:r>
        <w:rPr>
          <w:rFonts w:hint="eastAsia" w:cs="Times New Roman"/>
          <w:color w:val="auto"/>
          <w:kern w:val="2"/>
          <w:sz w:val="32"/>
          <w:szCs w:val="32"/>
          <w:highlight w:val="none"/>
          <w:lang w:val="en-US" w:eastAsia="zh-CN" w:bidi="ar-SA"/>
        </w:rPr>
        <w:t>1个日历日</w:t>
      </w:r>
      <w:r>
        <w:rPr>
          <w:rFonts w:hint="eastAsia" w:ascii="仿宋" w:hAnsi="仿宋" w:eastAsia="仿宋" w:cs="Times New Roman"/>
          <w:color w:val="auto"/>
          <w:kern w:val="2"/>
          <w:sz w:val="32"/>
          <w:szCs w:val="32"/>
          <w:highlight w:val="none"/>
          <w:lang w:val="en-US" w:eastAsia="zh-CN" w:bidi="ar-SA"/>
        </w:rPr>
        <w:t>内</w:t>
      </w:r>
      <w:r>
        <w:rPr>
          <w:rFonts w:hint="eastAsia" w:cs="Times New Roman"/>
          <w:color w:val="auto"/>
          <w:kern w:val="2"/>
          <w:sz w:val="32"/>
          <w:szCs w:val="32"/>
          <w:highlight w:val="none"/>
          <w:lang w:val="en-US" w:eastAsia="zh-CN" w:bidi="ar-SA"/>
        </w:rPr>
        <w:t>以电子邮件等形式向交割服务机构、</w:t>
      </w:r>
      <w:r>
        <w:rPr>
          <w:rFonts w:hint="eastAsia" w:ascii="仿宋" w:hAnsi="仿宋" w:eastAsia="仿宋" w:cs="Times New Roman"/>
          <w:color w:val="auto"/>
          <w:kern w:val="2"/>
          <w:sz w:val="32"/>
          <w:szCs w:val="32"/>
          <w:highlight w:val="none"/>
          <w:lang w:val="en-US" w:eastAsia="zh-CN" w:bidi="ar-SA"/>
        </w:rPr>
        <w:t>会员</w:t>
      </w:r>
      <w:r>
        <w:rPr>
          <w:rFonts w:hint="eastAsia" w:cs="Times New Roman"/>
          <w:color w:val="auto"/>
          <w:kern w:val="2"/>
          <w:sz w:val="32"/>
          <w:szCs w:val="32"/>
          <w:highlight w:val="none"/>
          <w:lang w:val="en-US" w:eastAsia="zh-CN" w:bidi="ar-SA"/>
        </w:rPr>
        <w:t>提出复检申请。交割服务机构收到复检申请应当及时向交易所报告。会员在收到复检申请后及时通过</w:t>
      </w:r>
      <w:r>
        <w:rPr>
          <w:rFonts w:hint="eastAsia" w:ascii="仿宋" w:hAnsi="仿宋" w:eastAsia="仿宋" w:cs="Times New Roman"/>
          <w:color w:val="auto"/>
          <w:kern w:val="2"/>
          <w:sz w:val="32"/>
          <w:szCs w:val="32"/>
          <w:highlight w:val="none"/>
          <w:lang w:val="en-US" w:eastAsia="zh-CN" w:bidi="ar-SA"/>
        </w:rPr>
        <w:t>电子仓单系统</w:t>
      </w:r>
      <w:r>
        <w:rPr>
          <w:rFonts w:hint="eastAsia" w:cs="Times New Roman"/>
          <w:color w:val="auto"/>
          <w:kern w:val="2"/>
          <w:sz w:val="32"/>
          <w:szCs w:val="32"/>
          <w:highlight w:val="none"/>
          <w:lang w:val="en-US" w:eastAsia="zh-CN" w:bidi="ar-SA"/>
        </w:rPr>
        <w:t>提交</w:t>
      </w:r>
      <w:r>
        <w:rPr>
          <w:rFonts w:hint="eastAsia" w:ascii="仿宋" w:hAnsi="仿宋" w:eastAsia="仿宋" w:cs="Times New Roman"/>
          <w:color w:val="auto"/>
          <w:kern w:val="2"/>
          <w:sz w:val="32"/>
          <w:szCs w:val="32"/>
          <w:highlight w:val="none"/>
          <w:lang w:val="en-US" w:eastAsia="zh-CN" w:bidi="ar-SA"/>
        </w:rPr>
        <w:t>复检申请。</w:t>
      </w:r>
    </w:p>
    <w:p>
      <w:pPr>
        <w:pStyle w:val="3"/>
        <w:numPr>
          <w:ilvl w:val="0"/>
          <w:numId w:val="1"/>
        </w:numPr>
        <w:autoSpaceDE w:val="0"/>
        <w:autoSpaceDN w:val="0"/>
        <w:spacing w:before="2" w:line="364" w:lineRule="auto"/>
        <w:ind w:left="-10" w:leftChars="0" w:right="277" w:firstLine="624" w:firstLineChars="200"/>
        <w:jc w:val="left"/>
        <w:rPr>
          <w:rFonts w:hint="eastAsia" w:ascii="仿宋" w:hAnsi="仿宋" w:eastAsia="仿宋" w:cs="Times New Roman"/>
          <w:color w:val="auto"/>
          <w:kern w:val="2"/>
          <w:sz w:val="32"/>
          <w:szCs w:val="32"/>
          <w:highlight w:val="none"/>
          <w:lang w:val="en-US" w:eastAsia="zh-CN" w:bidi="ar-SA"/>
        </w:rPr>
      </w:pPr>
      <w:r>
        <w:rPr>
          <w:rFonts w:hint="eastAsia" w:cs="仿宋"/>
          <w:color w:val="auto"/>
          <w:spacing w:val="-4"/>
          <w:kern w:val="0"/>
          <w:highlight w:val="none"/>
          <w:lang w:val="en-US" w:eastAsia="zh-CN"/>
        </w:rPr>
        <w:t xml:space="preserve"> 买方提交复检申请时，应当出具自行检验结果书面报告。报告出具人应当具备红枣独立检验能力及相关从业经历。自行检验结果报告与从业经历相关材料与复检申请一并提交。</w:t>
      </w:r>
    </w:p>
    <w:p>
      <w:pPr>
        <w:pStyle w:val="13"/>
        <w:numPr>
          <w:ilvl w:val="0"/>
          <w:numId w:val="1"/>
        </w:numPr>
        <w:ind w:left="-10" w:leftChars="0" w:firstLine="710" w:firstLineChars="0"/>
        <w:rPr>
          <w:rFonts w:hint="eastAsia" w:ascii="仿宋" w:hAnsi="仿宋" w:eastAsia="仿宋" w:cs="Times New Roman"/>
          <w:color w:val="auto"/>
          <w:kern w:val="2"/>
          <w:sz w:val="32"/>
          <w:szCs w:val="32"/>
          <w:highlight w:val="none"/>
          <w:lang w:val="en-US" w:eastAsia="zh-CN" w:bidi="ar-SA"/>
        </w:rPr>
      </w:pPr>
      <w:r>
        <w:rPr>
          <w:rFonts w:hint="eastAsia" w:ascii="仿宋" w:hAnsi="仿宋" w:eastAsia="仿宋" w:cs="Times New Roman"/>
          <w:color w:val="auto"/>
          <w:kern w:val="2"/>
          <w:sz w:val="32"/>
          <w:szCs w:val="32"/>
          <w:highlight w:val="none"/>
          <w:lang w:val="en-US" w:eastAsia="zh-CN" w:bidi="ar-SA"/>
        </w:rPr>
        <w:t xml:space="preserve"> 交割服务机构收到会员提出的复检申请后，应当在确认客户名称、复检项目等事项后，按照交易所公布的收费标准向复检提出方发送复检费用明细。</w:t>
      </w:r>
    </w:p>
    <w:p>
      <w:pPr>
        <w:pStyle w:val="13"/>
        <w:numPr>
          <w:ilvl w:val="0"/>
          <w:numId w:val="1"/>
        </w:numPr>
        <w:ind w:left="-11" w:leftChars="0" w:firstLine="640" w:firstLineChars="200"/>
        <w:rPr>
          <w:rFonts w:hint="eastAsia" w:ascii="仿宋" w:hAnsi="仿宋" w:eastAsia="仿宋" w:cs="Times New Roman"/>
          <w:color w:val="auto"/>
          <w:kern w:val="2"/>
          <w:sz w:val="32"/>
          <w:szCs w:val="32"/>
          <w:highlight w:val="none"/>
          <w:lang w:val="en-US" w:eastAsia="zh-CN" w:bidi="ar-SA"/>
        </w:rPr>
      </w:pPr>
      <w:r>
        <w:rPr>
          <w:rFonts w:hint="eastAsia" w:ascii="仿宋" w:hAnsi="仿宋" w:eastAsia="仿宋" w:cs="Times New Roman"/>
          <w:color w:val="auto"/>
          <w:kern w:val="2"/>
          <w:sz w:val="32"/>
          <w:szCs w:val="32"/>
          <w:highlight w:val="none"/>
          <w:lang w:val="en-US" w:eastAsia="zh-CN" w:bidi="ar-SA"/>
        </w:rPr>
        <w:t xml:space="preserve"> 复检提出方客户应当在提出复检申请（不含该日）后1个工作日内向交割服务机构预缴复检费用。未在规定时间内预缴复检费用的</w:t>
      </w:r>
      <w:r>
        <w:rPr>
          <w:rFonts w:hint="default" w:ascii="仿宋" w:hAnsi="仿宋" w:eastAsia="仿宋" w:cs="Times New Roman"/>
          <w:color w:val="auto"/>
          <w:kern w:val="2"/>
          <w:sz w:val="32"/>
          <w:szCs w:val="32"/>
          <w:highlight w:val="none"/>
          <w:lang w:val="en-US" w:eastAsia="zh-CN" w:bidi="ar-SA"/>
        </w:rPr>
        <w:t>,</w:t>
      </w:r>
      <w:r>
        <w:rPr>
          <w:rFonts w:hint="eastAsia" w:ascii="仿宋" w:hAnsi="仿宋" w:eastAsia="仿宋" w:cs="Times New Roman"/>
          <w:color w:val="auto"/>
          <w:kern w:val="2"/>
          <w:sz w:val="32"/>
          <w:szCs w:val="32"/>
          <w:highlight w:val="none"/>
          <w:lang w:val="en-US" w:eastAsia="zh-CN" w:bidi="ar-SA"/>
        </w:rPr>
        <w:t>复检申请作废，交易所不予受理。</w:t>
      </w:r>
    </w:p>
    <w:p>
      <w:pPr>
        <w:pStyle w:val="13"/>
        <w:spacing w:before="0" w:beforeLines="0" w:after="0" w:afterLines="0"/>
        <w:ind w:firstLine="640" w:firstLineChars="200"/>
        <w:rPr>
          <w:rFonts w:hint="eastAsia" w:ascii="仿宋" w:hAnsi="仿宋" w:eastAsia="仿宋" w:cs="Times New Roman"/>
          <w:color w:val="auto"/>
          <w:kern w:val="2"/>
          <w:sz w:val="32"/>
          <w:szCs w:val="32"/>
          <w:highlight w:val="none"/>
          <w:lang w:val="en-US" w:eastAsia="zh-CN" w:bidi="ar-SA"/>
        </w:rPr>
      </w:pPr>
      <w:r>
        <w:rPr>
          <w:rFonts w:hint="default" w:ascii="Times New Roman" w:hAnsi="Times New Roman" w:eastAsia="仿宋"/>
          <w:color w:val="auto"/>
          <w:sz w:val="32"/>
          <w:szCs w:val="32"/>
          <w:highlight w:val="none"/>
          <w:lang w:eastAsia="zh-CN"/>
        </w:rPr>
        <w:t>交割服务机构</w:t>
      </w:r>
      <w:r>
        <w:rPr>
          <w:rFonts w:hint="default" w:ascii="Times New Roman" w:hAnsi="Times New Roman" w:eastAsia="仿宋"/>
          <w:color w:val="auto"/>
          <w:sz w:val="32"/>
          <w:szCs w:val="32"/>
          <w:highlight w:val="none"/>
        </w:rPr>
        <w:t>在收到</w:t>
      </w:r>
      <w:r>
        <w:rPr>
          <w:rFonts w:hint="eastAsia" w:ascii="仿宋" w:hAnsi="仿宋" w:eastAsia="仿宋" w:cs="Times New Roman"/>
          <w:color w:val="auto"/>
          <w:kern w:val="2"/>
          <w:sz w:val="32"/>
          <w:szCs w:val="32"/>
          <w:highlight w:val="none"/>
          <w:lang w:val="en-US" w:eastAsia="zh-CN" w:bidi="ar-SA"/>
        </w:rPr>
        <w:t>预缴复检费用</w:t>
      </w:r>
      <w:r>
        <w:rPr>
          <w:rFonts w:hint="default" w:ascii="Times New Roman" w:hAnsi="Times New Roman" w:eastAsia="仿宋"/>
          <w:color w:val="auto"/>
          <w:sz w:val="32"/>
          <w:szCs w:val="32"/>
          <w:highlight w:val="none"/>
        </w:rPr>
        <w:t>后</w:t>
      </w:r>
      <w:r>
        <w:rPr>
          <w:rFonts w:hint="default" w:ascii="Times New Roman" w:hAnsi="Times New Roman" w:eastAsia="仿宋" w:cs="Times New Roman"/>
          <w:b w:val="0"/>
          <w:bCs w:val="0"/>
          <w:color w:val="auto"/>
          <w:sz w:val="32"/>
          <w:szCs w:val="32"/>
          <w:highlight w:val="none"/>
        </w:rPr>
        <w:t>（不含该日）</w:t>
      </w:r>
      <w:r>
        <w:rPr>
          <w:rFonts w:hint="eastAsia" w:ascii="Times New Roman" w:hAnsi="Times New Roman" w:eastAsia="仿宋"/>
          <w:color w:val="auto"/>
          <w:sz w:val="32"/>
          <w:szCs w:val="32"/>
          <w:highlight w:val="none"/>
          <w:lang w:val="en-US" w:eastAsia="zh-CN"/>
        </w:rPr>
        <w:t>1</w:t>
      </w:r>
      <w:r>
        <w:rPr>
          <w:rFonts w:ascii="Times New Roman" w:hAnsi="Times New Roman" w:eastAsia="仿宋"/>
          <w:color w:val="auto"/>
          <w:sz w:val="32"/>
          <w:szCs w:val="32"/>
          <w:highlight w:val="none"/>
        </w:rPr>
        <w:t>个</w:t>
      </w:r>
      <w:r>
        <w:rPr>
          <w:rFonts w:hint="eastAsia" w:ascii="Times New Roman" w:hAnsi="Times New Roman" w:eastAsia="仿宋"/>
          <w:color w:val="auto"/>
          <w:sz w:val="32"/>
          <w:szCs w:val="32"/>
          <w:highlight w:val="none"/>
          <w:lang w:eastAsia="zh-CN"/>
        </w:rPr>
        <w:t>工作日内</w:t>
      </w:r>
      <w:r>
        <w:rPr>
          <w:rFonts w:hint="default" w:ascii="Times New Roman" w:hAnsi="Times New Roman" w:eastAsia="仿宋"/>
          <w:color w:val="auto"/>
          <w:sz w:val="32"/>
          <w:szCs w:val="32"/>
          <w:highlight w:val="none"/>
        </w:rPr>
        <w:t>，通过</w:t>
      </w:r>
      <w:r>
        <w:rPr>
          <w:rFonts w:hint="eastAsia" w:ascii="Times New Roman" w:hAnsi="Times New Roman" w:eastAsia="仿宋"/>
          <w:color w:val="auto"/>
          <w:sz w:val="32"/>
          <w:szCs w:val="32"/>
          <w:highlight w:val="none"/>
          <w:lang w:eastAsia="zh-CN"/>
        </w:rPr>
        <w:t>会员</w:t>
      </w:r>
      <w:r>
        <w:rPr>
          <w:rFonts w:hint="default" w:ascii="Times New Roman" w:hAnsi="Times New Roman" w:eastAsia="仿宋"/>
          <w:color w:val="auto"/>
          <w:sz w:val="32"/>
          <w:szCs w:val="32"/>
          <w:highlight w:val="none"/>
        </w:rPr>
        <w:t>服务系统</w:t>
      </w:r>
      <w:r>
        <w:rPr>
          <w:rFonts w:hint="eastAsia" w:ascii="Times New Roman" w:hAnsi="Times New Roman" w:eastAsia="仿宋"/>
          <w:color w:val="auto"/>
          <w:sz w:val="32"/>
          <w:szCs w:val="32"/>
          <w:highlight w:val="none"/>
          <w:lang w:eastAsia="zh-CN"/>
        </w:rPr>
        <w:t>确认</w:t>
      </w:r>
      <w:r>
        <w:rPr>
          <w:rFonts w:hint="default" w:ascii="Times New Roman" w:hAnsi="Times New Roman" w:eastAsia="仿宋"/>
          <w:color w:val="auto"/>
          <w:sz w:val="32"/>
          <w:szCs w:val="32"/>
          <w:highlight w:val="none"/>
        </w:rPr>
        <w:t>复检申请。</w:t>
      </w:r>
    </w:p>
    <w:p>
      <w:pPr>
        <w:pStyle w:val="13"/>
        <w:numPr>
          <w:ilvl w:val="0"/>
          <w:numId w:val="1"/>
        </w:numPr>
        <w:ind w:left="-11" w:leftChars="0" w:firstLine="640" w:firstLineChars="200"/>
        <w:rPr>
          <w:rFonts w:hint="eastAsia" w:ascii="仿宋" w:hAnsi="仿宋" w:eastAsia="仿宋" w:cs="Times New Roman"/>
          <w:color w:val="auto"/>
          <w:kern w:val="2"/>
          <w:sz w:val="32"/>
          <w:szCs w:val="32"/>
          <w:highlight w:val="none"/>
          <w:lang w:val="en-US" w:eastAsia="zh-CN" w:bidi="ar-SA"/>
        </w:rPr>
      </w:pPr>
      <w:r>
        <w:rPr>
          <w:rFonts w:hint="eastAsia" w:ascii="仿宋" w:hAnsi="仿宋" w:eastAsia="仿宋" w:cs="Times New Roman"/>
          <w:color w:val="auto"/>
          <w:kern w:val="2"/>
          <w:sz w:val="32"/>
          <w:szCs w:val="32"/>
          <w:highlight w:val="none"/>
          <w:lang w:val="en-US" w:eastAsia="zh-CN" w:bidi="ar-SA"/>
        </w:rPr>
        <w:t xml:space="preserve"> </w:t>
      </w:r>
      <w:r>
        <w:rPr>
          <w:rFonts w:hint="eastAsia" w:ascii="仿宋" w:hAnsi="仿宋" w:eastAsia="仿宋" w:cs="仿宋"/>
          <w:color w:val="auto"/>
          <w:spacing w:val="-4"/>
          <w:kern w:val="0"/>
          <w:sz w:val="32"/>
          <w:szCs w:val="32"/>
          <w:highlight w:val="none"/>
          <w:lang w:val="en-US" w:eastAsia="zh-CN"/>
        </w:rPr>
        <w:t>质检机构应当在收到复检申请后与相关交割服务机构联系确认复检行程安排。</w:t>
      </w:r>
      <w:r>
        <w:rPr>
          <w:rFonts w:hint="eastAsia" w:ascii="Times New Roman" w:hAnsi="Times New Roman" w:eastAsia="仿宋"/>
          <w:color w:val="auto"/>
          <w:sz w:val="32"/>
          <w:szCs w:val="32"/>
          <w:highlight w:val="none"/>
          <w:lang w:eastAsia="zh-CN"/>
        </w:rPr>
        <w:t>复检行程确认后，质检机构应当向交易所报备。</w:t>
      </w:r>
    </w:p>
    <w:p>
      <w:pPr>
        <w:pStyle w:val="13"/>
        <w:numPr>
          <w:ilvl w:val="0"/>
          <w:numId w:val="0"/>
        </w:numPr>
        <w:ind w:firstLine="640" w:firstLineChars="200"/>
        <w:rPr>
          <w:rFonts w:hint="default" w:ascii="仿宋" w:hAnsi="仿宋" w:eastAsia="仿宋" w:cs="Times New Roman"/>
          <w:color w:val="auto"/>
          <w:kern w:val="2"/>
          <w:sz w:val="32"/>
          <w:szCs w:val="32"/>
          <w:highlight w:val="none"/>
          <w:lang w:val="en-US" w:eastAsia="zh-CN" w:bidi="ar-SA"/>
        </w:rPr>
      </w:pPr>
      <w:r>
        <w:rPr>
          <w:rFonts w:hint="eastAsia" w:ascii="Times New Roman" w:hAnsi="Times New Roman" w:eastAsia="仿宋"/>
          <w:color w:val="auto"/>
          <w:sz w:val="32"/>
          <w:szCs w:val="32"/>
          <w:highlight w:val="none"/>
          <w:lang w:eastAsia="zh-CN"/>
        </w:rPr>
        <w:t>交割服务机构应当及时通知买卖双方及会员复检时间。</w:t>
      </w:r>
    </w:p>
    <w:p>
      <w:pPr>
        <w:pStyle w:val="13"/>
        <w:numPr>
          <w:ilvl w:val="0"/>
          <w:numId w:val="1"/>
        </w:numPr>
        <w:ind w:left="-10" w:leftChars="0" w:firstLine="710" w:firstLineChars="0"/>
        <w:rPr>
          <w:rFonts w:hint="eastAsia" w:ascii="仿宋" w:hAnsi="仿宋" w:eastAsia="仿宋" w:cs="Times New Roman"/>
          <w:color w:val="auto"/>
          <w:kern w:val="2"/>
          <w:sz w:val="32"/>
          <w:szCs w:val="32"/>
          <w:highlight w:val="none"/>
          <w:lang w:val="en-US" w:eastAsia="zh-CN" w:bidi="ar-SA"/>
        </w:rPr>
      </w:pPr>
      <w:r>
        <w:rPr>
          <w:rFonts w:hint="eastAsia" w:ascii="仿宋" w:hAnsi="仿宋" w:eastAsia="仿宋"/>
          <w:color w:val="auto"/>
          <w:sz w:val="32"/>
          <w:szCs w:val="32"/>
          <w:highlight w:val="none"/>
          <w:lang w:val="en-US" w:eastAsia="zh-CN"/>
        </w:rPr>
        <w:t xml:space="preserve"> 买卖双方协商一致的，可由买卖双方现场抽样，将样品寄往质检机构复检。买卖双方协商不一致的，由质检机构到现场抽样复检。买卖双方</w:t>
      </w:r>
      <w:r>
        <w:rPr>
          <w:rFonts w:hint="eastAsia" w:ascii="仿宋" w:hAnsi="仿宋" w:eastAsia="仿宋"/>
          <w:color w:val="auto"/>
          <w:sz w:val="32"/>
          <w:szCs w:val="32"/>
          <w:highlight w:val="none"/>
          <w:lang w:eastAsia="zh-CN"/>
        </w:rPr>
        <w:t>应当</w:t>
      </w:r>
      <w:r>
        <w:rPr>
          <w:rFonts w:hint="eastAsia" w:ascii="仿宋" w:hAnsi="仿宋" w:eastAsia="仿宋"/>
          <w:color w:val="auto"/>
          <w:sz w:val="32"/>
          <w:szCs w:val="32"/>
          <w:highlight w:val="none"/>
        </w:rPr>
        <w:t>在《</w:t>
      </w:r>
      <w:r>
        <w:rPr>
          <w:rFonts w:hint="eastAsia" w:ascii="仿宋" w:hAnsi="仿宋" w:eastAsia="仿宋"/>
          <w:color w:val="auto"/>
          <w:sz w:val="32"/>
          <w:szCs w:val="32"/>
          <w:highlight w:val="none"/>
          <w:lang w:val="en-US" w:eastAsia="zh-CN"/>
        </w:rPr>
        <w:t>红枣</w:t>
      </w:r>
      <w:r>
        <w:rPr>
          <w:rFonts w:hint="eastAsia" w:ascii="仿宋" w:hAnsi="仿宋" w:eastAsia="仿宋"/>
          <w:color w:val="auto"/>
          <w:sz w:val="32"/>
          <w:szCs w:val="32"/>
          <w:highlight w:val="none"/>
        </w:rPr>
        <w:t>期货复检样品确认书》签字或加盖公章，确认样品数量及</w:t>
      </w:r>
      <w:r>
        <w:rPr>
          <w:rFonts w:hint="eastAsia" w:ascii="仿宋" w:hAnsi="仿宋" w:eastAsia="仿宋"/>
          <w:color w:val="auto"/>
          <w:sz w:val="32"/>
          <w:szCs w:val="32"/>
          <w:highlight w:val="none"/>
          <w:lang w:val="en-US" w:eastAsia="zh-CN"/>
        </w:rPr>
        <w:t>重量</w:t>
      </w:r>
      <w:r>
        <w:rPr>
          <w:rFonts w:hint="eastAsia" w:ascii="仿宋" w:hAnsi="仿宋" w:eastAsia="仿宋"/>
          <w:color w:val="auto"/>
          <w:sz w:val="32"/>
          <w:szCs w:val="32"/>
          <w:highlight w:val="none"/>
        </w:rPr>
        <w:t>。如客户未到场，视同对样品状态无异议。</w:t>
      </w:r>
    </w:p>
    <w:p>
      <w:pPr>
        <w:pStyle w:val="13"/>
        <w:numPr>
          <w:ilvl w:val="0"/>
          <w:numId w:val="0"/>
        </w:numPr>
        <w:ind w:left="0" w:leftChars="0"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复检抽样时，每90吨货物抽取一个样品，不足90吨的按90吨计。取样件数不低于总件数的0.5%，取样量不低于1千克。不同厂家生产的红枣应当分别进行抽样。</w:t>
      </w:r>
    </w:p>
    <w:p>
      <w:pPr>
        <w:pStyle w:val="13"/>
        <w:numPr>
          <w:ilvl w:val="0"/>
          <w:numId w:val="1"/>
        </w:numPr>
        <w:ind w:left="-10" w:leftChars="0" w:firstLine="710" w:firstLineChars="0"/>
        <w:rPr>
          <w:rFonts w:hint="default"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 xml:space="preserve"> 买卖双方协商选择寄样复检的，买卖双方现场抽样时，交割服务机构提供抽样协助，见证现场抽样，必要时可采用录像方式记录抽样过程。寄出样品外包装应当标示“复检样品”字样，载明抽样日期，买卖双方代表人签字或盖章。交割服务机构应当在样品寄出后及时告知质检机构。质检机构收到样品后应当确认样品外包装完整，并拍照记录。</w:t>
      </w:r>
    </w:p>
    <w:p>
      <w:pPr>
        <w:pStyle w:val="13"/>
        <w:numPr>
          <w:ilvl w:val="0"/>
          <w:numId w:val="1"/>
        </w:numPr>
        <w:ind w:left="-10" w:leftChars="0" w:firstLine="710" w:firstLineChars="0"/>
        <w:rPr>
          <w:rFonts w:hint="default"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 xml:space="preserve"> 质检机构自取样或收到样品之日起（不含该日）5个工作日内出具质检结果，并将质检结果上传至会员服务系统。</w:t>
      </w:r>
      <w:r>
        <w:rPr>
          <w:rFonts w:hint="eastAsia" w:ascii="Times New Roman" w:hAnsi="Times New Roman" w:eastAsia="仿宋"/>
          <w:color w:val="auto"/>
          <w:sz w:val="32"/>
          <w:szCs w:val="32"/>
          <w:highlight w:val="none"/>
          <w:lang w:eastAsia="zh-CN"/>
        </w:rPr>
        <w:t>会员应当及时通知客户检验结果，</w:t>
      </w:r>
      <w:r>
        <w:rPr>
          <w:rFonts w:hint="default" w:ascii="Times New Roman" w:hAnsi="Times New Roman" w:eastAsia="仿宋"/>
          <w:color w:val="auto"/>
          <w:sz w:val="32"/>
          <w:szCs w:val="32"/>
          <w:highlight w:val="none"/>
        </w:rPr>
        <w:t>办理相关手续</w:t>
      </w:r>
      <w:r>
        <w:rPr>
          <w:rFonts w:hint="eastAsia" w:eastAsia="仿宋"/>
          <w:color w:val="auto"/>
          <w:sz w:val="32"/>
          <w:szCs w:val="32"/>
          <w:highlight w:val="none"/>
          <w:lang w:eastAsia="zh-CN"/>
        </w:rPr>
        <w:t>。</w:t>
      </w:r>
    </w:p>
    <w:p>
      <w:pPr>
        <w:pStyle w:val="13"/>
        <w:numPr>
          <w:ilvl w:val="0"/>
          <w:numId w:val="1"/>
        </w:numPr>
        <w:ind w:left="-10" w:leftChars="0" w:firstLine="710" w:firstLineChars="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 xml:space="preserve"> 交割服务机构应当自复检结果出具日（不含该日）起2个工作日内与质检机构结清复检费用，并完成预缴复检费用的清退工作。</w:t>
      </w:r>
    </w:p>
    <w:p>
      <w:pPr>
        <w:pStyle w:val="13"/>
        <w:numPr>
          <w:ilvl w:val="0"/>
          <w:numId w:val="1"/>
        </w:numPr>
        <w:spacing w:before="0" w:beforeLines="0" w:after="0" w:afterLines="0"/>
        <w:ind w:left="-79" w:firstLine="709" w:firstLineChars="0"/>
        <w:rPr>
          <w:rFonts w:hint="default" w:ascii="宋体" w:hAnsi="宋体" w:eastAsia="宋体" w:cs="宋体"/>
          <w:color w:val="auto"/>
          <w:spacing w:val="-20"/>
          <w:sz w:val="32"/>
          <w:szCs w:val="32"/>
          <w:highlight w:val="none"/>
          <w:lang w:val="en-US" w:eastAsia="zh-CN"/>
        </w:rPr>
      </w:pPr>
      <w:r>
        <w:rPr>
          <w:rFonts w:hint="eastAsia" w:ascii="仿宋" w:hAnsi="仿宋" w:eastAsia="仿宋"/>
          <w:color w:val="auto"/>
          <w:sz w:val="32"/>
          <w:szCs w:val="32"/>
          <w:highlight w:val="none"/>
          <w:lang w:val="en-US" w:eastAsia="zh-CN"/>
        </w:rPr>
        <w:t xml:space="preserve"> </w:t>
      </w:r>
      <w:r>
        <w:rPr>
          <w:rFonts w:hint="eastAsia" w:ascii="Times New Roman" w:hAnsi="Times New Roman" w:eastAsia="仿宋"/>
          <w:color w:val="auto"/>
          <w:sz w:val="32"/>
          <w:szCs w:val="32"/>
          <w:highlight w:val="none"/>
          <w:lang w:eastAsia="zh-CN"/>
        </w:rPr>
        <w:t>质检机构</w:t>
      </w:r>
      <w:r>
        <w:rPr>
          <w:rFonts w:hint="default" w:ascii="Times New Roman" w:hAnsi="Times New Roman" w:eastAsia="仿宋"/>
          <w:color w:val="auto"/>
          <w:sz w:val="32"/>
          <w:szCs w:val="32"/>
          <w:highlight w:val="none"/>
        </w:rPr>
        <w:t>应当根据客户</w:t>
      </w:r>
      <w:r>
        <w:rPr>
          <w:rFonts w:hint="eastAsia" w:ascii="Times New Roman" w:hAnsi="Times New Roman" w:eastAsia="仿宋"/>
          <w:color w:val="auto"/>
          <w:sz w:val="32"/>
          <w:szCs w:val="32"/>
          <w:highlight w:val="none"/>
          <w:lang w:eastAsia="zh-CN"/>
        </w:rPr>
        <w:t>要求</w:t>
      </w:r>
      <w:r>
        <w:rPr>
          <w:rFonts w:hint="default" w:ascii="Times New Roman" w:hAnsi="Times New Roman" w:eastAsia="仿宋"/>
          <w:color w:val="auto"/>
          <w:sz w:val="32"/>
          <w:szCs w:val="32"/>
          <w:highlight w:val="none"/>
        </w:rPr>
        <w:t>，及时妥善地</w:t>
      </w:r>
      <w:r>
        <w:rPr>
          <w:rFonts w:ascii="Times New Roman" w:hAnsi="Times New Roman" w:eastAsia="仿宋"/>
          <w:color w:val="auto"/>
          <w:sz w:val="32"/>
          <w:szCs w:val="32"/>
          <w:highlight w:val="none"/>
        </w:rPr>
        <w:t>将</w:t>
      </w:r>
      <w:r>
        <w:rPr>
          <w:rFonts w:hint="default" w:ascii="Times New Roman" w:hAnsi="Times New Roman" w:eastAsia="仿宋"/>
          <w:color w:val="auto"/>
          <w:sz w:val="32"/>
          <w:szCs w:val="32"/>
          <w:highlight w:val="none"/>
        </w:rPr>
        <w:t>质检报告的</w:t>
      </w:r>
      <w:r>
        <w:rPr>
          <w:rFonts w:ascii="Times New Roman" w:hAnsi="Times New Roman" w:eastAsia="仿宋"/>
          <w:color w:val="auto"/>
          <w:sz w:val="32"/>
          <w:szCs w:val="32"/>
          <w:highlight w:val="none"/>
        </w:rPr>
        <w:t>正本</w:t>
      </w:r>
      <w:r>
        <w:rPr>
          <w:rFonts w:hint="default" w:ascii="Times New Roman" w:hAnsi="Times New Roman" w:eastAsia="仿宋"/>
          <w:color w:val="auto"/>
          <w:sz w:val="32"/>
          <w:szCs w:val="32"/>
          <w:highlight w:val="none"/>
        </w:rPr>
        <w:t>原件</w:t>
      </w:r>
      <w:r>
        <w:rPr>
          <w:rFonts w:hint="eastAsia" w:ascii="Times New Roman" w:hAnsi="Times New Roman" w:eastAsia="仿宋"/>
          <w:color w:val="auto"/>
          <w:sz w:val="32"/>
          <w:szCs w:val="32"/>
          <w:highlight w:val="none"/>
          <w:lang w:eastAsia="zh-CN"/>
        </w:rPr>
        <w:t>及费用明细</w:t>
      </w:r>
      <w:r>
        <w:rPr>
          <w:rFonts w:ascii="Times New Roman" w:hAnsi="Times New Roman" w:eastAsia="仿宋"/>
          <w:color w:val="auto"/>
          <w:sz w:val="32"/>
          <w:szCs w:val="32"/>
          <w:highlight w:val="none"/>
        </w:rPr>
        <w:t>邮寄</w:t>
      </w:r>
      <w:r>
        <w:rPr>
          <w:rFonts w:hint="default" w:ascii="Times New Roman" w:hAnsi="Times New Roman" w:eastAsia="仿宋"/>
          <w:color w:val="auto"/>
          <w:sz w:val="32"/>
          <w:szCs w:val="32"/>
          <w:highlight w:val="none"/>
        </w:rPr>
        <w:t>至</w:t>
      </w:r>
      <w:r>
        <w:rPr>
          <w:rFonts w:ascii="Times New Roman" w:hAnsi="Times New Roman" w:eastAsia="仿宋"/>
          <w:color w:val="auto"/>
          <w:sz w:val="32"/>
          <w:szCs w:val="32"/>
          <w:highlight w:val="none"/>
        </w:rPr>
        <w:t>付费方</w:t>
      </w:r>
      <w:r>
        <w:rPr>
          <w:rFonts w:hint="default" w:ascii="Times New Roman" w:hAnsi="Times New Roman" w:eastAsia="仿宋"/>
          <w:color w:val="auto"/>
          <w:sz w:val="32"/>
          <w:szCs w:val="32"/>
          <w:highlight w:val="none"/>
        </w:rPr>
        <w:t>。</w:t>
      </w:r>
    </w:p>
    <w:p>
      <w:pPr>
        <w:spacing w:before="156" w:beforeLines="50" w:after="156" w:afterLines="50"/>
        <w:jc w:val="center"/>
        <w:outlineLvl w:val="0"/>
        <w:rPr>
          <w:rFonts w:hint="default" w:ascii="仿宋" w:hAnsi="仿宋" w:eastAsia="仿宋"/>
          <w:b/>
          <w:color w:val="auto"/>
          <w:sz w:val="32"/>
          <w:szCs w:val="32"/>
          <w:highlight w:val="none"/>
          <w:lang w:val="en-US" w:eastAsia="zh-CN"/>
        </w:rPr>
      </w:pPr>
      <w:r>
        <w:rPr>
          <w:rFonts w:hint="eastAsia" w:ascii="仿宋" w:hAnsi="仿宋" w:eastAsia="仿宋"/>
          <w:b/>
          <w:color w:val="auto"/>
          <w:sz w:val="32"/>
          <w:szCs w:val="32"/>
          <w:highlight w:val="none"/>
        </w:rPr>
        <w:t>第</w:t>
      </w:r>
      <w:r>
        <w:rPr>
          <w:rFonts w:hint="eastAsia" w:ascii="仿宋" w:hAnsi="仿宋" w:eastAsia="仿宋"/>
          <w:b/>
          <w:color w:val="auto"/>
          <w:sz w:val="32"/>
          <w:szCs w:val="32"/>
          <w:highlight w:val="none"/>
          <w:lang w:eastAsia="zh-CN"/>
        </w:rPr>
        <w:t>五</w:t>
      </w:r>
      <w:r>
        <w:rPr>
          <w:rFonts w:hint="eastAsia" w:ascii="仿宋" w:hAnsi="仿宋" w:eastAsia="仿宋"/>
          <w:b/>
          <w:color w:val="auto"/>
          <w:sz w:val="32"/>
          <w:szCs w:val="32"/>
          <w:highlight w:val="none"/>
        </w:rPr>
        <w:t xml:space="preserve">章 </w:t>
      </w:r>
      <w:r>
        <w:rPr>
          <w:rFonts w:hint="eastAsia" w:ascii="仿宋" w:hAnsi="仿宋" w:eastAsia="仿宋"/>
          <w:b/>
          <w:color w:val="auto"/>
          <w:sz w:val="32"/>
          <w:szCs w:val="32"/>
          <w:highlight w:val="none"/>
          <w:lang w:val="en-US" w:eastAsia="zh-CN"/>
        </w:rPr>
        <w:t>监督管理</w:t>
      </w:r>
    </w:p>
    <w:p>
      <w:pPr>
        <w:numPr>
          <w:ilvl w:val="0"/>
          <w:numId w:val="1"/>
        </w:numPr>
        <w:spacing w:before="156" w:beforeLines="50" w:after="156" w:afterLines="50"/>
        <w:ind w:left="-79" w:firstLine="710"/>
        <w:rPr>
          <w:rFonts w:hint="eastAsia" w:ascii="仿宋" w:hAnsi="仿宋" w:eastAsia="仿宋"/>
          <w:b/>
          <w:color w:val="auto"/>
          <w:sz w:val="32"/>
          <w:szCs w:val="32"/>
          <w:highlight w:val="none"/>
        </w:rPr>
      </w:pPr>
      <w:r>
        <w:rPr>
          <w:rFonts w:hint="eastAsia" w:ascii="仿宋" w:hAnsi="仿宋" w:eastAsia="仿宋"/>
          <w:color w:val="auto"/>
          <w:sz w:val="32"/>
          <w:szCs w:val="32"/>
          <w:highlight w:val="none"/>
        </w:rPr>
        <w:t xml:space="preserve"> </w:t>
      </w:r>
      <w:r>
        <w:rPr>
          <w:rFonts w:hint="default" w:ascii="Times New Roman" w:hAnsi="Times New Roman" w:eastAsia="仿宋"/>
          <w:color w:val="auto"/>
          <w:sz w:val="32"/>
          <w:szCs w:val="32"/>
          <w:highlight w:val="none"/>
          <w:lang w:eastAsia="zh-CN"/>
        </w:rPr>
        <w:t>交割服务机构</w:t>
      </w:r>
      <w:r>
        <w:rPr>
          <w:rFonts w:hint="default" w:ascii="Times New Roman" w:hAnsi="Times New Roman" w:eastAsia="仿宋"/>
          <w:color w:val="auto"/>
          <w:sz w:val="32"/>
          <w:szCs w:val="32"/>
          <w:highlight w:val="none"/>
        </w:rPr>
        <w:t>应当妥善留存交收客户的授权委托书、</w:t>
      </w:r>
      <w:r>
        <w:rPr>
          <w:rFonts w:hint="eastAsia" w:eastAsia="仿宋"/>
          <w:color w:val="auto"/>
          <w:sz w:val="32"/>
          <w:szCs w:val="32"/>
          <w:highlight w:val="none"/>
          <w:lang w:eastAsia="zh-CN"/>
        </w:rPr>
        <w:t>受托人</w:t>
      </w:r>
      <w:r>
        <w:rPr>
          <w:rFonts w:hint="default" w:ascii="Times New Roman" w:hAnsi="Times New Roman" w:eastAsia="仿宋"/>
          <w:color w:val="auto"/>
          <w:sz w:val="32"/>
          <w:szCs w:val="32"/>
          <w:highlight w:val="none"/>
        </w:rPr>
        <w:t>身份证复印件</w:t>
      </w:r>
      <w:r>
        <w:rPr>
          <w:rFonts w:hint="eastAsia" w:eastAsia="仿宋"/>
          <w:color w:val="auto"/>
          <w:sz w:val="32"/>
          <w:szCs w:val="32"/>
          <w:highlight w:val="none"/>
          <w:lang w:eastAsia="zh-CN"/>
        </w:rPr>
        <w:t>、《红枣期货车（船）板货物交收三方协议书》</w:t>
      </w:r>
      <w:r>
        <w:rPr>
          <w:rFonts w:hint="default" w:ascii="Times New Roman" w:hAnsi="Times New Roman" w:eastAsia="仿宋"/>
          <w:color w:val="auto"/>
          <w:sz w:val="32"/>
          <w:szCs w:val="32"/>
          <w:highlight w:val="none"/>
        </w:rPr>
        <w:t>《</w:t>
      </w:r>
      <w:r>
        <w:rPr>
          <w:rFonts w:hint="eastAsia" w:eastAsia="仿宋"/>
          <w:color w:val="auto"/>
          <w:sz w:val="32"/>
          <w:szCs w:val="32"/>
          <w:highlight w:val="none"/>
          <w:lang w:eastAsia="zh-CN"/>
        </w:rPr>
        <w:t>红枣</w:t>
      </w:r>
      <w:r>
        <w:rPr>
          <w:rFonts w:hint="default" w:ascii="Times New Roman" w:hAnsi="Times New Roman" w:eastAsia="仿宋"/>
          <w:color w:val="auto"/>
          <w:sz w:val="32"/>
          <w:szCs w:val="32"/>
          <w:highlight w:val="none"/>
        </w:rPr>
        <w:t>期货交收检验告知书》《</w:t>
      </w:r>
      <w:r>
        <w:rPr>
          <w:rFonts w:hint="eastAsia" w:eastAsia="仿宋"/>
          <w:color w:val="auto"/>
          <w:sz w:val="32"/>
          <w:szCs w:val="32"/>
          <w:highlight w:val="none"/>
          <w:lang w:eastAsia="zh-CN"/>
        </w:rPr>
        <w:t>红枣</w:t>
      </w:r>
      <w:r>
        <w:rPr>
          <w:rFonts w:hint="default" w:ascii="Times New Roman" w:hAnsi="Times New Roman" w:eastAsia="仿宋"/>
          <w:color w:val="auto"/>
          <w:sz w:val="32"/>
          <w:szCs w:val="32"/>
          <w:highlight w:val="none"/>
        </w:rPr>
        <w:t>期货货物交收时间确认表》《</w:t>
      </w:r>
      <w:r>
        <w:rPr>
          <w:rFonts w:hint="eastAsia" w:eastAsia="仿宋"/>
          <w:color w:val="auto"/>
          <w:sz w:val="32"/>
          <w:szCs w:val="32"/>
          <w:highlight w:val="none"/>
          <w:lang w:eastAsia="zh-CN"/>
        </w:rPr>
        <w:t>红枣</w:t>
      </w:r>
      <w:r>
        <w:rPr>
          <w:rFonts w:hint="default" w:ascii="Times New Roman" w:hAnsi="Times New Roman" w:eastAsia="仿宋"/>
          <w:color w:val="auto"/>
          <w:sz w:val="32"/>
          <w:szCs w:val="32"/>
          <w:highlight w:val="none"/>
        </w:rPr>
        <w:t>期货</w:t>
      </w:r>
      <w:r>
        <w:rPr>
          <w:rFonts w:hint="eastAsia" w:eastAsia="仿宋"/>
          <w:color w:val="auto"/>
          <w:sz w:val="32"/>
          <w:szCs w:val="32"/>
          <w:highlight w:val="none"/>
          <w:lang w:eastAsia="zh-CN"/>
        </w:rPr>
        <w:t>复检样品</w:t>
      </w:r>
      <w:r>
        <w:rPr>
          <w:rFonts w:hint="default" w:ascii="Times New Roman" w:hAnsi="Times New Roman" w:eastAsia="仿宋"/>
          <w:color w:val="auto"/>
          <w:sz w:val="32"/>
          <w:szCs w:val="32"/>
          <w:highlight w:val="none"/>
        </w:rPr>
        <w:t>确认</w:t>
      </w:r>
      <w:r>
        <w:rPr>
          <w:rFonts w:hint="eastAsia" w:eastAsia="仿宋"/>
          <w:color w:val="auto"/>
          <w:sz w:val="32"/>
          <w:szCs w:val="32"/>
          <w:highlight w:val="none"/>
          <w:lang w:eastAsia="zh-CN"/>
        </w:rPr>
        <w:t>书</w:t>
      </w:r>
      <w:r>
        <w:rPr>
          <w:rFonts w:hint="default" w:ascii="Times New Roman" w:hAnsi="Times New Roman" w:eastAsia="仿宋"/>
          <w:color w:val="auto"/>
          <w:sz w:val="32"/>
          <w:szCs w:val="32"/>
          <w:highlight w:val="none"/>
        </w:rPr>
        <w:t>》《质量验收确认单》《数量验收确认单</w:t>
      </w:r>
      <w:r>
        <w:rPr>
          <w:rFonts w:hint="eastAsia" w:eastAsia="仿宋"/>
          <w:color w:val="auto"/>
          <w:sz w:val="32"/>
          <w:szCs w:val="32"/>
          <w:highlight w:val="none"/>
          <w:lang w:eastAsia="zh-CN"/>
        </w:rPr>
        <w:t>》、各项费用收取及清退收据</w:t>
      </w:r>
      <w:r>
        <w:rPr>
          <w:rFonts w:hint="default" w:ascii="Times New Roman" w:hAnsi="Times New Roman" w:eastAsia="仿宋"/>
          <w:color w:val="auto"/>
          <w:sz w:val="32"/>
          <w:szCs w:val="32"/>
          <w:highlight w:val="none"/>
        </w:rPr>
        <w:t>等</w:t>
      </w:r>
      <w:r>
        <w:rPr>
          <w:rFonts w:hint="default" w:ascii="Times New Roman" w:hAnsi="Times New Roman" w:eastAsia="仿宋"/>
          <w:color w:val="auto"/>
          <w:sz w:val="32"/>
          <w:szCs w:val="32"/>
          <w:highlight w:val="none"/>
          <w:lang w:eastAsia="zh-CN"/>
        </w:rPr>
        <w:t>交割</w:t>
      </w:r>
      <w:r>
        <w:rPr>
          <w:rFonts w:hint="eastAsia" w:eastAsia="仿宋"/>
          <w:color w:val="auto"/>
          <w:sz w:val="32"/>
          <w:szCs w:val="32"/>
          <w:highlight w:val="none"/>
          <w:lang w:eastAsia="zh-CN"/>
        </w:rPr>
        <w:t>资料。质检机构应当妥善留存质检底稿及质检报告等各项材料。相关交割材料留存时间不少于</w:t>
      </w:r>
      <w:r>
        <w:rPr>
          <w:rFonts w:hint="eastAsia" w:ascii="仿宋" w:hAnsi="仿宋" w:eastAsia="仿宋" w:cs="仿宋"/>
          <w:color w:val="auto"/>
          <w:sz w:val="32"/>
          <w:szCs w:val="32"/>
          <w:highlight w:val="none"/>
          <w:lang w:val="en-US" w:eastAsia="zh-CN"/>
        </w:rPr>
        <w:t>3</w:t>
      </w:r>
      <w:r>
        <w:rPr>
          <w:rFonts w:hint="eastAsia" w:eastAsia="仿宋"/>
          <w:color w:val="auto"/>
          <w:sz w:val="32"/>
          <w:szCs w:val="32"/>
          <w:highlight w:val="none"/>
          <w:lang w:val="en-US" w:eastAsia="zh-CN"/>
        </w:rPr>
        <w:t>年。</w:t>
      </w:r>
    </w:p>
    <w:p>
      <w:pPr>
        <w:numPr>
          <w:ilvl w:val="0"/>
          <w:numId w:val="1"/>
        </w:numPr>
        <w:spacing w:before="156" w:beforeLines="50" w:after="156" w:afterLines="50"/>
        <w:ind w:left="0" w:leftChars="0" w:firstLine="709" w:firstLineChars="0"/>
        <w:rPr>
          <w:rFonts w:hint="eastAsia" w:ascii="仿宋" w:hAnsi="仿宋" w:eastAsia="仿宋"/>
          <w:b/>
          <w:color w:val="auto"/>
          <w:sz w:val="32"/>
          <w:szCs w:val="32"/>
          <w:highlight w:val="none"/>
        </w:rPr>
      </w:pP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lang w:eastAsia="zh-CN"/>
        </w:rPr>
        <w:t>交割服务机构质检水平</w:t>
      </w:r>
      <w:r>
        <w:rPr>
          <w:rFonts w:hint="eastAsia" w:ascii="仿宋" w:hAnsi="仿宋" w:eastAsia="仿宋"/>
          <w:color w:val="auto"/>
          <w:sz w:val="32"/>
          <w:szCs w:val="32"/>
          <w:highlight w:val="none"/>
          <w:lang w:val="en-US" w:eastAsia="zh-CN"/>
        </w:rPr>
        <w:t>作为交易所对交割服务机构的考核依据，</w:t>
      </w:r>
      <w:r>
        <w:rPr>
          <w:rFonts w:hint="eastAsia" w:ascii="仿宋" w:hAnsi="仿宋" w:eastAsia="仿宋"/>
          <w:color w:val="auto"/>
          <w:sz w:val="32"/>
          <w:szCs w:val="32"/>
          <w:highlight w:val="none"/>
          <w:lang w:eastAsia="zh-CN"/>
        </w:rPr>
        <w:t>交割服务机构</w:t>
      </w:r>
      <w:r>
        <w:rPr>
          <w:rFonts w:hint="eastAsia" w:ascii="仿宋" w:hAnsi="仿宋" w:eastAsia="仿宋"/>
          <w:color w:val="auto"/>
          <w:sz w:val="32"/>
          <w:szCs w:val="32"/>
          <w:highlight w:val="none"/>
          <w:lang w:val="en-US" w:eastAsia="zh-CN"/>
        </w:rPr>
        <w:t>预检结果与复检结果偏差较大的，交易所可以采取包括发送监管函、暂停部分或全部交割业务、暂停或取消车船板交割服务机构资格等措施。</w:t>
      </w:r>
    </w:p>
    <w:p>
      <w:pPr>
        <w:pStyle w:val="13"/>
        <w:numPr>
          <w:ilvl w:val="0"/>
          <w:numId w:val="1"/>
        </w:numPr>
        <w:ind w:left="-10" w:leftChars="0" w:firstLine="710" w:firstLineChars="0"/>
        <w:rPr>
          <w:rFonts w:hint="eastAsia" w:ascii="仿宋" w:hAnsi="仿宋" w:eastAsia="仿宋"/>
          <w:b w:val="0"/>
          <w:bCs/>
          <w:color w:val="auto"/>
          <w:sz w:val="32"/>
          <w:szCs w:val="32"/>
          <w:highlight w:val="none"/>
          <w:lang w:val="en-US" w:eastAsia="zh-CN"/>
        </w:rPr>
      </w:pPr>
      <w:r>
        <w:rPr>
          <w:rFonts w:hint="eastAsia" w:ascii="仿宋" w:hAnsi="仿宋" w:eastAsia="仿宋"/>
          <w:color w:val="auto"/>
          <w:sz w:val="32"/>
          <w:szCs w:val="32"/>
          <w:highlight w:val="none"/>
          <w:lang w:val="en-US" w:eastAsia="zh-CN"/>
        </w:rPr>
        <w:t xml:space="preserve"> 买方委托的自行检验报告出具人存在其过往出具的自行检验结果与复检结果偏差较大或是偏差频次较多的，交易所可以对其出具的自行检验报告不予认可。</w:t>
      </w:r>
    </w:p>
    <w:p>
      <w:pPr>
        <w:pStyle w:val="13"/>
        <w:numPr>
          <w:ilvl w:val="0"/>
          <w:numId w:val="1"/>
        </w:numPr>
        <w:ind w:left="-10" w:leftChars="0" w:firstLine="710" w:firstLineChars="0"/>
        <w:rPr>
          <w:rFonts w:hint="eastAsia" w:ascii="仿宋" w:hAnsi="仿宋" w:eastAsia="仿宋"/>
          <w:b w:val="0"/>
          <w:bCs/>
          <w:color w:val="auto"/>
          <w:sz w:val="32"/>
          <w:szCs w:val="32"/>
          <w:highlight w:val="none"/>
          <w:lang w:val="en-US" w:eastAsia="zh-CN"/>
        </w:rPr>
      </w:pPr>
      <w:r>
        <w:rPr>
          <w:rFonts w:hint="eastAsia" w:ascii="仿宋" w:hAnsi="仿宋" w:eastAsia="仿宋"/>
          <w:color w:val="auto"/>
          <w:sz w:val="32"/>
          <w:szCs w:val="32"/>
          <w:highlight w:val="none"/>
          <w:lang w:val="en-US" w:eastAsia="zh-CN"/>
        </w:rPr>
        <w:t xml:space="preserve"> </w:t>
      </w:r>
      <w:r>
        <w:rPr>
          <w:rFonts w:hint="eastAsia" w:ascii="仿宋" w:hAnsi="仿宋" w:eastAsia="仿宋"/>
          <w:b w:val="0"/>
          <w:bCs/>
          <w:color w:val="auto"/>
          <w:sz w:val="32"/>
          <w:szCs w:val="32"/>
          <w:highlight w:val="none"/>
          <w:lang w:val="en-US" w:eastAsia="zh-CN"/>
        </w:rPr>
        <w:t>交收客户不配合交割服务机构工作的，交割服务机构应当及时取证，并向交易所反映。</w:t>
      </w:r>
    </w:p>
    <w:p>
      <w:pPr>
        <w:pStyle w:val="13"/>
        <w:numPr>
          <w:ilvl w:val="0"/>
          <w:numId w:val="0"/>
        </w:numPr>
        <w:spacing w:before="0" w:beforeLines="0" w:after="0" w:afterLines="0"/>
        <w:ind w:left="0" w:firstLine="640" w:firstLineChars="200"/>
        <w:rPr>
          <w:rFonts w:hint="eastAsia" w:ascii="仿宋" w:hAnsi="仿宋" w:eastAsia="仿宋"/>
          <w:b/>
          <w:color w:val="auto"/>
          <w:sz w:val="32"/>
          <w:szCs w:val="32"/>
          <w:highlight w:val="none"/>
        </w:rPr>
      </w:pPr>
      <w:r>
        <w:rPr>
          <w:rFonts w:hint="eastAsia" w:ascii="Times New Roman" w:hAnsi="Times New Roman" w:eastAsia="仿宋"/>
          <w:color w:val="auto"/>
          <w:sz w:val="32"/>
          <w:szCs w:val="32"/>
          <w:highlight w:val="none"/>
          <w:lang w:val="en-US" w:eastAsia="zh-CN"/>
        </w:rPr>
        <w:t>买卖双方</w:t>
      </w:r>
      <w:r>
        <w:rPr>
          <w:rFonts w:hint="default" w:ascii="Times New Roman" w:hAnsi="Times New Roman" w:eastAsia="仿宋"/>
          <w:color w:val="auto"/>
          <w:sz w:val="32"/>
          <w:szCs w:val="32"/>
          <w:highlight w:val="none"/>
          <w:lang w:val="en-US" w:eastAsia="zh-CN"/>
        </w:rPr>
        <w:t>对交割服务机构工作有意见的，应当</w:t>
      </w:r>
      <w:r>
        <w:rPr>
          <w:rFonts w:hint="eastAsia" w:ascii="Times New Roman" w:hAnsi="Times New Roman" w:eastAsia="仿宋"/>
          <w:color w:val="auto"/>
          <w:sz w:val="32"/>
          <w:szCs w:val="32"/>
          <w:highlight w:val="none"/>
          <w:lang w:val="en-US" w:eastAsia="zh-CN"/>
        </w:rPr>
        <w:t>及时</w:t>
      </w:r>
      <w:r>
        <w:rPr>
          <w:rFonts w:hint="default" w:ascii="Times New Roman" w:hAnsi="Times New Roman" w:eastAsia="仿宋"/>
          <w:color w:val="auto"/>
          <w:sz w:val="32"/>
          <w:szCs w:val="32"/>
          <w:highlight w:val="none"/>
          <w:lang w:val="en-US" w:eastAsia="zh-CN"/>
        </w:rPr>
        <w:t>向</w:t>
      </w:r>
      <w:r>
        <w:rPr>
          <w:rFonts w:hint="eastAsia" w:ascii="Times New Roman" w:hAnsi="Times New Roman" w:eastAsia="仿宋"/>
          <w:color w:val="auto"/>
          <w:sz w:val="32"/>
          <w:szCs w:val="32"/>
          <w:highlight w:val="none"/>
          <w:lang w:val="en-US" w:eastAsia="zh-CN"/>
        </w:rPr>
        <w:t>交易所</w:t>
      </w:r>
      <w:r>
        <w:rPr>
          <w:rFonts w:hint="default" w:ascii="Times New Roman" w:hAnsi="Times New Roman" w:eastAsia="仿宋"/>
          <w:color w:val="auto"/>
          <w:sz w:val="32"/>
          <w:szCs w:val="32"/>
          <w:highlight w:val="none"/>
          <w:lang w:val="en-US" w:eastAsia="zh-CN"/>
        </w:rPr>
        <w:t>反映。</w:t>
      </w:r>
    </w:p>
    <w:p>
      <w:pPr>
        <w:numPr>
          <w:ilvl w:val="0"/>
          <w:numId w:val="1"/>
        </w:numPr>
        <w:spacing w:before="156" w:beforeLines="50" w:after="156" w:afterLines="50"/>
        <w:ind w:left="-79" w:firstLine="710"/>
        <w:rPr>
          <w:rFonts w:hint="eastAsia" w:ascii="仿宋" w:hAnsi="仿宋" w:eastAsia="仿宋"/>
          <w:b/>
          <w:color w:val="auto"/>
          <w:sz w:val="32"/>
          <w:szCs w:val="32"/>
          <w:highlight w:val="none"/>
        </w:rPr>
      </w:pPr>
      <w:r>
        <w:rPr>
          <w:rFonts w:hint="eastAsia" w:ascii="仿宋" w:hAnsi="仿宋" w:eastAsia="仿宋"/>
          <w:b w:val="0"/>
          <w:bCs/>
          <w:color w:val="auto"/>
          <w:sz w:val="32"/>
          <w:szCs w:val="32"/>
          <w:highlight w:val="none"/>
          <w:lang w:val="en-US" w:eastAsia="zh-CN"/>
        </w:rPr>
        <w:t xml:space="preserve"> </w:t>
      </w:r>
      <w:r>
        <w:rPr>
          <w:rFonts w:hint="default" w:ascii="Times New Roman" w:hAnsi="Times New Roman" w:eastAsia="仿宋"/>
          <w:color w:val="auto"/>
          <w:sz w:val="32"/>
          <w:szCs w:val="32"/>
          <w:highlight w:val="none"/>
          <w:lang w:eastAsia="zh-CN"/>
        </w:rPr>
        <w:t>交割服务机构</w:t>
      </w:r>
      <w:r>
        <w:rPr>
          <w:rFonts w:hint="eastAsia" w:eastAsia="仿宋"/>
          <w:color w:val="auto"/>
          <w:sz w:val="32"/>
          <w:szCs w:val="32"/>
          <w:highlight w:val="none"/>
          <w:lang w:eastAsia="zh-CN"/>
        </w:rPr>
        <w:t>、交收客户及其工作人员违反交易所规则的</w:t>
      </w:r>
      <w:r>
        <w:rPr>
          <w:rFonts w:hint="default" w:ascii="Times New Roman" w:hAnsi="Times New Roman" w:eastAsia="仿宋"/>
          <w:color w:val="auto"/>
          <w:sz w:val="32"/>
          <w:szCs w:val="32"/>
          <w:highlight w:val="none"/>
        </w:rPr>
        <w:t>，</w:t>
      </w:r>
      <w:r>
        <w:rPr>
          <w:rFonts w:hint="eastAsia" w:eastAsia="仿宋"/>
          <w:color w:val="auto"/>
          <w:sz w:val="32"/>
          <w:szCs w:val="32"/>
          <w:highlight w:val="none"/>
          <w:lang w:eastAsia="zh-CN"/>
        </w:rPr>
        <w:t>交易所可以</w:t>
      </w:r>
      <w:r>
        <w:rPr>
          <w:rFonts w:hint="default" w:ascii="Times New Roman" w:hAnsi="Times New Roman" w:eastAsia="仿宋"/>
          <w:color w:val="auto"/>
          <w:sz w:val="32"/>
          <w:szCs w:val="32"/>
          <w:highlight w:val="none"/>
        </w:rPr>
        <w:t>对其采取口头警示、</w:t>
      </w:r>
      <w:r>
        <w:rPr>
          <w:rFonts w:hint="eastAsia" w:eastAsia="仿宋"/>
          <w:color w:val="auto"/>
          <w:sz w:val="32"/>
          <w:szCs w:val="32"/>
          <w:highlight w:val="none"/>
          <w:lang w:eastAsia="zh-CN"/>
        </w:rPr>
        <w:t>出具</w:t>
      </w:r>
      <w:r>
        <w:rPr>
          <w:rFonts w:hint="default" w:ascii="Times New Roman" w:hAnsi="Times New Roman" w:eastAsia="仿宋"/>
          <w:color w:val="auto"/>
          <w:sz w:val="32"/>
          <w:szCs w:val="32"/>
          <w:highlight w:val="none"/>
        </w:rPr>
        <w:t>书面警示</w:t>
      </w:r>
      <w:r>
        <w:rPr>
          <w:rFonts w:hint="eastAsia" w:eastAsia="仿宋"/>
          <w:color w:val="auto"/>
          <w:sz w:val="32"/>
          <w:szCs w:val="32"/>
          <w:highlight w:val="none"/>
          <w:lang w:eastAsia="zh-CN"/>
        </w:rPr>
        <w:t>函、监管谈话、要求提交书面承诺等自律管理措施；情节严重的，根据《郑州商品交易所违规处理办法》有关规定给予纪律处分</w:t>
      </w:r>
      <w:r>
        <w:rPr>
          <w:rFonts w:hint="default" w:ascii="Times New Roman" w:hAnsi="Times New Roman" w:eastAsia="仿宋"/>
          <w:color w:val="auto"/>
          <w:sz w:val="32"/>
          <w:szCs w:val="32"/>
          <w:highlight w:val="none"/>
        </w:rPr>
        <w:t>。</w:t>
      </w:r>
    </w:p>
    <w:p>
      <w:pPr>
        <w:spacing w:before="156" w:beforeLines="50" w:after="156" w:afterLines="50"/>
        <w:jc w:val="center"/>
        <w:outlineLvl w:val="0"/>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第</w:t>
      </w:r>
      <w:r>
        <w:rPr>
          <w:rFonts w:hint="eastAsia" w:ascii="仿宋" w:hAnsi="仿宋" w:eastAsia="仿宋"/>
          <w:b/>
          <w:color w:val="auto"/>
          <w:sz w:val="32"/>
          <w:szCs w:val="32"/>
          <w:highlight w:val="none"/>
          <w:lang w:eastAsia="zh-CN"/>
        </w:rPr>
        <w:t>六</w:t>
      </w:r>
      <w:r>
        <w:rPr>
          <w:rFonts w:hint="eastAsia" w:ascii="仿宋" w:hAnsi="仿宋" w:eastAsia="仿宋"/>
          <w:b/>
          <w:color w:val="auto"/>
          <w:sz w:val="32"/>
          <w:szCs w:val="32"/>
          <w:highlight w:val="none"/>
        </w:rPr>
        <w:t>章 附则</w:t>
      </w:r>
    </w:p>
    <w:p>
      <w:pPr>
        <w:pStyle w:val="13"/>
        <w:numPr>
          <w:ilvl w:val="0"/>
          <w:numId w:val="1"/>
        </w:numPr>
        <w:ind w:left="0" w:leftChars="0" w:firstLine="642" w:firstLineChars="200"/>
        <w:rPr>
          <w:rFonts w:ascii="仿宋" w:hAnsi="仿宋" w:eastAsia="仿宋"/>
          <w:color w:val="auto"/>
          <w:sz w:val="32"/>
          <w:szCs w:val="32"/>
          <w:highlight w:val="none"/>
        </w:rPr>
      </w:pPr>
      <w:r>
        <w:rPr>
          <w:rFonts w:hint="eastAsia" w:ascii="仿宋" w:hAnsi="仿宋" w:eastAsia="仿宋"/>
          <w:b/>
          <w:color w:val="auto"/>
          <w:sz w:val="32"/>
          <w:szCs w:val="32"/>
          <w:highlight w:val="none"/>
        </w:rPr>
        <w:t xml:space="preserve"> </w:t>
      </w:r>
      <w:r>
        <w:rPr>
          <w:rFonts w:hint="eastAsia" w:ascii="仿宋" w:hAnsi="仿宋" w:eastAsia="仿宋"/>
          <w:color w:val="auto"/>
          <w:sz w:val="32"/>
          <w:szCs w:val="32"/>
          <w:highlight w:val="none"/>
        </w:rPr>
        <w:t>本指引由</w:t>
      </w:r>
      <w:r>
        <w:rPr>
          <w:rFonts w:hint="eastAsia" w:ascii="仿宋" w:hAnsi="仿宋" w:eastAsia="仿宋"/>
          <w:color w:val="auto"/>
          <w:sz w:val="32"/>
          <w:szCs w:val="32"/>
          <w:highlight w:val="none"/>
          <w:lang w:eastAsia="zh-CN"/>
        </w:rPr>
        <w:t>交易所</w:t>
      </w:r>
      <w:r>
        <w:rPr>
          <w:rFonts w:hint="eastAsia" w:ascii="仿宋" w:hAnsi="仿宋" w:eastAsia="仿宋"/>
          <w:color w:val="auto"/>
          <w:sz w:val="32"/>
          <w:szCs w:val="32"/>
          <w:highlight w:val="none"/>
        </w:rPr>
        <w:t>负责解释。</w:t>
      </w:r>
    </w:p>
    <w:p>
      <w:pPr>
        <w:pStyle w:val="13"/>
        <w:numPr>
          <w:ilvl w:val="0"/>
          <w:numId w:val="1"/>
        </w:numPr>
        <w:ind w:left="0" w:leftChars="0" w:firstLine="642" w:firstLineChars="200"/>
        <w:rPr>
          <w:rFonts w:ascii="仿宋" w:hAnsi="仿宋" w:eastAsia="仿宋"/>
          <w:color w:val="auto"/>
          <w:sz w:val="32"/>
          <w:szCs w:val="32"/>
          <w:highlight w:val="none"/>
        </w:rPr>
      </w:pPr>
      <w:r>
        <w:rPr>
          <w:rFonts w:hint="eastAsia" w:ascii="仿宋" w:hAnsi="仿宋" w:eastAsia="仿宋"/>
          <w:b/>
          <w:color w:val="auto"/>
          <w:sz w:val="32"/>
          <w:szCs w:val="32"/>
          <w:highlight w:val="none"/>
        </w:rPr>
        <w:t xml:space="preserve"> </w:t>
      </w:r>
      <w:r>
        <w:rPr>
          <w:rFonts w:hint="eastAsia" w:ascii="仿宋" w:hAnsi="仿宋" w:eastAsia="仿宋"/>
          <w:color w:val="auto"/>
          <w:sz w:val="32"/>
          <w:szCs w:val="32"/>
          <w:highlight w:val="none"/>
        </w:rPr>
        <w:t>本指引自发布之日起施行。</w:t>
      </w:r>
    </w:p>
    <w:p>
      <w:pPr>
        <w:ind w:firstLine="648"/>
        <w:rPr>
          <w:rFonts w:ascii="仿宋" w:hAnsi="仿宋" w:eastAsia="仿宋"/>
          <w:sz w:val="32"/>
          <w:szCs w:val="32"/>
        </w:rPr>
      </w:pPr>
    </w:p>
    <w:p>
      <w:pPr>
        <w:ind w:right="800"/>
        <w:rPr>
          <w:rFonts w:ascii="仿宋" w:hAnsi="仿宋" w:eastAsia="仿宋"/>
          <w:sz w:val="32"/>
          <w:szCs w:val="32"/>
        </w:rPr>
      </w:pPr>
    </w:p>
    <w:p>
      <w:pPr>
        <w:ind w:right="800"/>
        <w:rPr>
          <w:rFonts w:ascii="仿宋" w:hAnsi="仿宋" w:eastAsia="仿宋"/>
          <w:sz w:val="32"/>
          <w:szCs w:val="32"/>
        </w:rPr>
      </w:pPr>
    </w:p>
    <w:p>
      <w:pPr>
        <w:ind w:right="800"/>
        <w:rPr>
          <w:rFonts w:ascii="仿宋" w:hAnsi="仿宋" w:eastAsia="仿宋"/>
          <w:sz w:val="32"/>
          <w:szCs w:val="32"/>
        </w:rPr>
      </w:pPr>
    </w:p>
    <w:p>
      <w:pPr>
        <w:rPr>
          <w:rFonts w:ascii="仿宋" w:hAnsi="仿宋" w:eastAsia="仿宋"/>
          <w:sz w:val="32"/>
        </w:rPr>
      </w:pPr>
    </w:p>
    <w:sectPr>
      <w:headerReference r:id="rId4" w:type="first"/>
      <w:footerReference r:id="rId7" w:type="first"/>
      <w:footerReference r:id="rId5" w:type="default"/>
      <w:headerReference r:id="rId3" w:type="even"/>
      <w:footerReference r:id="rId6" w:type="even"/>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sz w:val="28"/>
      </w:rPr>
    </w:pPr>
    <w:r>
      <w:rPr>
        <w:rFonts w:hint="eastAsia"/>
        <w:sz w:val="28"/>
      </w:rPr>
      <w:t>—</w:t>
    </w:r>
    <w:r>
      <w:rPr>
        <w:rStyle w:val="9"/>
        <w:sz w:val="28"/>
      </w:rPr>
      <w:fldChar w:fldCharType="begin"/>
    </w:r>
    <w:r>
      <w:rPr>
        <w:rStyle w:val="9"/>
        <w:sz w:val="28"/>
      </w:rPr>
      <w:instrText xml:space="preserve"> PAGE </w:instrText>
    </w:r>
    <w:r>
      <w:rPr>
        <w:rStyle w:val="9"/>
        <w:sz w:val="28"/>
      </w:rPr>
      <w:fldChar w:fldCharType="separate"/>
    </w:r>
    <w:r>
      <w:rPr>
        <w:rStyle w:val="9"/>
        <w:sz w:val="28"/>
      </w:rPr>
      <w:t>1</w:t>
    </w:r>
    <w:r>
      <w:rPr>
        <w:rStyle w:val="9"/>
        <w:sz w:val="28"/>
      </w:rPr>
      <w:fldChar w:fldCharType="end"/>
    </w:r>
    <w:r>
      <w:rPr>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8"/>
      </w:rPr>
    </w:pPr>
    <w:r>
      <w:rPr>
        <w:rFonts w:hint="eastAsia"/>
        <w:sz w:val="28"/>
      </w:rPr>
      <w:t>—</w:t>
    </w:r>
    <w:r>
      <w:rPr>
        <w:rStyle w:val="9"/>
        <w:sz w:val="28"/>
      </w:rPr>
      <w:fldChar w:fldCharType="begin"/>
    </w:r>
    <w:r>
      <w:rPr>
        <w:rStyle w:val="9"/>
        <w:sz w:val="28"/>
      </w:rPr>
      <w:instrText xml:space="preserve"> PAGE </w:instrText>
    </w:r>
    <w:r>
      <w:rPr>
        <w:rStyle w:val="9"/>
        <w:sz w:val="28"/>
      </w:rPr>
      <w:fldChar w:fldCharType="separate"/>
    </w:r>
    <w:r>
      <w:rPr>
        <w:rStyle w:val="9"/>
        <w:sz w:val="28"/>
      </w:rPr>
      <w:t>4</w:t>
    </w:r>
    <w:r>
      <w:rPr>
        <w:rStyle w:val="9"/>
        <w:sz w:val="28"/>
      </w:rPr>
      <w:fldChar w:fldCharType="end"/>
    </w:r>
    <w:r>
      <w:rPr>
        <w:rFonts w:hint="eastAsia"/>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C11729"/>
    <w:multiLevelType w:val="multilevel"/>
    <w:tmpl w:val="2CC11729"/>
    <w:lvl w:ilvl="0" w:tentative="0">
      <w:start w:val="1"/>
      <w:numFmt w:val="chineseCountingThousand"/>
      <w:suff w:val="nothing"/>
      <w:lvlText w:val="第%1条"/>
      <w:lvlJc w:val="left"/>
      <w:pPr>
        <w:ind w:left="1340" w:hanging="420"/>
      </w:pPr>
      <w:rPr>
        <w:rFonts w:hint="eastAsia" w:ascii="仿宋" w:hAnsi="仿宋" w:eastAsia="仿宋"/>
        <w:b/>
        <w:sz w:val="32"/>
        <w:szCs w:val="32"/>
        <w:lang w:val="en-US"/>
      </w:rPr>
    </w:lvl>
    <w:lvl w:ilvl="1" w:tentative="0">
      <w:start w:val="1"/>
      <w:numFmt w:val="lowerLetter"/>
      <w:lvlText w:val="%2)"/>
      <w:lvlJc w:val="left"/>
      <w:pPr>
        <w:ind w:left="3247" w:hanging="420"/>
      </w:pPr>
    </w:lvl>
    <w:lvl w:ilvl="2" w:tentative="0">
      <w:start w:val="1"/>
      <w:numFmt w:val="lowerRoman"/>
      <w:lvlText w:val="%3."/>
      <w:lvlJc w:val="right"/>
      <w:pPr>
        <w:ind w:left="3667" w:hanging="420"/>
      </w:pPr>
    </w:lvl>
    <w:lvl w:ilvl="3" w:tentative="0">
      <w:start w:val="1"/>
      <w:numFmt w:val="decimal"/>
      <w:lvlText w:val="%4."/>
      <w:lvlJc w:val="left"/>
      <w:pPr>
        <w:ind w:left="4087" w:hanging="420"/>
      </w:pPr>
    </w:lvl>
    <w:lvl w:ilvl="4" w:tentative="0">
      <w:start w:val="1"/>
      <w:numFmt w:val="lowerLetter"/>
      <w:lvlText w:val="%5)"/>
      <w:lvlJc w:val="left"/>
      <w:pPr>
        <w:ind w:left="4507" w:hanging="420"/>
      </w:pPr>
    </w:lvl>
    <w:lvl w:ilvl="5" w:tentative="0">
      <w:start w:val="1"/>
      <w:numFmt w:val="lowerRoman"/>
      <w:lvlText w:val="%6."/>
      <w:lvlJc w:val="right"/>
      <w:pPr>
        <w:ind w:left="4927" w:hanging="420"/>
      </w:pPr>
    </w:lvl>
    <w:lvl w:ilvl="6" w:tentative="0">
      <w:start w:val="1"/>
      <w:numFmt w:val="decimal"/>
      <w:lvlText w:val="%7."/>
      <w:lvlJc w:val="left"/>
      <w:pPr>
        <w:ind w:left="5347" w:hanging="420"/>
      </w:pPr>
    </w:lvl>
    <w:lvl w:ilvl="7" w:tentative="0">
      <w:start w:val="1"/>
      <w:numFmt w:val="lowerLetter"/>
      <w:lvlText w:val="%8)"/>
      <w:lvlJc w:val="left"/>
      <w:pPr>
        <w:ind w:left="5767" w:hanging="420"/>
      </w:pPr>
    </w:lvl>
    <w:lvl w:ilvl="8" w:tentative="0">
      <w:start w:val="1"/>
      <w:numFmt w:val="lowerRoman"/>
      <w:lvlText w:val="%9."/>
      <w:lvlJc w:val="right"/>
      <w:pPr>
        <w:ind w:left="618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D0E8A"/>
    <w:rsid w:val="000001F5"/>
    <w:rsid w:val="000003DC"/>
    <w:rsid w:val="000014F8"/>
    <w:rsid w:val="00002A40"/>
    <w:rsid w:val="00002BEB"/>
    <w:rsid w:val="00002E26"/>
    <w:rsid w:val="00004296"/>
    <w:rsid w:val="00004C6F"/>
    <w:rsid w:val="00004EB1"/>
    <w:rsid w:val="00005702"/>
    <w:rsid w:val="000073AA"/>
    <w:rsid w:val="00010417"/>
    <w:rsid w:val="00011183"/>
    <w:rsid w:val="00012607"/>
    <w:rsid w:val="0001260C"/>
    <w:rsid w:val="00014A55"/>
    <w:rsid w:val="000169B4"/>
    <w:rsid w:val="0002049C"/>
    <w:rsid w:val="000242DE"/>
    <w:rsid w:val="0002676C"/>
    <w:rsid w:val="00026C87"/>
    <w:rsid w:val="00027299"/>
    <w:rsid w:val="00030567"/>
    <w:rsid w:val="000329D1"/>
    <w:rsid w:val="0003324C"/>
    <w:rsid w:val="00034F86"/>
    <w:rsid w:val="00036407"/>
    <w:rsid w:val="00044139"/>
    <w:rsid w:val="0005173D"/>
    <w:rsid w:val="0005205B"/>
    <w:rsid w:val="00052C5E"/>
    <w:rsid w:val="0005492E"/>
    <w:rsid w:val="00056C26"/>
    <w:rsid w:val="00060795"/>
    <w:rsid w:val="000608B0"/>
    <w:rsid w:val="000617CC"/>
    <w:rsid w:val="00061A4A"/>
    <w:rsid w:val="0006518A"/>
    <w:rsid w:val="0006663E"/>
    <w:rsid w:val="00067B6F"/>
    <w:rsid w:val="00067BE9"/>
    <w:rsid w:val="00074328"/>
    <w:rsid w:val="00074E4B"/>
    <w:rsid w:val="000754DD"/>
    <w:rsid w:val="00081302"/>
    <w:rsid w:val="000820C9"/>
    <w:rsid w:val="00082102"/>
    <w:rsid w:val="00082D2E"/>
    <w:rsid w:val="0008334C"/>
    <w:rsid w:val="0008416A"/>
    <w:rsid w:val="00085DE8"/>
    <w:rsid w:val="000900EC"/>
    <w:rsid w:val="000901D1"/>
    <w:rsid w:val="00094CFF"/>
    <w:rsid w:val="000967AC"/>
    <w:rsid w:val="00097D09"/>
    <w:rsid w:val="000A140C"/>
    <w:rsid w:val="000A5168"/>
    <w:rsid w:val="000A5A3D"/>
    <w:rsid w:val="000B1E3C"/>
    <w:rsid w:val="000B31FF"/>
    <w:rsid w:val="000B3E74"/>
    <w:rsid w:val="000B5091"/>
    <w:rsid w:val="000B5688"/>
    <w:rsid w:val="000B7916"/>
    <w:rsid w:val="000C172F"/>
    <w:rsid w:val="000C17CA"/>
    <w:rsid w:val="000C3315"/>
    <w:rsid w:val="000C356C"/>
    <w:rsid w:val="000C4C59"/>
    <w:rsid w:val="000C7636"/>
    <w:rsid w:val="000D0540"/>
    <w:rsid w:val="000D606B"/>
    <w:rsid w:val="000D7306"/>
    <w:rsid w:val="000D762C"/>
    <w:rsid w:val="000E0627"/>
    <w:rsid w:val="000E06FA"/>
    <w:rsid w:val="000E5475"/>
    <w:rsid w:val="000E76FB"/>
    <w:rsid w:val="000F23E7"/>
    <w:rsid w:val="000F29FC"/>
    <w:rsid w:val="000F2DBF"/>
    <w:rsid w:val="000F40AA"/>
    <w:rsid w:val="001033A4"/>
    <w:rsid w:val="001062DA"/>
    <w:rsid w:val="001065BE"/>
    <w:rsid w:val="00110A8C"/>
    <w:rsid w:val="00110E85"/>
    <w:rsid w:val="00110E86"/>
    <w:rsid w:val="001213D3"/>
    <w:rsid w:val="0012151D"/>
    <w:rsid w:val="001228B3"/>
    <w:rsid w:val="00124271"/>
    <w:rsid w:val="00125339"/>
    <w:rsid w:val="0012557A"/>
    <w:rsid w:val="001314E3"/>
    <w:rsid w:val="00133D3D"/>
    <w:rsid w:val="00134BCD"/>
    <w:rsid w:val="00134E02"/>
    <w:rsid w:val="001356A6"/>
    <w:rsid w:val="00136D74"/>
    <w:rsid w:val="00137D11"/>
    <w:rsid w:val="00140916"/>
    <w:rsid w:val="001409DF"/>
    <w:rsid w:val="001433B9"/>
    <w:rsid w:val="00143967"/>
    <w:rsid w:val="00143D92"/>
    <w:rsid w:val="001441F0"/>
    <w:rsid w:val="001441F8"/>
    <w:rsid w:val="001447A0"/>
    <w:rsid w:val="0014593B"/>
    <w:rsid w:val="0014676B"/>
    <w:rsid w:val="00147675"/>
    <w:rsid w:val="00151823"/>
    <w:rsid w:val="00153C74"/>
    <w:rsid w:val="00154105"/>
    <w:rsid w:val="00156318"/>
    <w:rsid w:val="00156457"/>
    <w:rsid w:val="00162E48"/>
    <w:rsid w:val="00163388"/>
    <w:rsid w:val="00163ECE"/>
    <w:rsid w:val="00164038"/>
    <w:rsid w:val="00164B62"/>
    <w:rsid w:val="00164F46"/>
    <w:rsid w:val="001706AC"/>
    <w:rsid w:val="00171E7C"/>
    <w:rsid w:val="00171F06"/>
    <w:rsid w:val="0017384B"/>
    <w:rsid w:val="00176367"/>
    <w:rsid w:val="00180471"/>
    <w:rsid w:val="00181992"/>
    <w:rsid w:val="00181DFD"/>
    <w:rsid w:val="0018239C"/>
    <w:rsid w:val="001861A4"/>
    <w:rsid w:val="001862D9"/>
    <w:rsid w:val="00190997"/>
    <w:rsid w:val="00191680"/>
    <w:rsid w:val="00192AD1"/>
    <w:rsid w:val="00194106"/>
    <w:rsid w:val="001A0003"/>
    <w:rsid w:val="001A0DA0"/>
    <w:rsid w:val="001A356C"/>
    <w:rsid w:val="001A52B1"/>
    <w:rsid w:val="001A7B8A"/>
    <w:rsid w:val="001B2208"/>
    <w:rsid w:val="001B3392"/>
    <w:rsid w:val="001B3B4A"/>
    <w:rsid w:val="001B616B"/>
    <w:rsid w:val="001B6997"/>
    <w:rsid w:val="001B6D33"/>
    <w:rsid w:val="001B6EF1"/>
    <w:rsid w:val="001C0D37"/>
    <w:rsid w:val="001C1EBD"/>
    <w:rsid w:val="001C2DA1"/>
    <w:rsid w:val="001C4BA8"/>
    <w:rsid w:val="001C4E7B"/>
    <w:rsid w:val="001C5CE6"/>
    <w:rsid w:val="001C7403"/>
    <w:rsid w:val="001D2C75"/>
    <w:rsid w:val="001D3188"/>
    <w:rsid w:val="001D33B7"/>
    <w:rsid w:val="001D6F9A"/>
    <w:rsid w:val="001E18EE"/>
    <w:rsid w:val="001E18F9"/>
    <w:rsid w:val="001E366C"/>
    <w:rsid w:val="001E4DE0"/>
    <w:rsid w:val="001E4FD8"/>
    <w:rsid w:val="001E66F0"/>
    <w:rsid w:val="001F04EB"/>
    <w:rsid w:val="001F261A"/>
    <w:rsid w:val="001F3D02"/>
    <w:rsid w:val="001F4C5C"/>
    <w:rsid w:val="001F52D8"/>
    <w:rsid w:val="001F5336"/>
    <w:rsid w:val="001F7336"/>
    <w:rsid w:val="001F7DEE"/>
    <w:rsid w:val="002027A7"/>
    <w:rsid w:val="002030EA"/>
    <w:rsid w:val="002064B3"/>
    <w:rsid w:val="0021318F"/>
    <w:rsid w:val="00213A1D"/>
    <w:rsid w:val="0021433B"/>
    <w:rsid w:val="00215DED"/>
    <w:rsid w:val="002203D1"/>
    <w:rsid w:val="002205AB"/>
    <w:rsid w:val="0022195F"/>
    <w:rsid w:val="0022333C"/>
    <w:rsid w:val="00223499"/>
    <w:rsid w:val="0022466A"/>
    <w:rsid w:val="002265F2"/>
    <w:rsid w:val="00227684"/>
    <w:rsid w:val="002308AD"/>
    <w:rsid w:val="00230BBB"/>
    <w:rsid w:val="0023113C"/>
    <w:rsid w:val="002339F9"/>
    <w:rsid w:val="00233A04"/>
    <w:rsid w:val="00233AA1"/>
    <w:rsid w:val="002342EC"/>
    <w:rsid w:val="00236543"/>
    <w:rsid w:val="00236A42"/>
    <w:rsid w:val="002373CA"/>
    <w:rsid w:val="00237510"/>
    <w:rsid w:val="002411B9"/>
    <w:rsid w:val="00241BA8"/>
    <w:rsid w:val="002425E4"/>
    <w:rsid w:val="00242C8C"/>
    <w:rsid w:val="00244C30"/>
    <w:rsid w:val="002465C0"/>
    <w:rsid w:val="00247137"/>
    <w:rsid w:val="00251A65"/>
    <w:rsid w:val="002520CF"/>
    <w:rsid w:val="0025352C"/>
    <w:rsid w:val="00253770"/>
    <w:rsid w:val="002548CD"/>
    <w:rsid w:val="00257D88"/>
    <w:rsid w:val="0026069B"/>
    <w:rsid w:val="002658FB"/>
    <w:rsid w:val="002669A1"/>
    <w:rsid w:val="00267DAA"/>
    <w:rsid w:val="00270700"/>
    <w:rsid w:val="00270AE1"/>
    <w:rsid w:val="002719A7"/>
    <w:rsid w:val="002735CC"/>
    <w:rsid w:val="0027432D"/>
    <w:rsid w:val="0028016B"/>
    <w:rsid w:val="00280F80"/>
    <w:rsid w:val="00281DBB"/>
    <w:rsid w:val="002829F2"/>
    <w:rsid w:val="0028462F"/>
    <w:rsid w:val="00286088"/>
    <w:rsid w:val="00287836"/>
    <w:rsid w:val="00287BED"/>
    <w:rsid w:val="00291BA0"/>
    <w:rsid w:val="00291DD3"/>
    <w:rsid w:val="00291E6A"/>
    <w:rsid w:val="002953EA"/>
    <w:rsid w:val="00295707"/>
    <w:rsid w:val="00297E3F"/>
    <w:rsid w:val="002A08CD"/>
    <w:rsid w:val="002A0A8F"/>
    <w:rsid w:val="002A2D8E"/>
    <w:rsid w:val="002A3208"/>
    <w:rsid w:val="002B18F5"/>
    <w:rsid w:val="002B1977"/>
    <w:rsid w:val="002B21D8"/>
    <w:rsid w:val="002B53B4"/>
    <w:rsid w:val="002B5E5D"/>
    <w:rsid w:val="002B79A7"/>
    <w:rsid w:val="002C067B"/>
    <w:rsid w:val="002C2288"/>
    <w:rsid w:val="002C2AD8"/>
    <w:rsid w:val="002C401D"/>
    <w:rsid w:val="002C49BB"/>
    <w:rsid w:val="002C545C"/>
    <w:rsid w:val="002C54DF"/>
    <w:rsid w:val="002C66E0"/>
    <w:rsid w:val="002D4C09"/>
    <w:rsid w:val="002D5C89"/>
    <w:rsid w:val="002D6773"/>
    <w:rsid w:val="002E1A35"/>
    <w:rsid w:val="002E25FB"/>
    <w:rsid w:val="002E3400"/>
    <w:rsid w:val="002E39C3"/>
    <w:rsid w:val="002E39F5"/>
    <w:rsid w:val="002E481D"/>
    <w:rsid w:val="002E7A81"/>
    <w:rsid w:val="002F1A51"/>
    <w:rsid w:val="002F4C97"/>
    <w:rsid w:val="002F5419"/>
    <w:rsid w:val="0030292D"/>
    <w:rsid w:val="00306EBE"/>
    <w:rsid w:val="0031001B"/>
    <w:rsid w:val="00312BA8"/>
    <w:rsid w:val="003149DA"/>
    <w:rsid w:val="00317E1B"/>
    <w:rsid w:val="00321B8F"/>
    <w:rsid w:val="00321C8E"/>
    <w:rsid w:val="003223F2"/>
    <w:rsid w:val="003226A6"/>
    <w:rsid w:val="003231B1"/>
    <w:rsid w:val="0032481B"/>
    <w:rsid w:val="003301BB"/>
    <w:rsid w:val="0033099F"/>
    <w:rsid w:val="003314C9"/>
    <w:rsid w:val="00333080"/>
    <w:rsid w:val="00336655"/>
    <w:rsid w:val="0033681A"/>
    <w:rsid w:val="00340820"/>
    <w:rsid w:val="00344236"/>
    <w:rsid w:val="00344F8F"/>
    <w:rsid w:val="003461AD"/>
    <w:rsid w:val="00347FB0"/>
    <w:rsid w:val="00350091"/>
    <w:rsid w:val="00352A3F"/>
    <w:rsid w:val="003561DD"/>
    <w:rsid w:val="003602CA"/>
    <w:rsid w:val="0036356D"/>
    <w:rsid w:val="00364976"/>
    <w:rsid w:val="00365F05"/>
    <w:rsid w:val="0037359E"/>
    <w:rsid w:val="0037586C"/>
    <w:rsid w:val="0037605A"/>
    <w:rsid w:val="00377265"/>
    <w:rsid w:val="003801B1"/>
    <w:rsid w:val="00382171"/>
    <w:rsid w:val="00382985"/>
    <w:rsid w:val="003849B5"/>
    <w:rsid w:val="00384FA8"/>
    <w:rsid w:val="00386551"/>
    <w:rsid w:val="00387FA7"/>
    <w:rsid w:val="00390ABB"/>
    <w:rsid w:val="003913E8"/>
    <w:rsid w:val="00392985"/>
    <w:rsid w:val="003930F1"/>
    <w:rsid w:val="0039314B"/>
    <w:rsid w:val="00393181"/>
    <w:rsid w:val="00395343"/>
    <w:rsid w:val="003967D5"/>
    <w:rsid w:val="003A107E"/>
    <w:rsid w:val="003A133D"/>
    <w:rsid w:val="003A7001"/>
    <w:rsid w:val="003A748A"/>
    <w:rsid w:val="003A7807"/>
    <w:rsid w:val="003A7D1E"/>
    <w:rsid w:val="003B01E2"/>
    <w:rsid w:val="003B51C1"/>
    <w:rsid w:val="003B7506"/>
    <w:rsid w:val="003B7561"/>
    <w:rsid w:val="003B75E3"/>
    <w:rsid w:val="003B75EE"/>
    <w:rsid w:val="003C051B"/>
    <w:rsid w:val="003C151A"/>
    <w:rsid w:val="003C1A4A"/>
    <w:rsid w:val="003C2638"/>
    <w:rsid w:val="003C3470"/>
    <w:rsid w:val="003C4245"/>
    <w:rsid w:val="003C5A99"/>
    <w:rsid w:val="003D0613"/>
    <w:rsid w:val="003D0967"/>
    <w:rsid w:val="003D19D2"/>
    <w:rsid w:val="003D556B"/>
    <w:rsid w:val="003D7F73"/>
    <w:rsid w:val="003E0362"/>
    <w:rsid w:val="003E1029"/>
    <w:rsid w:val="003E2FE4"/>
    <w:rsid w:val="003E4471"/>
    <w:rsid w:val="003E6C9F"/>
    <w:rsid w:val="003E73A5"/>
    <w:rsid w:val="003E7595"/>
    <w:rsid w:val="003E787F"/>
    <w:rsid w:val="003F01B2"/>
    <w:rsid w:val="003F0D09"/>
    <w:rsid w:val="003F4183"/>
    <w:rsid w:val="003F6309"/>
    <w:rsid w:val="003F6ED2"/>
    <w:rsid w:val="003F769A"/>
    <w:rsid w:val="003F7EF5"/>
    <w:rsid w:val="0040148C"/>
    <w:rsid w:val="004018D9"/>
    <w:rsid w:val="00403A9B"/>
    <w:rsid w:val="00404591"/>
    <w:rsid w:val="00405FD8"/>
    <w:rsid w:val="00406F84"/>
    <w:rsid w:val="00407062"/>
    <w:rsid w:val="00410188"/>
    <w:rsid w:val="00410991"/>
    <w:rsid w:val="00411DB1"/>
    <w:rsid w:val="004126B3"/>
    <w:rsid w:val="00416877"/>
    <w:rsid w:val="00420EDB"/>
    <w:rsid w:val="00423645"/>
    <w:rsid w:val="00423667"/>
    <w:rsid w:val="00425A35"/>
    <w:rsid w:val="004269A5"/>
    <w:rsid w:val="00426A35"/>
    <w:rsid w:val="0043178A"/>
    <w:rsid w:val="00433114"/>
    <w:rsid w:val="00433274"/>
    <w:rsid w:val="00433B15"/>
    <w:rsid w:val="004374B5"/>
    <w:rsid w:val="004408B1"/>
    <w:rsid w:val="00440D54"/>
    <w:rsid w:val="00440F13"/>
    <w:rsid w:val="004414FB"/>
    <w:rsid w:val="00442279"/>
    <w:rsid w:val="00444D7A"/>
    <w:rsid w:val="00446281"/>
    <w:rsid w:val="00446447"/>
    <w:rsid w:val="00446938"/>
    <w:rsid w:val="004473BE"/>
    <w:rsid w:val="0045364B"/>
    <w:rsid w:val="0046210E"/>
    <w:rsid w:val="00462A8C"/>
    <w:rsid w:val="00466AFC"/>
    <w:rsid w:val="00470443"/>
    <w:rsid w:val="00470D46"/>
    <w:rsid w:val="0047312A"/>
    <w:rsid w:val="00473ED2"/>
    <w:rsid w:val="00474229"/>
    <w:rsid w:val="00480E20"/>
    <w:rsid w:val="004821A8"/>
    <w:rsid w:val="004829A0"/>
    <w:rsid w:val="00484774"/>
    <w:rsid w:val="00485652"/>
    <w:rsid w:val="00486416"/>
    <w:rsid w:val="00490F3B"/>
    <w:rsid w:val="004921FC"/>
    <w:rsid w:val="00492DE1"/>
    <w:rsid w:val="0049421E"/>
    <w:rsid w:val="0049451D"/>
    <w:rsid w:val="00496FBD"/>
    <w:rsid w:val="00497FC8"/>
    <w:rsid w:val="004A089A"/>
    <w:rsid w:val="004A0F82"/>
    <w:rsid w:val="004A5508"/>
    <w:rsid w:val="004A59DC"/>
    <w:rsid w:val="004A627A"/>
    <w:rsid w:val="004B0CDC"/>
    <w:rsid w:val="004B2684"/>
    <w:rsid w:val="004B39FE"/>
    <w:rsid w:val="004B4495"/>
    <w:rsid w:val="004B63B0"/>
    <w:rsid w:val="004C14F0"/>
    <w:rsid w:val="004C1BB7"/>
    <w:rsid w:val="004C23D2"/>
    <w:rsid w:val="004C3FD8"/>
    <w:rsid w:val="004C47BC"/>
    <w:rsid w:val="004C7DC3"/>
    <w:rsid w:val="004D0874"/>
    <w:rsid w:val="004D0C9D"/>
    <w:rsid w:val="004D0D5C"/>
    <w:rsid w:val="004D1EE3"/>
    <w:rsid w:val="004D2CD1"/>
    <w:rsid w:val="004D57D3"/>
    <w:rsid w:val="004D7963"/>
    <w:rsid w:val="004E1889"/>
    <w:rsid w:val="004E390F"/>
    <w:rsid w:val="004E5897"/>
    <w:rsid w:val="004E683C"/>
    <w:rsid w:val="004E7E37"/>
    <w:rsid w:val="004E7F35"/>
    <w:rsid w:val="004F0AD2"/>
    <w:rsid w:val="004F3A0C"/>
    <w:rsid w:val="004F49CC"/>
    <w:rsid w:val="004F5AB1"/>
    <w:rsid w:val="005001D1"/>
    <w:rsid w:val="00500FB7"/>
    <w:rsid w:val="0050160E"/>
    <w:rsid w:val="00501C80"/>
    <w:rsid w:val="00503228"/>
    <w:rsid w:val="005046CA"/>
    <w:rsid w:val="005048F5"/>
    <w:rsid w:val="00505011"/>
    <w:rsid w:val="00505EDB"/>
    <w:rsid w:val="00507749"/>
    <w:rsid w:val="00507CE6"/>
    <w:rsid w:val="00514116"/>
    <w:rsid w:val="005153FE"/>
    <w:rsid w:val="0052702A"/>
    <w:rsid w:val="00527C0C"/>
    <w:rsid w:val="00527D39"/>
    <w:rsid w:val="00535129"/>
    <w:rsid w:val="005379F1"/>
    <w:rsid w:val="00540AA8"/>
    <w:rsid w:val="00541262"/>
    <w:rsid w:val="00541F96"/>
    <w:rsid w:val="00542C13"/>
    <w:rsid w:val="00545CBA"/>
    <w:rsid w:val="00546229"/>
    <w:rsid w:val="00546406"/>
    <w:rsid w:val="00551A87"/>
    <w:rsid w:val="00551C0C"/>
    <w:rsid w:val="00554132"/>
    <w:rsid w:val="0055488E"/>
    <w:rsid w:val="00554FF2"/>
    <w:rsid w:val="0055541A"/>
    <w:rsid w:val="00555939"/>
    <w:rsid w:val="00556447"/>
    <w:rsid w:val="005621AA"/>
    <w:rsid w:val="005628BD"/>
    <w:rsid w:val="00564AE3"/>
    <w:rsid w:val="00564C50"/>
    <w:rsid w:val="005668E5"/>
    <w:rsid w:val="00566CC1"/>
    <w:rsid w:val="00567284"/>
    <w:rsid w:val="00571B6C"/>
    <w:rsid w:val="005729DA"/>
    <w:rsid w:val="005738F5"/>
    <w:rsid w:val="00574D60"/>
    <w:rsid w:val="00575806"/>
    <w:rsid w:val="005819FD"/>
    <w:rsid w:val="00581D48"/>
    <w:rsid w:val="00582539"/>
    <w:rsid w:val="00583F73"/>
    <w:rsid w:val="005846F6"/>
    <w:rsid w:val="0058594A"/>
    <w:rsid w:val="00590D0A"/>
    <w:rsid w:val="0059177F"/>
    <w:rsid w:val="00592AEE"/>
    <w:rsid w:val="00592EA1"/>
    <w:rsid w:val="00593014"/>
    <w:rsid w:val="0059455E"/>
    <w:rsid w:val="0059464C"/>
    <w:rsid w:val="00595D4E"/>
    <w:rsid w:val="005A1D09"/>
    <w:rsid w:val="005A3192"/>
    <w:rsid w:val="005A50CF"/>
    <w:rsid w:val="005A6A99"/>
    <w:rsid w:val="005B0920"/>
    <w:rsid w:val="005B2CFA"/>
    <w:rsid w:val="005B3EB0"/>
    <w:rsid w:val="005B4FEC"/>
    <w:rsid w:val="005B5660"/>
    <w:rsid w:val="005B59CF"/>
    <w:rsid w:val="005B6DD9"/>
    <w:rsid w:val="005C02E0"/>
    <w:rsid w:val="005C04FC"/>
    <w:rsid w:val="005C0873"/>
    <w:rsid w:val="005C1FB9"/>
    <w:rsid w:val="005C2E57"/>
    <w:rsid w:val="005C5072"/>
    <w:rsid w:val="005D1EB0"/>
    <w:rsid w:val="005D3662"/>
    <w:rsid w:val="005D514A"/>
    <w:rsid w:val="005D5928"/>
    <w:rsid w:val="005D592A"/>
    <w:rsid w:val="005D6191"/>
    <w:rsid w:val="005D6E7E"/>
    <w:rsid w:val="005D7939"/>
    <w:rsid w:val="005E0426"/>
    <w:rsid w:val="005E0D26"/>
    <w:rsid w:val="005E1791"/>
    <w:rsid w:val="005E3374"/>
    <w:rsid w:val="005E3E96"/>
    <w:rsid w:val="005E555F"/>
    <w:rsid w:val="005E5956"/>
    <w:rsid w:val="005E5BC9"/>
    <w:rsid w:val="005F12E8"/>
    <w:rsid w:val="005F21B2"/>
    <w:rsid w:val="005F4FB5"/>
    <w:rsid w:val="005F6138"/>
    <w:rsid w:val="005F713B"/>
    <w:rsid w:val="005F7E81"/>
    <w:rsid w:val="00601454"/>
    <w:rsid w:val="00602ADC"/>
    <w:rsid w:val="006037EF"/>
    <w:rsid w:val="00603D6E"/>
    <w:rsid w:val="00606801"/>
    <w:rsid w:val="00607C2B"/>
    <w:rsid w:val="00607DBD"/>
    <w:rsid w:val="00610591"/>
    <w:rsid w:val="00613D08"/>
    <w:rsid w:val="0061555B"/>
    <w:rsid w:val="00617CB2"/>
    <w:rsid w:val="00620DF9"/>
    <w:rsid w:val="00621317"/>
    <w:rsid w:val="00623308"/>
    <w:rsid w:val="006248CD"/>
    <w:rsid w:val="00624A63"/>
    <w:rsid w:val="00625B3C"/>
    <w:rsid w:val="0062699B"/>
    <w:rsid w:val="00630498"/>
    <w:rsid w:val="006314E1"/>
    <w:rsid w:val="006328C3"/>
    <w:rsid w:val="00632F5E"/>
    <w:rsid w:val="00633E7F"/>
    <w:rsid w:val="00635785"/>
    <w:rsid w:val="0063717C"/>
    <w:rsid w:val="00640929"/>
    <w:rsid w:val="00641386"/>
    <w:rsid w:val="00641C5C"/>
    <w:rsid w:val="00644D4D"/>
    <w:rsid w:val="00645213"/>
    <w:rsid w:val="006474F9"/>
    <w:rsid w:val="0065129A"/>
    <w:rsid w:val="00651AEC"/>
    <w:rsid w:val="00651D9C"/>
    <w:rsid w:val="00652D9B"/>
    <w:rsid w:val="006537A3"/>
    <w:rsid w:val="00653B1E"/>
    <w:rsid w:val="00653EDC"/>
    <w:rsid w:val="00654E70"/>
    <w:rsid w:val="00655591"/>
    <w:rsid w:val="006562F6"/>
    <w:rsid w:val="0066079D"/>
    <w:rsid w:val="00660A2F"/>
    <w:rsid w:val="00660B6E"/>
    <w:rsid w:val="006627B1"/>
    <w:rsid w:val="00663022"/>
    <w:rsid w:val="0066351A"/>
    <w:rsid w:val="00665C44"/>
    <w:rsid w:val="00665DDA"/>
    <w:rsid w:val="00670F02"/>
    <w:rsid w:val="0067102D"/>
    <w:rsid w:val="0067266B"/>
    <w:rsid w:val="00673F4C"/>
    <w:rsid w:val="006742EA"/>
    <w:rsid w:val="00674913"/>
    <w:rsid w:val="00674E39"/>
    <w:rsid w:val="00677267"/>
    <w:rsid w:val="0068138E"/>
    <w:rsid w:val="00684780"/>
    <w:rsid w:val="00686E1A"/>
    <w:rsid w:val="0069003D"/>
    <w:rsid w:val="0069003F"/>
    <w:rsid w:val="00692E94"/>
    <w:rsid w:val="006969B9"/>
    <w:rsid w:val="006A0F09"/>
    <w:rsid w:val="006A1AEA"/>
    <w:rsid w:val="006A2176"/>
    <w:rsid w:val="006A2184"/>
    <w:rsid w:val="006A3A0A"/>
    <w:rsid w:val="006A5DA6"/>
    <w:rsid w:val="006A6DE3"/>
    <w:rsid w:val="006A7851"/>
    <w:rsid w:val="006A7EA8"/>
    <w:rsid w:val="006B0ACE"/>
    <w:rsid w:val="006B2BDD"/>
    <w:rsid w:val="006B4965"/>
    <w:rsid w:val="006B4980"/>
    <w:rsid w:val="006C02A5"/>
    <w:rsid w:val="006C0447"/>
    <w:rsid w:val="006C129D"/>
    <w:rsid w:val="006C203E"/>
    <w:rsid w:val="006C38A4"/>
    <w:rsid w:val="006C49FD"/>
    <w:rsid w:val="006C4B97"/>
    <w:rsid w:val="006C50CD"/>
    <w:rsid w:val="006C6454"/>
    <w:rsid w:val="006C7AC8"/>
    <w:rsid w:val="006D149C"/>
    <w:rsid w:val="006D3857"/>
    <w:rsid w:val="006D4925"/>
    <w:rsid w:val="006D569A"/>
    <w:rsid w:val="006E31D8"/>
    <w:rsid w:val="006E6A2A"/>
    <w:rsid w:val="006F0484"/>
    <w:rsid w:val="006F080C"/>
    <w:rsid w:val="006F1359"/>
    <w:rsid w:val="006F158B"/>
    <w:rsid w:val="006F1E58"/>
    <w:rsid w:val="006F23CB"/>
    <w:rsid w:val="006F48E3"/>
    <w:rsid w:val="006F50AC"/>
    <w:rsid w:val="006F74A2"/>
    <w:rsid w:val="00700211"/>
    <w:rsid w:val="007011FA"/>
    <w:rsid w:val="00703268"/>
    <w:rsid w:val="0070466B"/>
    <w:rsid w:val="00704C41"/>
    <w:rsid w:val="00705B6C"/>
    <w:rsid w:val="0071126F"/>
    <w:rsid w:val="00716716"/>
    <w:rsid w:val="007174FB"/>
    <w:rsid w:val="0072193C"/>
    <w:rsid w:val="00722195"/>
    <w:rsid w:val="00722DF3"/>
    <w:rsid w:val="0072337C"/>
    <w:rsid w:val="007248DD"/>
    <w:rsid w:val="00725DC9"/>
    <w:rsid w:val="007353B7"/>
    <w:rsid w:val="007401A6"/>
    <w:rsid w:val="007411E7"/>
    <w:rsid w:val="007421F7"/>
    <w:rsid w:val="00743992"/>
    <w:rsid w:val="00746E50"/>
    <w:rsid w:val="00753B62"/>
    <w:rsid w:val="00756541"/>
    <w:rsid w:val="007577C1"/>
    <w:rsid w:val="00762951"/>
    <w:rsid w:val="00762D59"/>
    <w:rsid w:val="007645DA"/>
    <w:rsid w:val="00764E4E"/>
    <w:rsid w:val="00767AB0"/>
    <w:rsid w:val="00767CFD"/>
    <w:rsid w:val="00767F64"/>
    <w:rsid w:val="00770547"/>
    <w:rsid w:val="00770D97"/>
    <w:rsid w:val="00774CBB"/>
    <w:rsid w:val="00776102"/>
    <w:rsid w:val="00776C9C"/>
    <w:rsid w:val="00777225"/>
    <w:rsid w:val="00782F7F"/>
    <w:rsid w:val="00782FB3"/>
    <w:rsid w:val="00785516"/>
    <w:rsid w:val="00786FDC"/>
    <w:rsid w:val="007870B5"/>
    <w:rsid w:val="00787A85"/>
    <w:rsid w:val="00791FF4"/>
    <w:rsid w:val="00793217"/>
    <w:rsid w:val="007934D7"/>
    <w:rsid w:val="007936C6"/>
    <w:rsid w:val="007945EC"/>
    <w:rsid w:val="0079609E"/>
    <w:rsid w:val="00797651"/>
    <w:rsid w:val="007A0D07"/>
    <w:rsid w:val="007A1C3A"/>
    <w:rsid w:val="007A7856"/>
    <w:rsid w:val="007B045B"/>
    <w:rsid w:val="007B0F2F"/>
    <w:rsid w:val="007B225A"/>
    <w:rsid w:val="007B3428"/>
    <w:rsid w:val="007B3443"/>
    <w:rsid w:val="007B74D2"/>
    <w:rsid w:val="007C0A55"/>
    <w:rsid w:val="007C1F4B"/>
    <w:rsid w:val="007C406F"/>
    <w:rsid w:val="007C41F5"/>
    <w:rsid w:val="007C44FF"/>
    <w:rsid w:val="007D117D"/>
    <w:rsid w:val="007D50B2"/>
    <w:rsid w:val="007E1202"/>
    <w:rsid w:val="007E1648"/>
    <w:rsid w:val="007E1CF4"/>
    <w:rsid w:val="007E4F5C"/>
    <w:rsid w:val="007F0B9C"/>
    <w:rsid w:val="007F12DF"/>
    <w:rsid w:val="007F25BD"/>
    <w:rsid w:val="007F47CF"/>
    <w:rsid w:val="007F5054"/>
    <w:rsid w:val="00801CD4"/>
    <w:rsid w:val="008041DD"/>
    <w:rsid w:val="0080452C"/>
    <w:rsid w:val="00805924"/>
    <w:rsid w:val="008079BF"/>
    <w:rsid w:val="00807B60"/>
    <w:rsid w:val="00807BD8"/>
    <w:rsid w:val="00807C11"/>
    <w:rsid w:val="008105F4"/>
    <w:rsid w:val="008119D8"/>
    <w:rsid w:val="00811E93"/>
    <w:rsid w:val="008125CE"/>
    <w:rsid w:val="008146E6"/>
    <w:rsid w:val="00814C5F"/>
    <w:rsid w:val="008332E6"/>
    <w:rsid w:val="0083409E"/>
    <w:rsid w:val="008347C5"/>
    <w:rsid w:val="008353DC"/>
    <w:rsid w:val="00835DF3"/>
    <w:rsid w:val="008402AB"/>
    <w:rsid w:val="00840C50"/>
    <w:rsid w:val="00842221"/>
    <w:rsid w:val="00843C4D"/>
    <w:rsid w:val="008455D2"/>
    <w:rsid w:val="0085280D"/>
    <w:rsid w:val="00854C4A"/>
    <w:rsid w:val="00855939"/>
    <w:rsid w:val="00855A48"/>
    <w:rsid w:val="00857098"/>
    <w:rsid w:val="00857D9B"/>
    <w:rsid w:val="00860824"/>
    <w:rsid w:val="0086088F"/>
    <w:rsid w:val="00860F09"/>
    <w:rsid w:val="00862247"/>
    <w:rsid w:val="0086374F"/>
    <w:rsid w:val="0086458C"/>
    <w:rsid w:val="00865982"/>
    <w:rsid w:val="008677F8"/>
    <w:rsid w:val="00867CBC"/>
    <w:rsid w:val="0087311C"/>
    <w:rsid w:val="0087312B"/>
    <w:rsid w:val="00877623"/>
    <w:rsid w:val="00880FE3"/>
    <w:rsid w:val="00885AF3"/>
    <w:rsid w:val="008861DB"/>
    <w:rsid w:val="00886B5B"/>
    <w:rsid w:val="00887BC0"/>
    <w:rsid w:val="00890E4E"/>
    <w:rsid w:val="00892CEA"/>
    <w:rsid w:val="00893FA5"/>
    <w:rsid w:val="00895ED3"/>
    <w:rsid w:val="00896A7D"/>
    <w:rsid w:val="00896D80"/>
    <w:rsid w:val="00896F45"/>
    <w:rsid w:val="008975C2"/>
    <w:rsid w:val="00897F0A"/>
    <w:rsid w:val="008A29C6"/>
    <w:rsid w:val="008A3724"/>
    <w:rsid w:val="008A37A0"/>
    <w:rsid w:val="008A3D86"/>
    <w:rsid w:val="008A4369"/>
    <w:rsid w:val="008A6A41"/>
    <w:rsid w:val="008A7137"/>
    <w:rsid w:val="008A73A6"/>
    <w:rsid w:val="008A752D"/>
    <w:rsid w:val="008B0BEF"/>
    <w:rsid w:val="008B108E"/>
    <w:rsid w:val="008B4109"/>
    <w:rsid w:val="008B44D1"/>
    <w:rsid w:val="008B58D3"/>
    <w:rsid w:val="008B666D"/>
    <w:rsid w:val="008B726D"/>
    <w:rsid w:val="008C4D65"/>
    <w:rsid w:val="008C5808"/>
    <w:rsid w:val="008C6277"/>
    <w:rsid w:val="008C686F"/>
    <w:rsid w:val="008C69E6"/>
    <w:rsid w:val="008C791C"/>
    <w:rsid w:val="008C79E3"/>
    <w:rsid w:val="008C7A2C"/>
    <w:rsid w:val="008D1F8C"/>
    <w:rsid w:val="008D43F0"/>
    <w:rsid w:val="008D6A30"/>
    <w:rsid w:val="008D70A1"/>
    <w:rsid w:val="008D7E6C"/>
    <w:rsid w:val="008D7F8E"/>
    <w:rsid w:val="008E1CF1"/>
    <w:rsid w:val="008E4600"/>
    <w:rsid w:val="008E4864"/>
    <w:rsid w:val="008E5280"/>
    <w:rsid w:val="008F194F"/>
    <w:rsid w:val="008F23BA"/>
    <w:rsid w:val="008F707F"/>
    <w:rsid w:val="008F7AF0"/>
    <w:rsid w:val="0090427D"/>
    <w:rsid w:val="009049B0"/>
    <w:rsid w:val="00907630"/>
    <w:rsid w:val="00907746"/>
    <w:rsid w:val="00912290"/>
    <w:rsid w:val="009179C7"/>
    <w:rsid w:val="009213DC"/>
    <w:rsid w:val="00922713"/>
    <w:rsid w:val="0092514C"/>
    <w:rsid w:val="00925743"/>
    <w:rsid w:val="00926249"/>
    <w:rsid w:val="00927B12"/>
    <w:rsid w:val="00927DD5"/>
    <w:rsid w:val="00933314"/>
    <w:rsid w:val="00936376"/>
    <w:rsid w:val="00936625"/>
    <w:rsid w:val="00936727"/>
    <w:rsid w:val="0094190F"/>
    <w:rsid w:val="00941D9D"/>
    <w:rsid w:val="00941E8C"/>
    <w:rsid w:val="00942036"/>
    <w:rsid w:val="009435D7"/>
    <w:rsid w:val="00945CAD"/>
    <w:rsid w:val="00946101"/>
    <w:rsid w:val="009471A6"/>
    <w:rsid w:val="00950339"/>
    <w:rsid w:val="0095072D"/>
    <w:rsid w:val="009516B9"/>
    <w:rsid w:val="00951E05"/>
    <w:rsid w:val="00953FE9"/>
    <w:rsid w:val="00967314"/>
    <w:rsid w:val="00967401"/>
    <w:rsid w:val="00967C83"/>
    <w:rsid w:val="009735A6"/>
    <w:rsid w:val="00975B60"/>
    <w:rsid w:val="009773DF"/>
    <w:rsid w:val="00977777"/>
    <w:rsid w:val="00977B4E"/>
    <w:rsid w:val="00981747"/>
    <w:rsid w:val="00983412"/>
    <w:rsid w:val="00985E9D"/>
    <w:rsid w:val="0099036A"/>
    <w:rsid w:val="00990981"/>
    <w:rsid w:val="00991648"/>
    <w:rsid w:val="00992245"/>
    <w:rsid w:val="009A2431"/>
    <w:rsid w:val="009A3D9F"/>
    <w:rsid w:val="009A6D15"/>
    <w:rsid w:val="009A707D"/>
    <w:rsid w:val="009A79B7"/>
    <w:rsid w:val="009B0EFA"/>
    <w:rsid w:val="009B1069"/>
    <w:rsid w:val="009B1625"/>
    <w:rsid w:val="009B35A4"/>
    <w:rsid w:val="009B414D"/>
    <w:rsid w:val="009B6E50"/>
    <w:rsid w:val="009C19F3"/>
    <w:rsid w:val="009C1C67"/>
    <w:rsid w:val="009C5B82"/>
    <w:rsid w:val="009C787A"/>
    <w:rsid w:val="009D1570"/>
    <w:rsid w:val="009D3D00"/>
    <w:rsid w:val="009D433B"/>
    <w:rsid w:val="009E0A2C"/>
    <w:rsid w:val="009E1A47"/>
    <w:rsid w:val="009E4DFE"/>
    <w:rsid w:val="009F1B63"/>
    <w:rsid w:val="009F2AD7"/>
    <w:rsid w:val="009F42EE"/>
    <w:rsid w:val="009F6A61"/>
    <w:rsid w:val="009F7DA6"/>
    <w:rsid w:val="00A01A63"/>
    <w:rsid w:val="00A02121"/>
    <w:rsid w:val="00A03706"/>
    <w:rsid w:val="00A03D5B"/>
    <w:rsid w:val="00A05EE7"/>
    <w:rsid w:val="00A10A72"/>
    <w:rsid w:val="00A1115B"/>
    <w:rsid w:val="00A1204A"/>
    <w:rsid w:val="00A152FF"/>
    <w:rsid w:val="00A16314"/>
    <w:rsid w:val="00A216CB"/>
    <w:rsid w:val="00A220C3"/>
    <w:rsid w:val="00A22A2E"/>
    <w:rsid w:val="00A22BFF"/>
    <w:rsid w:val="00A232D8"/>
    <w:rsid w:val="00A2404E"/>
    <w:rsid w:val="00A26387"/>
    <w:rsid w:val="00A26689"/>
    <w:rsid w:val="00A31713"/>
    <w:rsid w:val="00A3235F"/>
    <w:rsid w:val="00A3251B"/>
    <w:rsid w:val="00A33E65"/>
    <w:rsid w:val="00A34BCB"/>
    <w:rsid w:val="00A3589C"/>
    <w:rsid w:val="00A3634C"/>
    <w:rsid w:val="00A36DA0"/>
    <w:rsid w:val="00A40684"/>
    <w:rsid w:val="00A411AF"/>
    <w:rsid w:val="00A41A0E"/>
    <w:rsid w:val="00A44164"/>
    <w:rsid w:val="00A44806"/>
    <w:rsid w:val="00A47B8F"/>
    <w:rsid w:val="00A50223"/>
    <w:rsid w:val="00A50A42"/>
    <w:rsid w:val="00A524D8"/>
    <w:rsid w:val="00A52DC2"/>
    <w:rsid w:val="00A543BD"/>
    <w:rsid w:val="00A54BC9"/>
    <w:rsid w:val="00A5671D"/>
    <w:rsid w:val="00A56F8A"/>
    <w:rsid w:val="00A57C25"/>
    <w:rsid w:val="00A66558"/>
    <w:rsid w:val="00A66F48"/>
    <w:rsid w:val="00A71A45"/>
    <w:rsid w:val="00A7556B"/>
    <w:rsid w:val="00A770CF"/>
    <w:rsid w:val="00A8210C"/>
    <w:rsid w:val="00A822DA"/>
    <w:rsid w:val="00A8355C"/>
    <w:rsid w:val="00A84C24"/>
    <w:rsid w:val="00A85B0F"/>
    <w:rsid w:val="00A87534"/>
    <w:rsid w:val="00A87A28"/>
    <w:rsid w:val="00A920DF"/>
    <w:rsid w:val="00A931F6"/>
    <w:rsid w:val="00A94938"/>
    <w:rsid w:val="00A955A8"/>
    <w:rsid w:val="00A956C6"/>
    <w:rsid w:val="00A97BCB"/>
    <w:rsid w:val="00AA1721"/>
    <w:rsid w:val="00AA1DCD"/>
    <w:rsid w:val="00AA373A"/>
    <w:rsid w:val="00AA5413"/>
    <w:rsid w:val="00AA580A"/>
    <w:rsid w:val="00AA732E"/>
    <w:rsid w:val="00AB2140"/>
    <w:rsid w:val="00AB2BBF"/>
    <w:rsid w:val="00AB5BDE"/>
    <w:rsid w:val="00AB645B"/>
    <w:rsid w:val="00AC00D7"/>
    <w:rsid w:val="00AC00DD"/>
    <w:rsid w:val="00AC0732"/>
    <w:rsid w:val="00AC08AE"/>
    <w:rsid w:val="00AC0F0D"/>
    <w:rsid w:val="00AC132D"/>
    <w:rsid w:val="00AC3B0A"/>
    <w:rsid w:val="00AC4733"/>
    <w:rsid w:val="00AC5236"/>
    <w:rsid w:val="00AC548F"/>
    <w:rsid w:val="00AC54B8"/>
    <w:rsid w:val="00AD0753"/>
    <w:rsid w:val="00AD0E8A"/>
    <w:rsid w:val="00AD43D3"/>
    <w:rsid w:val="00AD5279"/>
    <w:rsid w:val="00AD5DCE"/>
    <w:rsid w:val="00AD605C"/>
    <w:rsid w:val="00AD6FB9"/>
    <w:rsid w:val="00AD7588"/>
    <w:rsid w:val="00AE08E3"/>
    <w:rsid w:val="00AE128D"/>
    <w:rsid w:val="00AE1488"/>
    <w:rsid w:val="00AE1950"/>
    <w:rsid w:val="00AE1B03"/>
    <w:rsid w:val="00AE25F4"/>
    <w:rsid w:val="00AE405E"/>
    <w:rsid w:val="00AF1CFB"/>
    <w:rsid w:val="00AF1FEB"/>
    <w:rsid w:val="00AF6012"/>
    <w:rsid w:val="00AF7B07"/>
    <w:rsid w:val="00B01C55"/>
    <w:rsid w:val="00B02B5E"/>
    <w:rsid w:val="00B0344D"/>
    <w:rsid w:val="00B0592E"/>
    <w:rsid w:val="00B07113"/>
    <w:rsid w:val="00B075B3"/>
    <w:rsid w:val="00B10D5F"/>
    <w:rsid w:val="00B125C2"/>
    <w:rsid w:val="00B12B1A"/>
    <w:rsid w:val="00B1688C"/>
    <w:rsid w:val="00B20BDE"/>
    <w:rsid w:val="00B2177E"/>
    <w:rsid w:val="00B2248F"/>
    <w:rsid w:val="00B24AAA"/>
    <w:rsid w:val="00B262BF"/>
    <w:rsid w:val="00B3031F"/>
    <w:rsid w:val="00B30673"/>
    <w:rsid w:val="00B30C4E"/>
    <w:rsid w:val="00B31238"/>
    <w:rsid w:val="00B31809"/>
    <w:rsid w:val="00B326CD"/>
    <w:rsid w:val="00B32834"/>
    <w:rsid w:val="00B35C50"/>
    <w:rsid w:val="00B41B36"/>
    <w:rsid w:val="00B420D2"/>
    <w:rsid w:val="00B42745"/>
    <w:rsid w:val="00B42EDD"/>
    <w:rsid w:val="00B43346"/>
    <w:rsid w:val="00B45D4B"/>
    <w:rsid w:val="00B51218"/>
    <w:rsid w:val="00B52268"/>
    <w:rsid w:val="00B53A27"/>
    <w:rsid w:val="00B557E9"/>
    <w:rsid w:val="00B60C4C"/>
    <w:rsid w:val="00B60CFD"/>
    <w:rsid w:val="00B625B9"/>
    <w:rsid w:val="00B62BF8"/>
    <w:rsid w:val="00B63310"/>
    <w:rsid w:val="00B63BFD"/>
    <w:rsid w:val="00B63DF9"/>
    <w:rsid w:val="00B6597B"/>
    <w:rsid w:val="00B6620F"/>
    <w:rsid w:val="00B66D88"/>
    <w:rsid w:val="00B67F6B"/>
    <w:rsid w:val="00B71633"/>
    <w:rsid w:val="00B7236C"/>
    <w:rsid w:val="00B73B63"/>
    <w:rsid w:val="00B73E52"/>
    <w:rsid w:val="00B81214"/>
    <w:rsid w:val="00B826C1"/>
    <w:rsid w:val="00B8273B"/>
    <w:rsid w:val="00B837C8"/>
    <w:rsid w:val="00B84910"/>
    <w:rsid w:val="00B85465"/>
    <w:rsid w:val="00B85F9F"/>
    <w:rsid w:val="00B90F81"/>
    <w:rsid w:val="00B91B20"/>
    <w:rsid w:val="00B92FD6"/>
    <w:rsid w:val="00B9322D"/>
    <w:rsid w:val="00B95329"/>
    <w:rsid w:val="00B9569C"/>
    <w:rsid w:val="00B96591"/>
    <w:rsid w:val="00B969DE"/>
    <w:rsid w:val="00B97D6F"/>
    <w:rsid w:val="00BA0BB5"/>
    <w:rsid w:val="00BA17B5"/>
    <w:rsid w:val="00BA27DC"/>
    <w:rsid w:val="00BA2DF8"/>
    <w:rsid w:val="00BA30DE"/>
    <w:rsid w:val="00BA3AC8"/>
    <w:rsid w:val="00BA3E0A"/>
    <w:rsid w:val="00BA4043"/>
    <w:rsid w:val="00BA5D6D"/>
    <w:rsid w:val="00BA6545"/>
    <w:rsid w:val="00BB0C65"/>
    <w:rsid w:val="00BB5446"/>
    <w:rsid w:val="00BB5B0C"/>
    <w:rsid w:val="00BB6BA7"/>
    <w:rsid w:val="00BC3A1E"/>
    <w:rsid w:val="00BC4949"/>
    <w:rsid w:val="00BC5690"/>
    <w:rsid w:val="00BC68FA"/>
    <w:rsid w:val="00BC77C9"/>
    <w:rsid w:val="00BC77D9"/>
    <w:rsid w:val="00BC7BB8"/>
    <w:rsid w:val="00BD138D"/>
    <w:rsid w:val="00BD273D"/>
    <w:rsid w:val="00BD28CC"/>
    <w:rsid w:val="00BD3161"/>
    <w:rsid w:val="00BD6F69"/>
    <w:rsid w:val="00BE1424"/>
    <w:rsid w:val="00BE266D"/>
    <w:rsid w:val="00BE6073"/>
    <w:rsid w:val="00BE657A"/>
    <w:rsid w:val="00BF36E1"/>
    <w:rsid w:val="00BF57C4"/>
    <w:rsid w:val="00BF5CAF"/>
    <w:rsid w:val="00BF656E"/>
    <w:rsid w:val="00C03FB7"/>
    <w:rsid w:val="00C04796"/>
    <w:rsid w:val="00C057E6"/>
    <w:rsid w:val="00C057F1"/>
    <w:rsid w:val="00C16987"/>
    <w:rsid w:val="00C16CAA"/>
    <w:rsid w:val="00C16EDA"/>
    <w:rsid w:val="00C22034"/>
    <w:rsid w:val="00C26D02"/>
    <w:rsid w:val="00C2777A"/>
    <w:rsid w:val="00C319D0"/>
    <w:rsid w:val="00C31F46"/>
    <w:rsid w:val="00C334F9"/>
    <w:rsid w:val="00C34053"/>
    <w:rsid w:val="00C3430E"/>
    <w:rsid w:val="00C34358"/>
    <w:rsid w:val="00C34E4D"/>
    <w:rsid w:val="00C354CE"/>
    <w:rsid w:val="00C40113"/>
    <w:rsid w:val="00C4072E"/>
    <w:rsid w:val="00C44513"/>
    <w:rsid w:val="00C44699"/>
    <w:rsid w:val="00C46773"/>
    <w:rsid w:val="00C467D2"/>
    <w:rsid w:val="00C5075D"/>
    <w:rsid w:val="00C51E91"/>
    <w:rsid w:val="00C521E6"/>
    <w:rsid w:val="00C56E47"/>
    <w:rsid w:val="00C57F87"/>
    <w:rsid w:val="00C6089B"/>
    <w:rsid w:val="00C61940"/>
    <w:rsid w:val="00C6457F"/>
    <w:rsid w:val="00C65F24"/>
    <w:rsid w:val="00C671DF"/>
    <w:rsid w:val="00C6751D"/>
    <w:rsid w:val="00C7285A"/>
    <w:rsid w:val="00C73465"/>
    <w:rsid w:val="00C759AB"/>
    <w:rsid w:val="00C7624B"/>
    <w:rsid w:val="00C76DF2"/>
    <w:rsid w:val="00C7788C"/>
    <w:rsid w:val="00C816F5"/>
    <w:rsid w:val="00C8258D"/>
    <w:rsid w:val="00C8457F"/>
    <w:rsid w:val="00C865CE"/>
    <w:rsid w:val="00C87D41"/>
    <w:rsid w:val="00C87E64"/>
    <w:rsid w:val="00C91B1B"/>
    <w:rsid w:val="00C9256C"/>
    <w:rsid w:val="00C926BF"/>
    <w:rsid w:val="00C93EB9"/>
    <w:rsid w:val="00C94270"/>
    <w:rsid w:val="00C94BE9"/>
    <w:rsid w:val="00C954D7"/>
    <w:rsid w:val="00C971CB"/>
    <w:rsid w:val="00CA101C"/>
    <w:rsid w:val="00CA5E1E"/>
    <w:rsid w:val="00CA61B9"/>
    <w:rsid w:val="00CA6973"/>
    <w:rsid w:val="00CB66D6"/>
    <w:rsid w:val="00CB6838"/>
    <w:rsid w:val="00CB6DB2"/>
    <w:rsid w:val="00CC0D3F"/>
    <w:rsid w:val="00CC12B2"/>
    <w:rsid w:val="00CC3C71"/>
    <w:rsid w:val="00CC50C2"/>
    <w:rsid w:val="00CC7A55"/>
    <w:rsid w:val="00CC7D3F"/>
    <w:rsid w:val="00CD1B9E"/>
    <w:rsid w:val="00CD2FD2"/>
    <w:rsid w:val="00CD3E50"/>
    <w:rsid w:val="00CD5582"/>
    <w:rsid w:val="00CE111A"/>
    <w:rsid w:val="00CE4367"/>
    <w:rsid w:val="00CE49CB"/>
    <w:rsid w:val="00CE5871"/>
    <w:rsid w:val="00CE6592"/>
    <w:rsid w:val="00CF1BAD"/>
    <w:rsid w:val="00CF459F"/>
    <w:rsid w:val="00D017C8"/>
    <w:rsid w:val="00D02A71"/>
    <w:rsid w:val="00D0503D"/>
    <w:rsid w:val="00D05D75"/>
    <w:rsid w:val="00D0728C"/>
    <w:rsid w:val="00D07899"/>
    <w:rsid w:val="00D13784"/>
    <w:rsid w:val="00D16388"/>
    <w:rsid w:val="00D16D22"/>
    <w:rsid w:val="00D17AFD"/>
    <w:rsid w:val="00D22A9E"/>
    <w:rsid w:val="00D23EC7"/>
    <w:rsid w:val="00D24FFA"/>
    <w:rsid w:val="00D25AAA"/>
    <w:rsid w:val="00D27253"/>
    <w:rsid w:val="00D27B17"/>
    <w:rsid w:val="00D30048"/>
    <w:rsid w:val="00D30B36"/>
    <w:rsid w:val="00D32169"/>
    <w:rsid w:val="00D325C0"/>
    <w:rsid w:val="00D333CC"/>
    <w:rsid w:val="00D34A40"/>
    <w:rsid w:val="00D36BD5"/>
    <w:rsid w:val="00D37E81"/>
    <w:rsid w:val="00D40B67"/>
    <w:rsid w:val="00D42869"/>
    <w:rsid w:val="00D42F81"/>
    <w:rsid w:val="00D438D0"/>
    <w:rsid w:val="00D55253"/>
    <w:rsid w:val="00D554AB"/>
    <w:rsid w:val="00D56841"/>
    <w:rsid w:val="00D56A40"/>
    <w:rsid w:val="00D56A5F"/>
    <w:rsid w:val="00D611B6"/>
    <w:rsid w:val="00D6277B"/>
    <w:rsid w:val="00D63127"/>
    <w:rsid w:val="00D63DB4"/>
    <w:rsid w:val="00D661DB"/>
    <w:rsid w:val="00D71F45"/>
    <w:rsid w:val="00D74831"/>
    <w:rsid w:val="00D76B2B"/>
    <w:rsid w:val="00D80904"/>
    <w:rsid w:val="00D828F6"/>
    <w:rsid w:val="00D84693"/>
    <w:rsid w:val="00D854E4"/>
    <w:rsid w:val="00D85EC0"/>
    <w:rsid w:val="00D87152"/>
    <w:rsid w:val="00D90FBC"/>
    <w:rsid w:val="00D91B97"/>
    <w:rsid w:val="00D97723"/>
    <w:rsid w:val="00DA7D9A"/>
    <w:rsid w:val="00DB0A3F"/>
    <w:rsid w:val="00DB27EE"/>
    <w:rsid w:val="00DB28FB"/>
    <w:rsid w:val="00DB6A3E"/>
    <w:rsid w:val="00DC0EC3"/>
    <w:rsid w:val="00DC0F65"/>
    <w:rsid w:val="00DC1048"/>
    <w:rsid w:val="00DC237F"/>
    <w:rsid w:val="00DC2CA0"/>
    <w:rsid w:val="00DC2D08"/>
    <w:rsid w:val="00DC3F93"/>
    <w:rsid w:val="00DC45CF"/>
    <w:rsid w:val="00DC4E72"/>
    <w:rsid w:val="00DC50F4"/>
    <w:rsid w:val="00DC656A"/>
    <w:rsid w:val="00DC7131"/>
    <w:rsid w:val="00DD11B5"/>
    <w:rsid w:val="00DD3C7B"/>
    <w:rsid w:val="00DD6356"/>
    <w:rsid w:val="00DE01DB"/>
    <w:rsid w:val="00DE581F"/>
    <w:rsid w:val="00DE66A3"/>
    <w:rsid w:val="00DE6E79"/>
    <w:rsid w:val="00DE7EBD"/>
    <w:rsid w:val="00DF039A"/>
    <w:rsid w:val="00DF06E0"/>
    <w:rsid w:val="00DF0D55"/>
    <w:rsid w:val="00DF18BA"/>
    <w:rsid w:val="00DF2301"/>
    <w:rsid w:val="00DF490F"/>
    <w:rsid w:val="00E0314A"/>
    <w:rsid w:val="00E07B73"/>
    <w:rsid w:val="00E10ABD"/>
    <w:rsid w:val="00E117BE"/>
    <w:rsid w:val="00E13A77"/>
    <w:rsid w:val="00E15966"/>
    <w:rsid w:val="00E15CBE"/>
    <w:rsid w:val="00E20FDD"/>
    <w:rsid w:val="00E22645"/>
    <w:rsid w:val="00E23AA0"/>
    <w:rsid w:val="00E25DE9"/>
    <w:rsid w:val="00E26B5D"/>
    <w:rsid w:val="00E30159"/>
    <w:rsid w:val="00E31982"/>
    <w:rsid w:val="00E33F76"/>
    <w:rsid w:val="00E3428A"/>
    <w:rsid w:val="00E37A09"/>
    <w:rsid w:val="00E4318A"/>
    <w:rsid w:val="00E438F0"/>
    <w:rsid w:val="00E44BA8"/>
    <w:rsid w:val="00E44F2E"/>
    <w:rsid w:val="00E457B5"/>
    <w:rsid w:val="00E50580"/>
    <w:rsid w:val="00E5193F"/>
    <w:rsid w:val="00E52078"/>
    <w:rsid w:val="00E52940"/>
    <w:rsid w:val="00E52D2C"/>
    <w:rsid w:val="00E542DA"/>
    <w:rsid w:val="00E5507C"/>
    <w:rsid w:val="00E56712"/>
    <w:rsid w:val="00E579A9"/>
    <w:rsid w:val="00E57F04"/>
    <w:rsid w:val="00E605A7"/>
    <w:rsid w:val="00E613CC"/>
    <w:rsid w:val="00E624F9"/>
    <w:rsid w:val="00E705F0"/>
    <w:rsid w:val="00E71885"/>
    <w:rsid w:val="00E72DC6"/>
    <w:rsid w:val="00E73D09"/>
    <w:rsid w:val="00E75E31"/>
    <w:rsid w:val="00E774AF"/>
    <w:rsid w:val="00E77787"/>
    <w:rsid w:val="00E77D87"/>
    <w:rsid w:val="00E812C0"/>
    <w:rsid w:val="00E8444A"/>
    <w:rsid w:val="00E86DB5"/>
    <w:rsid w:val="00E9023A"/>
    <w:rsid w:val="00E916E4"/>
    <w:rsid w:val="00E926A5"/>
    <w:rsid w:val="00E93037"/>
    <w:rsid w:val="00E9470E"/>
    <w:rsid w:val="00E962B4"/>
    <w:rsid w:val="00EA389E"/>
    <w:rsid w:val="00EA3A24"/>
    <w:rsid w:val="00EA4385"/>
    <w:rsid w:val="00EA62C4"/>
    <w:rsid w:val="00EA6740"/>
    <w:rsid w:val="00EB00FF"/>
    <w:rsid w:val="00EB0312"/>
    <w:rsid w:val="00EB05EC"/>
    <w:rsid w:val="00EB2878"/>
    <w:rsid w:val="00EB51FE"/>
    <w:rsid w:val="00EB5A15"/>
    <w:rsid w:val="00EB61A8"/>
    <w:rsid w:val="00EB76C8"/>
    <w:rsid w:val="00EB7708"/>
    <w:rsid w:val="00EC11CA"/>
    <w:rsid w:val="00EC289D"/>
    <w:rsid w:val="00EC41E0"/>
    <w:rsid w:val="00EC5520"/>
    <w:rsid w:val="00EC56F0"/>
    <w:rsid w:val="00ED1888"/>
    <w:rsid w:val="00ED19E6"/>
    <w:rsid w:val="00ED1CD1"/>
    <w:rsid w:val="00ED41AF"/>
    <w:rsid w:val="00ED4592"/>
    <w:rsid w:val="00ED74FD"/>
    <w:rsid w:val="00ED7A8A"/>
    <w:rsid w:val="00EE4C55"/>
    <w:rsid w:val="00EF1C85"/>
    <w:rsid w:val="00EF3011"/>
    <w:rsid w:val="00EF3C4E"/>
    <w:rsid w:val="00EF3F81"/>
    <w:rsid w:val="00EF49E7"/>
    <w:rsid w:val="00EF5BF2"/>
    <w:rsid w:val="00EF5E91"/>
    <w:rsid w:val="00EF75F0"/>
    <w:rsid w:val="00F0020D"/>
    <w:rsid w:val="00F037BD"/>
    <w:rsid w:val="00F03F1E"/>
    <w:rsid w:val="00F06094"/>
    <w:rsid w:val="00F06297"/>
    <w:rsid w:val="00F07D40"/>
    <w:rsid w:val="00F1363D"/>
    <w:rsid w:val="00F153E2"/>
    <w:rsid w:val="00F20FCF"/>
    <w:rsid w:val="00F237A4"/>
    <w:rsid w:val="00F24C2E"/>
    <w:rsid w:val="00F27A37"/>
    <w:rsid w:val="00F30847"/>
    <w:rsid w:val="00F30E5D"/>
    <w:rsid w:val="00F36148"/>
    <w:rsid w:val="00F3675D"/>
    <w:rsid w:val="00F41B17"/>
    <w:rsid w:val="00F41B27"/>
    <w:rsid w:val="00F41E71"/>
    <w:rsid w:val="00F443A4"/>
    <w:rsid w:val="00F44819"/>
    <w:rsid w:val="00F45324"/>
    <w:rsid w:val="00F45DE1"/>
    <w:rsid w:val="00F46CBE"/>
    <w:rsid w:val="00F472D4"/>
    <w:rsid w:val="00F51E7E"/>
    <w:rsid w:val="00F52C63"/>
    <w:rsid w:val="00F545E4"/>
    <w:rsid w:val="00F62151"/>
    <w:rsid w:val="00F7341A"/>
    <w:rsid w:val="00F80200"/>
    <w:rsid w:val="00F81575"/>
    <w:rsid w:val="00F81B18"/>
    <w:rsid w:val="00F872E6"/>
    <w:rsid w:val="00F903F5"/>
    <w:rsid w:val="00F9247A"/>
    <w:rsid w:val="00F93C3A"/>
    <w:rsid w:val="00F9469C"/>
    <w:rsid w:val="00F95ED5"/>
    <w:rsid w:val="00FA191F"/>
    <w:rsid w:val="00FA4AC7"/>
    <w:rsid w:val="00FA4D77"/>
    <w:rsid w:val="00FA5181"/>
    <w:rsid w:val="00FA6F6F"/>
    <w:rsid w:val="00FB579E"/>
    <w:rsid w:val="00FB607C"/>
    <w:rsid w:val="00FC00C1"/>
    <w:rsid w:val="00FC1394"/>
    <w:rsid w:val="00FC159E"/>
    <w:rsid w:val="00FC1BF1"/>
    <w:rsid w:val="00FC2AC2"/>
    <w:rsid w:val="00FC589E"/>
    <w:rsid w:val="00FC5C38"/>
    <w:rsid w:val="00FC64CD"/>
    <w:rsid w:val="00FC66E3"/>
    <w:rsid w:val="00FD0366"/>
    <w:rsid w:val="00FD118A"/>
    <w:rsid w:val="00FD21FE"/>
    <w:rsid w:val="00FD3356"/>
    <w:rsid w:val="00FD48B1"/>
    <w:rsid w:val="00FE1D7F"/>
    <w:rsid w:val="00FE2329"/>
    <w:rsid w:val="00FE3003"/>
    <w:rsid w:val="00FE4E25"/>
    <w:rsid w:val="00FF090C"/>
    <w:rsid w:val="00FF105A"/>
    <w:rsid w:val="00FF1069"/>
    <w:rsid w:val="00FF4889"/>
    <w:rsid w:val="00FF4F0E"/>
    <w:rsid w:val="00FF6844"/>
    <w:rsid w:val="00FF7A40"/>
    <w:rsid w:val="24FE4279"/>
    <w:rsid w:val="3DC80BB4"/>
    <w:rsid w:val="6AFCD35C"/>
    <w:rsid w:val="6DFF5BAA"/>
    <w:rsid w:val="6EEBE081"/>
    <w:rsid w:val="6FE72944"/>
    <w:rsid w:val="72FBB79A"/>
    <w:rsid w:val="775B8F38"/>
    <w:rsid w:val="7797E3D4"/>
    <w:rsid w:val="78031D0F"/>
    <w:rsid w:val="7BF19F86"/>
    <w:rsid w:val="7EFFFAC0"/>
    <w:rsid w:val="7FBF8CE7"/>
    <w:rsid w:val="7FEACE8B"/>
    <w:rsid w:val="7FF727AE"/>
    <w:rsid w:val="B6953D71"/>
    <w:rsid w:val="B77B61A2"/>
    <w:rsid w:val="C1C722DC"/>
    <w:rsid w:val="C7EEC0EC"/>
    <w:rsid w:val="D7D32267"/>
    <w:rsid w:val="D7FF56E2"/>
    <w:rsid w:val="DB7E12B8"/>
    <w:rsid w:val="DBE7904E"/>
    <w:rsid w:val="DFDCC2A7"/>
    <w:rsid w:val="ECFF47F4"/>
    <w:rsid w:val="EFBA1887"/>
    <w:rsid w:val="F2DB88E9"/>
    <w:rsid w:val="F6FB174D"/>
    <w:rsid w:val="F6FCE87C"/>
    <w:rsid w:val="F7680B55"/>
    <w:rsid w:val="F7AF5FB6"/>
    <w:rsid w:val="F7FE2FAE"/>
    <w:rsid w:val="F97C6729"/>
    <w:rsid w:val="FCEFAB0C"/>
    <w:rsid w:val="FDC7B765"/>
    <w:rsid w:val="FE7FFF4E"/>
    <w:rsid w:val="FEEFB6D5"/>
    <w:rsid w:val="FEFB19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rPr>
      <w:rFonts w:ascii="仿宋" w:hAnsi="仿宋" w:eastAsia="仿宋" w:cs="仿宋"/>
      <w:sz w:val="32"/>
      <w:szCs w:val="32"/>
      <w:lang w:val="en-US" w:eastAsia="zh-CN" w:bidi="ar-SA"/>
    </w:rPr>
  </w:style>
  <w:style w:type="paragraph" w:styleId="4">
    <w:name w:val="Date"/>
    <w:basedOn w:val="1"/>
    <w:next w:val="1"/>
    <w:link w:val="11"/>
    <w:qFormat/>
    <w:uiPriority w:val="0"/>
    <w:rPr>
      <w:rFonts w:ascii="仿宋_GB2312" w:eastAsia="仿宋_GB2312"/>
      <w:sz w:val="32"/>
    </w:r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页脚 Char"/>
    <w:basedOn w:val="8"/>
    <w:link w:val="5"/>
    <w:qFormat/>
    <w:uiPriority w:val="0"/>
    <w:rPr>
      <w:rFonts w:ascii="Times New Roman" w:hAnsi="Times New Roman" w:eastAsia="宋体" w:cs="Times New Roman"/>
      <w:sz w:val="18"/>
      <w:szCs w:val="18"/>
    </w:rPr>
  </w:style>
  <w:style w:type="character" w:customStyle="1" w:styleId="11">
    <w:name w:val="日期 Char"/>
    <w:basedOn w:val="8"/>
    <w:link w:val="4"/>
    <w:qFormat/>
    <w:uiPriority w:val="0"/>
    <w:rPr>
      <w:rFonts w:ascii="仿宋_GB2312" w:hAnsi="Times New Roman" w:eastAsia="仿宋_GB2312" w:cs="Times New Roman"/>
      <w:sz w:val="32"/>
      <w:szCs w:val="24"/>
    </w:rPr>
  </w:style>
  <w:style w:type="character" w:customStyle="1" w:styleId="12">
    <w:name w:val="页眉 Char"/>
    <w:basedOn w:val="8"/>
    <w:link w:val="6"/>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2</Pages>
  <Words>43</Words>
  <Characters>246</Characters>
  <Lines>2</Lines>
  <Paragraphs>1</Paragraphs>
  <TotalTime>0</TotalTime>
  <ScaleCrop>false</ScaleCrop>
  <LinksUpToDate>false</LinksUpToDate>
  <CharactersWithSpaces>288</CharactersWithSpaces>
  <Application>WPS Office_11.8.2.11810_F1E327BC-269C-435d-A152-05C5408002CA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2019-09-20T22:10:00Z</dcterms:created>
  <dc:creator>CN=李小鹏/OU=办公室/O=CZCE</dc:creator>
  <cp:lastModifiedBy>王新宇</cp:lastModifiedBy>
  <dcterms:modified xsi:type="dcterms:W3CDTF">2025-10-20T16:52:18Z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63349321485E01AEE2E2D968386447B4</vt:lpwstr>
  </property>
</Properties>
</file>