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郑州商品交易所动力煤期货业务细则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修订案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对《郑州商品交易所动力煤期货业务细则》作如下修订：</w:t>
      </w:r>
    </w:p>
    <w:p>
      <w:pPr>
        <w:widowControl/>
        <w:spacing w:line="360" w:lineRule="auto"/>
        <w:ind w:firstLine="640" w:firstLineChars="200"/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  <w:t>一、将</w:t>
      </w:r>
      <w:r>
        <w:rPr>
          <w:rFonts w:ascii="Times New Roman" w:hAnsi="Times New Roman" w:eastAsia="黑体" w:cs="黑体"/>
          <w:i w:val="0"/>
          <w:iCs w:val="0"/>
          <w:color w:val="000000"/>
          <w:spacing w:val="0"/>
          <w:sz w:val="32"/>
          <w:szCs w:val="32"/>
          <w:shd w:val="clear" w:color="auto" w:fill="FFFFFF"/>
        </w:rPr>
        <w:t>第二十二条</w:t>
      </w:r>
      <w:r>
        <w:rPr>
          <w:rFonts w:hint="eastAsia" w:ascii="Times New Roman" w:hAnsi="Times New Roman" w:eastAsia="黑体" w:cs="黑体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修改为：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bCs/>
          <w:kern w:val="0"/>
          <w:sz w:val="32"/>
          <w:szCs w:val="32"/>
        </w:rPr>
        <w:t>基准交割品：收到基低位发热量为5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"/>
          <w:bCs/>
          <w:kern w:val="0"/>
          <w:sz w:val="32"/>
          <w:szCs w:val="32"/>
        </w:rPr>
        <w:t>00千卡/千克，干燥基全硫≤0.8%，30%≤干燥无灰基挥发分≤42%，干燥基灰分≤30%，全水≤25%的动力煤。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lang w:eastAsia="zh-CN"/>
        </w:rPr>
        <w:t>”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、将第</w:t>
      </w:r>
      <w:r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条修改为：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/>
          <w:bCs/>
          <w:kern w:val="0"/>
          <w:sz w:val="32"/>
          <w:szCs w:val="32"/>
          <w:highlight w:val="none"/>
          <w:lang w:val="en-US" w:eastAsia="zh-CN"/>
        </w:rPr>
        <w:t>“替代交割品及升贴水：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lang w:val="en-US" w:eastAsia="zh-CN"/>
        </w:rPr>
        <w:t>收到基低位发热量≥4300千卡/千克，干燥基全硫≤1.5%，30%≤干燥无灰基挥发分≤42%，干燥基灰分≤30%的动力煤。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"/>
          <w:bCs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lang w:val="en-US" w:eastAsia="zh-CN"/>
        </w:rPr>
        <w:t>4300千卡/千克≤收到基低位发热量＜4800千卡/千克时，货款结算价（四舍五入，保留小数点后两位）=交割结算价×0.84/4500×实测发热量；4800千卡/千克≤收到基低位发热量＜5300千卡/千克时，货款结算价（四舍五入，保留小数点后两位）=交割结算价/5000×实测发热量；收到基低位发热量≥5300千卡/千克时，货款结算价（四舍五入，保留小数点后两位）=交割结算价×1.11/5500×实测发热量；收到基低位发热量超过6000千卡/千克的，按6000千卡/千克计算货款。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highlight w:val="none"/>
        </w:rPr>
        <w:t>……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highlight w:val="none"/>
          <w:lang w:eastAsia="zh-CN"/>
        </w:rPr>
        <w:t>”</w:t>
      </w:r>
    </w:p>
    <w:p>
      <w:pPr>
        <w:widowControl/>
        <w:spacing w:line="360" w:lineRule="auto"/>
        <w:ind w:firstLine="640" w:firstLineChars="200"/>
        <w:rPr>
          <w:rFonts w:hint="eastAsia"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、将第</w:t>
      </w:r>
      <w:r>
        <w:rPr>
          <w:rFonts w:hint="eastAsia" w:ascii="Times New Roman" w:hAnsi="Times New Roman" w:eastAsia="黑体" w:cs="黑体"/>
          <w:bCs/>
          <w:kern w:val="0"/>
          <w:sz w:val="32"/>
          <w:szCs w:val="32"/>
          <w:lang w:val="en-US" w:eastAsia="zh-CN"/>
        </w:rPr>
        <w:t>三十二</w:t>
      </w: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条</w:t>
      </w:r>
      <w:r>
        <w:rPr>
          <w:rFonts w:hint="eastAsia" w:eastAsia="黑体" w:cs="黑体"/>
          <w:bCs/>
          <w:kern w:val="0"/>
          <w:sz w:val="32"/>
          <w:szCs w:val="32"/>
          <w:lang w:eastAsia="zh-CN"/>
        </w:rPr>
        <w:t>第二款</w:t>
      </w:r>
      <w:r>
        <w:rPr>
          <w:rFonts w:hint="eastAsia" w:eastAsia="黑体" w:cs="黑体"/>
          <w:bCs/>
          <w:kern w:val="0"/>
          <w:sz w:val="32"/>
          <w:szCs w:val="32"/>
          <w:lang w:val="en-US" w:eastAsia="zh-CN"/>
        </w:rPr>
        <w:t>至第五款</w:t>
      </w: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修改为：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/>
          <w:bCs/>
          <w:kern w:val="0"/>
          <w:sz w:val="32"/>
          <w:szCs w:val="32"/>
          <w:lang w:val="en-US" w:eastAsia="zh-CN"/>
        </w:rPr>
        <w:t>“4800千卡/千克≤收到基低位发热量＜5300千卡/千克时，货款结算价（四舍五入，保留小数点后两位）=交割结算价/5000×实测发热量。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/>
          <w:bCs/>
          <w:kern w:val="0"/>
          <w:sz w:val="32"/>
          <w:szCs w:val="32"/>
        </w:rPr>
      </w:pPr>
      <w:r>
        <w:rPr>
          <w:rFonts w:hint="eastAsia" w:eastAsia="仿宋"/>
          <w:bCs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lang w:val="en-US" w:eastAsia="zh-CN"/>
        </w:rPr>
        <w:t>收到基低位发热量≥5300千卡/千克时，货款结算价（四舍五入，保留小数点后两位）=交割结算价×1.11/5500×实测发热量；收到基低位发热量超过6000千卡/千克时，按6000千卡/千克计算货款。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/>
          <w:bCs/>
          <w:kern w:val="0"/>
          <w:sz w:val="32"/>
          <w:szCs w:val="32"/>
        </w:rPr>
      </w:pPr>
      <w:r>
        <w:rPr>
          <w:rFonts w:hint="eastAsia" w:eastAsia="仿宋"/>
          <w:bCs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lang w:val="en-US" w:eastAsia="zh-CN"/>
        </w:rPr>
        <w:t>4300千卡/千克≤收到基低位发热量＜4800千卡/千克时，货款结算价（四舍五入，保留小数点后两位）=交割结算价×0.84/4500×实测发热量。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bCs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lang w:val="en-US" w:eastAsia="zh-CN"/>
        </w:rPr>
        <w:t>收到基低位发热量＜4300千卡/千克，货款结算价（四舍五入，保留小数点后两位）=（交割结算价×0.84/4500×实测发热量）×50%。</w:t>
      </w:r>
      <w:r>
        <w:rPr>
          <w:rFonts w:hint="eastAsia" w:ascii="Times New Roman" w:hAnsi="Times New Roman" w:eastAsia="仿宋"/>
          <w:bCs/>
          <w:kern w:val="0"/>
          <w:sz w:val="32"/>
          <w:szCs w:val="32"/>
          <w:highlight w:val="none"/>
          <w:lang w:val="en-US" w:eastAsia="zh-CN"/>
        </w:rPr>
        <w:t>”</w:t>
      </w:r>
    </w:p>
    <w:p>
      <w:pPr>
        <w:rPr>
          <w:rFonts w:hint="eastAsia" w:ascii="仿宋" w:hAnsi="仿宋" w:eastAsia="黑体" w:cs="仿宋"/>
          <w:sz w:val="32"/>
          <w:lang w:val="en-US" w:eastAsia="zh-CN"/>
        </w:rPr>
      </w:pPr>
      <w:r>
        <w:rPr>
          <w:rFonts w:eastAsia="仿宋"/>
          <w:sz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《郑州商品交易所动力煤期货业务细则》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修订条款对照表</w:t>
      </w:r>
    </w:p>
    <w:p>
      <w:pPr>
        <w:jc w:val="center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（加粗加下划线为新增内容，加删除线为删除内容）</w:t>
      </w:r>
    </w:p>
    <w:tbl>
      <w:tblPr>
        <w:tblStyle w:val="6"/>
        <w:tblW w:w="53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现行条文</w:t>
            </w:r>
          </w:p>
        </w:tc>
        <w:tc>
          <w:tcPr>
            <w:tcW w:w="2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修订后条文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</w:rPr>
              <w:t>第二十二条 基准交割品：收到基低位发热量为5500千卡/千克，干燥基全硫≤0.8%，30%≤干燥无灰基挥发分≤42%，干燥基灰分≤30%，全水≤25%的动力煤。</w:t>
            </w:r>
          </w:p>
        </w:tc>
        <w:tc>
          <w:tcPr>
            <w:tcW w:w="2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</w:rPr>
              <w:t>第二十二条 基准交割品：收到基低位发热量为</w:t>
            </w:r>
            <w:r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</w:rPr>
              <w:t>5500</w:t>
            </w:r>
            <w:r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  <w:t>000</w:t>
            </w:r>
            <w:r>
              <w:rPr>
                <w:rFonts w:hint="eastAsia" w:ascii="Times New Roman" w:hAnsi="Times New Roman" w:eastAsia="仿宋"/>
                <w:bCs/>
                <w:kern w:val="0"/>
                <w:sz w:val="24"/>
              </w:rPr>
              <w:t>千卡/千克，干燥基全硫≤0.8%，30%≤干燥无灰基挥发分≤42%，干燥基灰分≤30%，全水≤25%的动力煤。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第二十三条 替代交割品及升贴水：收到基低位发热量≥4300千卡/千克，干燥基全硫≤1.5%，30%≤干燥无灰基挥发分≤42%，干燥基灰分≤30%的动力煤。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4300千卡/千克≤收到基低位发热量＜4800千卡/千克时，货款结算价（四舍五入，保留小数点后两位）=交割结算价×0.7687/4500×实测发热量；4800千卡/千克≤收到基低位发热量＜5300千卡/千克时，货款结算价（四舍五入，保留小数点后两位）=交割结算价×0.8768/5000×实测发热量；收到基低位发热量≥5300千卡/千克时，货款结算价（四舍五入，保留小数点后两位）=交割结算价/5500×实测发热量；收到基低位发热量超过6000千卡/千克的，按6000千卡/千克计算货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4"/>
                <w:lang w:val="en-US" w:eastAsia="zh-CN"/>
              </w:rPr>
              <w:t>……</w:t>
            </w:r>
          </w:p>
        </w:tc>
        <w:tc>
          <w:tcPr>
            <w:tcW w:w="2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第二十三条 替代交割品及升贴水：收到基低位发热量≥4300千卡/千克，干燥基全硫≤1.5%，30%≤干燥无灰基挥发分≤42%，干燥基灰分≤30%的动力煤。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4300千卡/千克≤收到基低位发热量＜4800千卡/千克时，货款结算价（四舍五入，保留小数点后两位）</w:t>
            </w:r>
            <w:r>
              <w:rPr>
                <w:rFonts w:hint="eastAsia" w:ascii="Times New Roman" w:hAnsi="Times New Roman" w:eastAsia="仿宋"/>
                <w:bCs/>
                <w:strike w:val="0"/>
                <w:dstrike w:val="0"/>
                <w:kern w:val="0"/>
                <w:sz w:val="24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  <w:t>交割结算价×0.7687/4500×实测发热量</w:t>
            </w:r>
            <w:r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  <w:t>交割结算价×0.84/4500×实测发热量</w:t>
            </w: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；4800千卡/千克≤收到基低位发热量＜5300千卡/千克时，货款结算价（四舍五入，保留小数点后两位）</w:t>
            </w:r>
            <w:r>
              <w:rPr>
                <w:rFonts w:hint="eastAsia" w:ascii="Times New Roman" w:hAnsi="Times New Roman" w:eastAsia="仿宋"/>
                <w:bCs/>
                <w:strike w:val="0"/>
                <w:dstrike w:val="0"/>
                <w:kern w:val="0"/>
                <w:sz w:val="24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  <w:t>交割结算价×0.8768/5000×实测发热量</w:t>
            </w:r>
            <w:r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  <w:t>交割结算价/5000×实测发热量</w:t>
            </w: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；收到基低位发热量≥5300千卡/千克时，货款结算价（四舍五入，保留小数点后两位）=</w:t>
            </w:r>
            <w:r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  <w:t>交割结算价/5500×实测发热量</w:t>
            </w:r>
            <w:r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  <w:t>交割结算价×1.11/5500×实测发热量</w:t>
            </w: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；收到基低位发热量超过6000千卡/千克的，按6000千卡/千克计算货款。</w:t>
            </w:r>
          </w:p>
          <w:p>
            <w:pPr>
              <w:rPr>
                <w:rFonts w:hint="eastAsia"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hint="eastAsia" w:eastAsia="仿宋"/>
                <w:bCs/>
                <w:kern w:val="0"/>
                <w:sz w:val="24"/>
                <w:lang w:val="en-US" w:eastAsia="zh-CN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第三十二条 对于已经发运的动力煤，按实际检验结果计算货款，计算结果保留小数点后两位。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收到基低位发热量≥5300千卡/千克时，货款结算价（四舍五入，保留小数点后两位）=交割结算价/5500×实测发热量；收到基低位发热量超过6000千卡/千克时，按6000千卡/千克计算货款。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4800千卡/千克≤收到基低位发热量＜5300千卡/千克时，货款结算价（四舍五入，保留小数点后两位）=交割结算价×0.8768/5000×实测发热量；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4300千卡/千克≤收到基低位发热量＜4800千卡/千克时，货款结算价（四舍五入，保留小数点后两位）=交割结算价×0.7687/4500×实测发热量；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收到基低位发热量＜4300千卡/千克，货款结算价（四舍五入，保留小数点后两位）=交割结算价×0.7687/4500×实测发热量×50%。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kern w:val="0"/>
                <w:sz w:val="24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</w:rPr>
            </w:pPr>
          </w:p>
        </w:tc>
        <w:tc>
          <w:tcPr>
            <w:tcW w:w="2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  <w:t>第三十二条 对于已经发运的动力煤，按实际检验结果计算货款，计算结果保留小数点后两位。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  <w:t>收到基低位发热量≥5300千卡/千克时，货款结算价（四舍五入，保留小数点后两位）=交割结算价/5500×实测发热量；收到基低位发热量超过6000千卡/千克时，按6000千卡/千克计算货款。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  <w:t>4800千卡/千克≤收到基低位发热量＜5300千卡/千克时，货款结算价（四舍五入，保留小数点后两位）=交割结算价×0.8768/5000×实测发热量；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  <w:t>4300千卡/千克≤收到基低位发热量＜4800千卡/千克时，货款结算价（四舍五入，保留小数点后两位）=交割结算价×0.7687/4500×实测发热量；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trike/>
                <w:kern w:val="0"/>
                <w:sz w:val="24"/>
                <w:lang w:val="en-US" w:eastAsia="zh-CN"/>
              </w:rPr>
              <w:t>收到基低位发热量＜4300千卡/千克，货款结算价（四舍五入，保留小数点后两位）=交割结算价×0.7687/4500×实测发热量×50%。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1" w:firstLineChars="200"/>
              <w:jc w:val="both"/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  <w:t>4800千卡/千克≤收到基低位发热量＜5300千卡/千克时，货款结算价（四舍五入，保留小数点后两位）=交割结算价/5000×实测发热量。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1" w:firstLineChars="200"/>
              <w:jc w:val="both"/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  <w:t>收到基低位发热量≥5300千卡/千克时，货款结算价（四舍五入，保留小数点后两位）=交割结算价×1.11/5500×实测发热量；收到基低位发热量超过6000千卡/千克时，按6000千卡/千克计算货款。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1" w:firstLineChars="200"/>
              <w:jc w:val="both"/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  <w:t>4300千卡/千克≤收到基低位发热量＜4800千卡/千克时，货款结算价（四舍五入，保留小数点后两位）=交割结算价×0.84/4500×实测发热量。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1" w:firstLineChars="200"/>
              <w:jc w:val="both"/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kern w:val="0"/>
                <w:sz w:val="24"/>
                <w:u w:val="single"/>
                <w:lang w:val="en-US" w:eastAsia="zh-CN"/>
              </w:rPr>
              <w:t>收到基低位发热量＜4300千卡/千克，货款结算价（四舍五入，保留小数点后两位）=（交割结算价×0.84/4500×实测发热量）×50%。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hint="eastAsia" w:eastAsia="仿宋"/>
                <w:b w:val="0"/>
                <w:bCs/>
                <w:kern w:val="0"/>
                <w:sz w:val="24"/>
                <w:u w:val="none"/>
                <w:lang w:val="en-US" w:eastAsia="zh-CN"/>
              </w:rPr>
              <w:t>……</w:t>
            </w:r>
          </w:p>
        </w:tc>
      </w:tr>
    </w:tbl>
    <w:p>
      <w:pPr>
        <w:rPr>
          <w:rFonts w:ascii="仿宋" w:hAnsi="仿宋" w:eastAsia="仿宋"/>
          <w:spacing w:val="-6"/>
          <w:sz w:val="32"/>
        </w:rPr>
      </w:pPr>
    </w:p>
    <w:p>
      <w:pPr>
        <w:ind w:firstLine="0" w:firstLineChars="0"/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1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EBB4C35"/>
    <w:rsid w:val="1A4551F3"/>
    <w:rsid w:val="38F28EAB"/>
    <w:rsid w:val="3A7A288C"/>
    <w:rsid w:val="3B7F3A07"/>
    <w:rsid w:val="3E75DDE9"/>
    <w:rsid w:val="4F7F214C"/>
    <w:rsid w:val="4FDB5C7C"/>
    <w:rsid w:val="57AF6CAA"/>
    <w:rsid w:val="5935029C"/>
    <w:rsid w:val="5FEBF320"/>
    <w:rsid w:val="6DEFB75C"/>
    <w:rsid w:val="6FF30966"/>
    <w:rsid w:val="73781649"/>
    <w:rsid w:val="74672A49"/>
    <w:rsid w:val="77658975"/>
    <w:rsid w:val="77FDDD4F"/>
    <w:rsid w:val="78031D0F"/>
    <w:rsid w:val="793F5413"/>
    <w:rsid w:val="7BDB3BAB"/>
    <w:rsid w:val="7F3A9642"/>
    <w:rsid w:val="7F7EC4DC"/>
    <w:rsid w:val="7FFF21B9"/>
    <w:rsid w:val="7FFF66E6"/>
    <w:rsid w:val="9EBF9946"/>
    <w:rsid w:val="ABF7E52D"/>
    <w:rsid w:val="AD3BA862"/>
    <w:rsid w:val="B277AA37"/>
    <w:rsid w:val="B7DB79C1"/>
    <w:rsid w:val="B7DF54C1"/>
    <w:rsid w:val="B7F46CC3"/>
    <w:rsid w:val="BB9D6865"/>
    <w:rsid w:val="BBFF748E"/>
    <w:rsid w:val="BCF67580"/>
    <w:rsid w:val="BDF7C7A2"/>
    <w:rsid w:val="D7FC92A3"/>
    <w:rsid w:val="DA75F687"/>
    <w:rsid w:val="DB774FF4"/>
    <w:rsid w:val="DFEE65DF"/>
    <w:rsid w:val="DFFE3D89"/>
    <w:rsid w:val="E6EF5D52"/>
    <w:rsid w:val="ECF3213F"/>
    <w:rsid w:val="EF7F26DB"/>
    <w:rsid w:val="F5BEE958"/>
    <w:rsid w:val="FA77675A"/>
    <w:rsid w:val="FB7397E0"/>
    <w:rsid w:val="FB755137"/>
    <w:rsid w:val="FD6FDA38"/>
    <w:rsid w:val="FDB29375"/>
    <w:rsid w:val="FF7F6641"/>
    <w:rsid w:val="FFD649DA"/>
    <w:rsid w:val="FFD67B27"/>
    <w:rsid w:val="FFF76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网格型1"/>
    <w:basedOn w:val="6"/>
    <w:qFormat/>
    <w:uiPriority w:val="59"/>
    <w:pPr>
      <w:jc w:val="both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2019-09-25T14:10:00Z</dcterms:created>
  <dc:creator>CN=李小鹏/OU=办公室/O=CZCE</dc:creator>
  <cp:lastModifiedBy>王新宇</cp:lastModifiedBy>
  <dcterms:modified xsi:type="dcterms:W3CDTF">2025-09-30T16:40:30Z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9A952B1F370B4FCB37A3D368F5B77EB1</vt:lpwstr>
  </property>
</Properties>
</file>