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3" w:beforeLines="100" w:after="313" w:afterLines="100"/>
        <w:ind w:firstLine="0" w:firstLineChars="0"/>
        <w:jc w:val="both"/>
        <w:outlineLvl w:val="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313" w:beforeLines="100" w:after="313" w:afterLine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  <w:lang w:eastAsia="zh-CN"/>
        </w:rPr>
        <w:t>郑州商品交易所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苹果期货车（船）板交收指引（征求意见稿）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》起草说明</w:t>
      </w:r>
    </w:p>
    <w:p>
      <w:pPr>
        <w:spacing w:before="0" w:beforeLines="0" w:after="0" w:afterLines="0"/>
        <w:ind w:firstLine="640" w:firstLineChars="200"/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为了适应新的市场变化，更大程度便利产业客户参与，</w:t>
      </w:r>
      <w:r>
        <w:rPr>
          <w:rFonts w:hint="default" w:ascii="Times New Roman" w:hAnsi="Times New Roman" w:eastAsia="仿宋"/>
          <w:sz w:val="32"/>
          <w:szCs w:val="32"/>
        </w:rPr>
        <w:t>根据《郑州商品交易所期货交割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管理办法</w:t>
      </w:r>
      <w:r>
        <w:rPr>
          <w:rFonts w:hint="default" w:ascii="Times New Roman" w:hAnsi="Times New Roman" w:eastAsia="仿宋"/>
          <w:sz w:val="32"/>
          <w:szCs w:val="32"/>
        </w:rPr>
        <w:t>》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"/>
          <w:sz w:val="32"/>
          <w:szCs w:val="32"/>
        </w:rPr>
        <w:t>郑州商品交易所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鲜苹果期货业务细则》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（以下简称《苹果细则》）</w:t>
      </w:r>
      <w:r>
        <w:rPr>
          <w:rFonts w:hint="default" w:ascii="Times New Roman" w:hAnsi="Times New Roman" w:eastAsia="仿宋"/>
          <w:sz w:val="32"/>
          <w:szCs w:val="32"/>
        </w:rPr>
        <w:t>等有关规定</w:t>
      </w:r>
      <w:r>
        <w:rPr>
          <w:rFonts w:hint="eastAsia" w:eastAsia="仿宋"/>
          <w:sz w:val="32"/>
          <w:szCs w:val="32"/>
          <w:lang w:eastAsia="zh-CN"/>
        </w:rPr>
        <w:t>，郑州商品交易所（以下简称交易所）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起草了《郑州商品交易所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苹果期货车（船）板交割指引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）》</w:t>
      </w:r>
      <w:r>
        <w:rPr>
          <w:rFonts w:hint="default" w:ascii="Times New Roman" w:hAnsi="Times New Roman" w:eastAsia="仿宋"/>
          <w:color w:val="auto"/>
          <w:sz w:val="32"/>
          <w:szCs w:val="32"/>
          <w:lang w:val="en-US" w:eastAsia="zh-CN"/>
        </w:rPr>
        <w:t>（以下简称《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车板交收指引</w:t>
      </w:r>
      <w:r>
        <w:rPr>
          <w:rFonts w:hint="default" w:ascii="Times New Roman" w:hAnsi="Times New Roman" w:eastAsia="仿宋"/>
          <w:color w:val="auto"/>
          <w:sz w:val="32"/>
          <w:szCs w:val="32"/>
          <w:lang w:val="en-US" w:eastAsia="zh-CN"/>
        </w:rPr>
        <w:t>》）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。现将有关情况说明如下。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制定背景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jc w:val="left"/>
        <w:textAlignment w:val="auto"/>
        <w:outlineLvl w:val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近年来，苹果期现货市场快速发展，</w:t>
      </w:r>
      <w:r>
        <w:rPr>
          <w:rFonts w:hint="eastAsia" w:eastAsia="仿宋" w:cs="Times New Roman"/>
          <w:sz w:val="32"/>
          <w:szCs w:val="32"/>
          <w:lang w:eastAsia="zh-CN"/>
        </w:rPr>
        <w:t>呈现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一些新形势、新情况</w:t>
      </w:r>
      <w:r>
        <w:rPr>
          <w:rFonts w:hint="eastAsia" w:eastAsia="仿宋" w:cs="Times New Roman"/>
          <w:sz w:val="32"/>
          <w:szCs w:val="32"/>
          <w:lang w:eastAsia="zh-CN"/>
        </w:rPr>
        <w:t>、新变化，为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推动期货标准不断贴近现货产业实际，促进品种功能发挥</w:t>
      </w:r>
      <w:r>
        <w:rPr>
          <w:rFonts w:hint="eastAsia" w:eastAsia="仿宋" w:cs="Times New Roman"/>
          <w:sz w:val="32"/>
          <w:szCs w:val="32"/>
          <w:lang w:eastAsia="zh-CN"/>
        </w:rPr>
        <w:t>，交易所修订了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《苹果细则》。为细化相关制度安排，便于产业客户、交割服务机构、会员等理解、操作，结合新规定、新要求及实践经验，按照“明确交割参与主体的权利义务、强化交割服务机构及会员责任、细化交割流程、便于参与各方理解执行”的思路，交易所制定了《车板交收指引》，指引市场主体做好交割的各项准备工作，推动苹果期货交割向高效、高质开展迈进。</w:t>
      </w:r>
    </w:p>
    <w:p>
      <w:pPr>
        <w:widowControl/>
        <w:numPr>
          <w:ilvl w:val="0"/>
          <w:numId w:val="1"/>
        </w:numPr>
        <w:spacing w:before="0" w:beforeLines="0" w:after="0" w:afterLines="0"/>
        <w:ind w:firstLine="640" w:firstLineChars="200"/>
        <w:jc w:val="left"/>
        <w:outlineLvl w:val="0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>主要制定内容</w:t>
      </w:r>
    </w:p>
    <w:p>
      <w:pPr>
        <w:widowControl/>
        <w:numPr>
          <w:ilvl w:val="0"/>
          <w:numId w:val="0"/>
        </w:numPr>
        <w:spacing w:before="0" w:beforeLines="0" w:after="0" w:afterLines="0"/>
        <w:ind w:firstLine="640" w:firstLineChars="200"/>
        <w:jc w:val="left"/>
        <w:outlineLvl w:val="0"/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《车板交收指引》分八个章节，分别为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总则、交割服务机构、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交收准备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现场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交收、复检、争议处理、监督管理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、附则等，共三十七条，主要内容包括：</w:t>
      </w:r>
    </w:p>
    <w:p>
      <w:pPr>
        <w:widowControl/>
        <w:numPr>
          <w:ilvl w:val="0"/>
          <w:numId w:val="2"/>
        </w:numPr>
        <w:spacing w:before="0" w:beforeLines="0" w:after="0" w:afterLines="0"/>
        <w:ind w:firstLine="640" w:firstLineChars="200"/>
        <w:jc w:val="left"/>
        <w:outlineLvl w:val="0"/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总则。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本章共三条，包括规则制定依据、规范主体、交收原则。其中第三条明确规定交割应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坚持诚实信用、依法合规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原则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2"/>
        </w:numPr>
        <w:spacing w:before="0" w:beforeLines="0" w:after="0" w:afterLines="0"/>
        <w:ind w:firstLine="640" w:firstLineChars="200"/>
        <w:jc w:val="left"/>
        <w:outlineLvl w:val="0"/>
        <w:rPr>
          <w:rFonts w:hint="default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交割服务机构。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本章共四条，包括交割服务机构信息公示、安排专门人员负责交割、交割服务能力保障、质检场所要求等。</w:t>
      </w:r>
      <w:r>
        <w:rPr>
          <w:rFonts w:hint="eastAsia" w:eastAsia="仿宋" w:cs="Times New Roman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明确</w:t>
      </w:r>
      <w:r>
        <w:rPr>
          <w:rFonts w:hint="eastAsia" w:eastAsia="仿宋"/>
          <w:sz w:val="32"/>
          <w:szCs w:val="32"/>
          <w:lang w:eastAsia="zh-CN"/>
        </w:rPr>
        <w:t>交割预报定金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/>
          <w:sz w:val="32"/>
          <w:szCs w:val="32"/>
        </w:rPr>
        <w:t>复检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押金及苹果容器押金</w:t>
      </w:r>
      <w:r>
        <w:rPr>
          <w:rFonts w:hint="eastAsia" w:eastAsia="仿宋"/>
          <w:sz w:val="32"/>
          <w:szCs w:val="32"/>
          <w:lang w:eastAsia="zh-CN"/>
        </w:rPr>
        <w:t>由交割服务机构收取。</w:t>
      </w:r>
      <w:r>
        <w:rPr>
          <w:rFonts w:hint="eastAsia" w:eastAsia="仿宋"/>
          <w:b/>
          <w:bCs/>
          <w:sz w:val="32"/>
          <w:szCs w:val="32"/>
          <w:lang w:eastAsia="zh-CN"/>
        </w:rPr>
        <w:t>二是</w:t>
      </w:r>
      <w:r>
        <w:rPr>
          <w:rFonts w:hint="eastAsia" w:eastAsia="仿宋"/>
          <w:b w:val="0"/>
          <w:bCs w:val="0"/>
          <w:sz w:val="32"/>
          <w:szCs w:val="32"/>
          <w:lang w:eastAsia="zh-CN"/>
        </w:rPr>
        <w:t>规定要保障交割服务能力</w:t>
      </w:r>
      <w:r>
        <w:rPr>
          <w:rFonts w:hint="eastAsia" w:eastAsia="仿宋"/>
          <w:sz w:val="32"/>
          <w:szCs w:val="32"/>
          <w:lang w:eastAsia="zh-CN"/>
        </w:rPr>
        <w:t>。</w:t>
      </w:r>
      <w:r>
        <w:rPr>
          <w:rFonts w:hint="eastAsia" w:eastAsia="仿宋"/>
          <w:b/>
          <w:bCs/>
          <w:sz w:val="32"/>
          <w:szCs w:val="32"/>
          <w:lang w:eastAsia="zh-CN"/>
        </w:rPr>
        <w:t>三是</w:t>
      </w:r>
      <w:r>
        <w:rPr>
          <w:rFonts w:hint="eastAsia" w:eastAsia="仿宋"/>
          <w:b w:val="0"/>
          <w:bCs w:val="0"/>
          <w:sz w:val="32"/>
          <w:szCs w:val="32"/>
          <w:lang w:eastAsia="zh-CN"/>
        </w:rPr>
        <w:t>规定设置检验场所的要求</w:t>
      </w:r>
      <w:r>
        <w:rPr>
          <w:rFonts w:hint="eastAsia" w:eastAsia="仿宋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2"/>
        </w:numPr>
        <w:spacing w:before="0" w:beforeLines="0" w:after="0" w:afterLines="0"/>
        <w:ind w:left="0" w:leftChars="0" w:firstLine="640" w:firstLineChars="200"/>
        <w:jc w:val="left"/>
        <w:outlineLvl w:val="0"/>
        <w:rPr>
          <w:rFonts w:hint="eastAsia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交收准备。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本章共五条，包括细化会员</w:t>
      </w:r>
      <w:r>
        <w:rPr>
          <w:rFonts w:hint="eastAsia" w:eastAsia="仿宋"/>
          <w:b w:val="0"/>
          <w:bCs/>
          <w:sz w:val="32"/>
          <w:szCs w:val="32"/>
          <w:lang w:eastAsia="zh-CN"/>
        </w:rPr>
        <w:t>责任、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交收客户交割安排、中转协议签订、交割代理人管理</w:t>
      </w:r>
      <w:r>
        <w:rPr>
          <w:rFonts w:hint="eastAsia" w:eastAsia="仿宋"/>
          <w:b w:val="0"/>
          <w:bCs/>
          <w:sz w:val="32"/>
          <w:szCs w:val="32"/>
          <w:lang w:eastAsia="zh-CN"/>
        </w:rPr>
        <w:t>等。</w:t>
      </w:r>
      <w:r>
        <w:rPr>
          <w:rFonts w:hint="eastAsia" w:eastAsia="仿宋"/>
          <w:b/>
          <w:bCs w:val="0"/>
          <w:sz w:val="32"/>
          <w:szCs w:val="32"/>
          <w:lang w:eastAsia="zh-CN"/>
        </w:rPr>
        <w:t>一</w:t>
      </w:r>
      <w:r>
        <w:rPr>
          <w:rFonts w:hint="eastAsia" w:eastAsia="仿宋"/>
          <w:b/>
          <w:bCs w:val="0"/>
          <w:sz w:val="32"/>
          <w:szCs w:val="32"/>
          <w:lang w:val="en-US" w:eastAsia="zh-CN"/>
        </w:rPr>
        <w:t>是</w:t>
      </w:r>
      <w:r>
        <w:rPr>
          <w:rFonts w:hint="eastAsia" w:eastAsia="仿宋"/>
          <w:b w:val="0"/>
          <w:bCs/>
          <w:sz w:val="32"/>
          <w:szCs w:val="32"/>
          <w:lang w:val="en-US" w:eastAsia="zh-CN"/>
        </w:rPr>
        <w:t>细化会员对进入交割月且未预报客户的管理。规定</w:t>
      </w:r>
      <w:r>
        <w:rPr>
          <w:rFonts w:hint="default" w:ascii="Times New Roman" w:hAnsi="Times New Roman" w:eastAsia="仿宋"/>
          <w:b w:val="0"/>
          <w:bCs/>
          <w:sz w:val="32"/>
          <w:szCs w:val="32"/>
          <w:lang w:eastAsia="zh-CN"/>
        </w:rPr>
        <w:t>交割月前</w:t>
      </w:r>
      <w:r>
        <w:rPr>
          <w:rFonts w:hint="eastAsia" w:eastAsia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eastAsia="仿宋"/>
          <w:b w:val="0"/>
          <w:bCs/>
          <w:sz w:val="32"/>
          <w:szCs w:val="32"/>
          <w:lang w:eastAsia="zh-CN"/>
        </w:rPr>
        <w:t>个月</w:t>
      </w:r>
      <w:r>
        <w:rPr>
          <w:rFonts w:hint="default" w:ascii="Times New Roman" w:hAnsi="Times New Roman" w:eastAsia="仿宋"/>
          <w:b w:val="0"/>
          <w:bCs/>
          <w:sz w:val="32"/>
          <w:szCs w:val="32"/>
          <w:lang w:eastAsia="zh-CN"/>
        </w:rPr>
        <w:t>最后</w:t>
      </w:r>
      <w:r>
        <w:rPr>
          <w:rFonts w:hint="eastAsia" w:eastAsia="仿宋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/>
          <w:b w:val="0"/>
          <w:bCs/>
          <w:sz w:val="32"/>
          <w:szCs w:val="32"/>
          <w:lang w:eastAsia="zh-CN"/>
        </w:rPr>
        <w:t>个交易日收盘后，</w:t>
      </w:r>
      <w:r>
        <w:rPr>
          <w:rFonts w:hint="eastAsia" w:eastAsia="仿宋"/>
          <w:b w:val="0"/>
          <w:bCs/>
          <w:sz w:val="32"/>
          <w:szCs w:val="32"/>
          <w:lang w:eastAsia="zh-CN"/>
        </w:rPr>
        <w:t>会员</w:t>
      </w:r>
      <w:r>
        <w:rPr>
          <w:rFonts w:hint="default" w:ascii="Times New Roman" w:hAnsi="Times New Roman" w:eastAsia="仿宋"/>
          <w:b w:val="0"/>
          <w:bCs/>
          <w:sz w:val="32"/>
          <w:szCs w:val="32"/>
          <w:lang w:eastAsia="zh-CN"/>
        </w:rPr>
        <w:t>应当向持卖持仓且未预报的客户</w:t>
      </w:r>
      <w:r>
        <w:rPr>
          <w:rFonts w:hint="eastAsia" w:eastAsia="仿宋"/>
          <w:b w:val="0"/>
          <w:bCs/>
          <w:sz w:val="32"/>
          <w:szCs w:val="32"/>
          <w:lang w:eastAsia="zh-CN"/>
        </w:rPr>
        <w:t>了解交割</w:t>
      </w:r>
      <w:r>
        <w:rPr>
          <w:rFonts w:hint="default" w:ascii="Times New Roman" w:hAnsi="Times New Roman" w:eastAsia="仿宋"/>
          <w:b w:val="0"/>
          <w:bCs/>
          <w:sz w:val="32"/>
          <w:szCs w:val="32"/>
          <w:lang w:eastAsia="zh-CN"/>
        </w:rPr>
        <w:t>计划等情况</w:t>
      </w:r>
      <w:r>
        <w:rPr>
          <w:rFonts w:hint="eastAsia" w:eastAsia="仿宋"/>
          <w:b w:val="0"/>
          <w:bCs/>
          <w:sz w:val="32"/>
          <w:szCs w:val="32"/>
          <w:lang w:eastAsia="zh-CN"/>
        </w:rPr>
        <w:t>。</w:t>
      </w:r>
      <w:r>
        <w:rPr>
          <w:rFonts w:hint="eastAsia" w:eastAsia="仿宋" w:cs="Times New Roman"/>
          <w:b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明确交割代理人制度。</w:t>
      </w:r>
      <w:r>
        <w:rPr>
          <w:rFonts w:hint="default" w:ascii="Times New Roman" w:hAnsi="Times New Roman" w:eastAsia="仿宋"/>
          <w:sz w:val="32"/>
          <w:szCs w:val="32"/>
          <w:highlight w:val="none"/>
          <w:lang w:eastAsia="zh-CN"/>
        </w:rPr>
        <w:t>交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收客户</w:t>
      </w:r>
      <w:r>
        <w:rPr>
          <w:rFonts w:hint="default" w:ascii="Times New Roman" w:hAnsi="Times New Roman" w:eastAsia="仿宋"/>
          <w:sz w:val="32"/>
          <w:szCs w:val="32"/>
          <w:highlight w:val="none"/>
          <w:lang w:eastAsia="zh-CN"/>
        </w:rPr>
        <w:t>原则上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委托本公司</w:t>
      </w:r>
      <w:r>
        <w:rPr>
          <w:rFonts w:hint="default" w:ascii="Times New Roman" w:hAnsi="Times New Roman" w:eastAsia="仿宋"/>
          <w:sz w:val="32"/>
          <w:szCs w:val="32"/>
          <w:highlight w:val="none"/>
          <w:lang w:eastAsia="zh-CN"/>
        </w:rPr>
        <w:t>员工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作为交割代理人，必要时也可以委托本公司</w:t>
      </w:r>
      <w:r>
        <w:rPr>
          <w:rFonts w:hint="default" w:ascii="Times New Roman" w:hAnsi="Times New Roman" w:eastAsia="仿宋"/>
          <w:sz w:val="32"/>
          <w:szCs w:val="32"/>
          <w:highlight w:val="none"/>
          <w:lang w:eastAsia="zh-CN"/>
        </w:rPr>
        <w:t>员工</w:t>
      </w:r>
      <w:r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  <w:t>之外的自然人作为第三方交割代理人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2"/>
        </w:numPr>
        <w:spacing w:beforeLines="0" w:afterLines="0"/>
        <w:ind w:firstLine="640" w:firstLineChars="200"/>
        <w:jc w:val="left"/>
        <w:outlineLvl w:val="0"/>
        <w:rPr>
          <w:rFonts w:hint="default" w:eastAsia="仿宋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现场交收。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本章共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条，包括交收延误、交收现场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人员管理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、交收货物标记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  <w:t>分装苹果塑料袋规格、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抽样原则、买方自检方式、复检备用样品破坏补救措施等。</w:t>
      </w:r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明确延误后交割安排和进入交割现场的人员要求。</w:t>
      </w:r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明确分装苹果塑料袋的规格。</w:t>
      </w:r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明确抽样原则。按照随机选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筐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、单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筐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抽样覆盖上中下层、买方指定位置抽袋三个原则进行抽样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。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eastAsia" w:eastAsia="仿宋" w:cs="Times New Roman"/>
          <w:b/>
          <w:bCs w:val="0"/>
          <w:sz w:val="32"/>
          <w:szCs w:val="32"/>
          <w:lang w:val="en-US" w:eastAsia="zh-CN"/>
        </w:rPr>
        <w:t>是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明确交割容器押金交纳、退还的要求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。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eastAsia="仿宋" w:cs="Times New Roman"/>
          <w:b/>
          <w:bCs w:val="0"/>
          <w:sz w:val="32"/>
          <w:szCs w:val="32"/>
          <w:lang w:val="en-US" w:eastAsia="zh-CN"/>
        </w:rPr>
        <w:t>是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明确复检样品封条破坏后责任。</w:t>
      </w:r>
    </w:p>
    <w:p>
      <w:pPr>
        <w:widowControl/>
        <w:numPr>
          <w:ilvl w:val="0"/>
          <w:numId w:val="2"/>
        </w:numPr>
        <w:spacing w:beforeLines="0" w:afterLines="0"/>
        <w:ind w:firstLine="640" w:firstLineChars="200"/>
        <w:jc w:val="left"/>
        <w:outlineLvl w:val="0"/>
        <w:rPr>
          <w:rFonts w:hint="default" w:ascii="Times New Roman" w:hAnsi="Times New Roman" w:eastAsia="楷体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复检。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本章共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条，包括复检申请、复检安排、复检现场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、复检结果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出具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、复检费用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支付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等。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明确复检申请时间截止日期为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买方自检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日历日，提出的形式可以为电子邮件等留痕形式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eastAsia="仿宋" w:cs="Times New Roman"/>
          <w:b/>
          <w:bCs w:val="0"/>
          <w:sz w:val="32"/>
          <w:szCs w:val="32"/>
          <w:lang w:val="en-US" w:eastAsia="zh-CN"/>
        </w:rPr>
        <w:t>二是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明确规定现场样品状态确认流程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  <w:r>
        <w:rPr>
          <w:rFonts w:hint="eastAsia" w:eastAsia="仿宋" w:cs="Times New Roman"/>
          <w:b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明确复检报告出具、费用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交纳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流程。</w:t>
      </w:r>
    </w:p>
    <w:p>
      <w:pPr>
        <w:widowControl/>
        <w:numPr>
          <w:ilvl w:val="0"/>
          <w:numId w:val="2"/>
        </w:numPr>
        <w:spacing w:before="0" w:beforeLines="0" w:after="0" w:afterLines="0"/>
        <w:ind w:firstLine="640" w:firstLineChars="200"/>
        <w:jc w:val="left"/>
        <w:outlineLvl w:val="0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争议处理</w:t>
      </w:r>
    </w:p>
    <w:p>
      <w:pPr>
        <w:widowControl/>
        <w:numPr>
          <w:ilvl w:val="0"/>
          <w:numId w:val="0"/>
        </w:numPr>
        <w:spacing w:before="0" w:beforeLines="0" w:after="0" w:afterLines="0"/>
        <w:ind w:firstLine="0" w:firstLineChars="0"/>
        <w:jc w:val="left"/>
        <w:outlineLvl w:val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本章共三条，包括争议处理方、争议处理的流程、争议处理要求等。制定主要考虑，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明确争议提出的方式。可以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交割服务机构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提出，也可以直接通过会员向交易所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提出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明确交割服务机构了解争议的要求。交割服务机构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应当全程录音录像，明确争议双方的身份、请求调解</w:t>
      </w:r>
      <w:r>
        <w:rPr>
          <w:rFonts w:hint="eastAsia" w:eastAsia="仿宋"/>
          <w:sz w:val="32"/>
          <w:szCs w:val="32"/>
          <w:lang w:val="en-US" w:eastAsia="zh-CN"/>
        </w:rPr>
        <w:t>的事项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、理由及要求</w:t>
      </w:r>
      <w:r>
        <w:rPr>
          <w:rFonts w:hint="eastAsia" w:eastAsia="仿宋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2"/>
        </w:numPr>
        <w:spacing w:before="0" w:beforeLines="0" w:after="0" w:afterLines="0"/>
        <w:ind w:firstLine="640" w:firstLineChars="200"/>
        <w:jc w:val="left"/>
        <w:outlineLvl w:val="0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监督管理</w:t>
      </w:r>
    </w:p>
    <w:p>
      <w:pPr>
        <w:numPr>
          <w:ilvl w:val="0"/>
          <w:numId w:val="0"/>
        </w:numPr>
        <w:ind w:left="0" w:firstLine="640" w:firstLineChars="200"/>
        <w:rPr>
          <w:rFonts w:hint="default"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本章共三条，包括资料保存、违规处理、违规取证及相关引致条款。制定考虑，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明确交割服务机构、复检机构资料保存的内容及年限。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明确对相关主体自律管理措施</w:t>
      </w:r>
      <w:r>
        <w:rPr>
          <w:rFonts w:hint="eastAsia" w:eastAsia="仿宋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2"/>
        </w:numPr>
        <w:spacing w:before="0" w:beforeLines="0" w:after="0" w:afterLines="0"/>
        <w:ind w:firstLine="640" w:firstLineChars="200"/>
        <w:jc w:val="left"/>
        <w:outlineLvl w:val="0"/>
        <w:rPr>
          <w:rFonts w:hint="default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附则</w:t>
      </w:r>
    </w:p>
    <w:p>
      <w:pPr>
        <w:widowControl/>
        <w:numPr>
          <w:ilvl w:val="0"/>
          <w:numId w:val="0"/>
        </w:numPr>
        <w:spacing w:before="0" w:beforeLines="0" w:after="0" w:afterLines="0"/>
        <w:ind w:firstLine="0" w:firstLineChars="0"/>
        <w:jc w:val="left"/>
        <w:outlineLvl w:val="0"/>
        <w:rPr>
          <w:rFonts w:hint="default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本章共三条，包括未尽事项的规范、解释权、实施日期。</w:t>
      </w:r>
    </w:p>
    <w:p>
      <w:pPr>
        <w:widowControl/>
        <w:numPr>
          <w:ilvl w:val="0"/>
          <w:numId w:val="0"/>
        </w:numPr>
        <w:spacing w:before="0" w:beforeLines="0" w:after="0" w:afterLines="0"/>
        <w:ind w:firstLine="640" w:firstLineChars="200"/>
        <w:jc w:val="left"/>
        <w:outlineLvl w:val="0"/>
        <w:rPr>
          <w:rFonts w:ascii="仿宋" w:hAnsi="仿宋" w:eastAsia="仿宋"/>
          <w:sz w:val="32"/>
        </w:rPr>
      </w:pPr>
      <w:r>
        <w:rPr>
          <w:rFonts w:hint="eastAsia" w:eastAsia="仿宋" w:cs="Times New Roman"/>
          <w:b w:val="0"/>
          <w:sz w:val="32"/>
          <w:szCs w:val="32"/>
          <w:lang w:val="en-US" w:eastAsia="zh-CN"/>
        </w:rPr>
        <w:t>特此说明。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rPr>
        <w:sz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7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56D86"/>
    <w:multiLevelType w:val="singleLevel"/>
    <w:tmpl w:val="AFD56D86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b w:val="0"/>
        <w:bCs w:val="0"/>
        <w:sz w:val="32"/>
        <w:szCs w:val="32"/>
      </w:rPr>
    </w:lvl>
  </w:abstractNum>
  <w:abstractNum w:abstractNumId="1">
    <w:nsid w:val="42953FFA"/>
    <w:multiLevelType w:val="singleLevel"/>
    <w:tmpl w:val="42953F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4C15C9F"/>
    <w:rsid w:val="17DF0254"/>
    <w:rsid w:val="1D901FBA"/>
    <w:rsid w:val="3BE7C3FB"/>
    <w:rsid w:val="3DD6F822"/>
    <w:rsid w:val="3F7DD073"/>
    <w:rsid w:val="53AA5F4C"/>
    <w:rsid w:val="55E7F673"/>
    <w:rsid w:val="59DF95B5"/>
    <w:rsid w:val="5BBCBFD3"/>
    <w:rsid w:val="5BDF110B"/>
    <w:rsid w:val="5F5F48D9"/>
    <w:rsid w:val="5FB97903"/>
    <w:rsid w:val="65E38089"/>
    <w:rsid w:val="66E58743"/>
    <w:rsid w:val="672FC349"/>
    <w:rsid w:val="6B7EEEA1"/>
    <w:rsid w:val="6D16581F"/>
    <w:rsid w:val="73DF6FC0"/>
    <w:rsid w:val="75ED31BE"/>
    <w:rsid w:val="75FFA5CF"/>
    <w:rsid w:val="77EE060C"/>
    <w:rsid w:val="78031D0F"/>
    <w:rsid w:val="7AFF0EBE"/>
    <w:rsid w:val="7B79B559"/>
    <w:rsid w:val="7BBF7F30"/>
    <w:rsid w:val="7D2FBB99"/>
    <w:rsid w:val="7ED70FDC"/>
    <w:rsid w:val="7EDB4277"/>
    <w:rsid w:val="7F7BD02F"/>
    <w:rsid w:val="7FDF7761"/>
    <w:rsid w:val="7FEFC935"/>
    <w:rsid w:val="87A71EB2"/>
    <w:rsid w:val="9BAD9ECD"/>
    <w:rsid w:val="9FF9D874"/>
    <w:rsid w:val="9FFB6AA3"/>
    <w:rsid w:val="ADF794E8"/>
    <w:rsid w:val="AEBD54FD"/>
    <w:rsid w:val="BD472230"/>
    <w:rsid w:val="BD7C3A13"/>
    <w:rsid w:val="BDF5C1BC"/>
    <w:rsid w:val="BDFF13C4"/>
    <w:rsid w:val="BFA72E1D"/>
    <w:rsid w:val="BFBF1041"/>
    <w:rsid w:val="BFEB9AD2"/>
    <w:rsid w:val="CDEC55A4"/>
    <w:rsid w:val="DBDEFF3B"/>
    <w:rsid w:val="DFDF01E1"/>
    <w:rsid w:val="DFE7CD4C"/>
    <w:rsid w:val="DFEE82C4"/>
    <w:rsid w:val="E7E13FDB"/>
    <w:rsid w:val="E7E79615"/>
    <w:rsid w:val="E7F32149"/>
    <w:rsid w:val="EAE1E70D"/>
    <w:rsid w:val="EEB46A5E"/>
    <w:rsid w:val="EEF769CB"/>
    <w:rsid w:val="EFB3E265"/>
    <w:rsid w:val="EFCC00F2"/>
    <w:rsid w:val="EFFDC3B0"/>
    <w:rsid w:val="F26F04D8"/>
    <w:rsid w:val="F36F8080"/>
    <w:rsid w:val="F5BD9E70"/>
    <w:rsid w:val="F777D7E1"/>
    <w:rsid w:val="F78FC6F7"/>
    <w:rsid w:val="F7FF47C6"/>
    <w:rsid w:val="FBDEBC82"/>
    <w:rsid w:val="FBDF3DF0"/>
    <w:rsid w:val="FD5F4C04"/>
    <w:rsid w:val="FDDD3CF9"/>
    <w:rsid w:val="FDFBD521"/>
    <w:rsid w:val="FDFFED50"/>
    <w:rsid w:val="FE9F23A2"/>
    <w:rsid w:val="FEFFF126"/>
    <w:rsid w:val="FFDF71FD"/>
    <w:rsid w:val="FFF71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16</Pages>
  <Words>5935</Words>
  <Characters>6042</Characters>
  <Lines>2</Lines>
  <Paragraphs>1</Paragraphs>
  <TotalTime>4</TotalTime>
  <ScaleCrop>false</ScaleCrop>
  <LinksUpToDate>false</LinksUpToDate>
  <CharactersWithSpaces>6167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2019-09-25T14:10:00Z</dcterms:created>
  <dc:creator>CN=李小鹏/OU=办公室/O=CZCE</dc:creator>
  <cp:lastModifiedBy>张雅杰</cp:lastModifiedBy>
  <cp:lastPrinted>2025-09-02T01:31:00Z</cp:lastPrinted>
  <dcterms:modified xsi:type="dcterms:W3CDTF">2025-08-29T16:39:43Z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9DC90A5EC07B4F53B2E1CD70A2091CFA</vt:lpwstr>
  </property>
  <property fmtid="{D5CDD505-2E9C-101B-9397-08002B2CF9AE}" pid="4" name="DocID">
    <vt:lpwstr>324327799242</vt:lpwstr>
  </property>
</Properties>
</file>