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rPr>
          <w:rFonts w:hint="eastAsia" w:eastAsia="方正小标宋简体" w:cs="Times New Roman"/>
          <w:b w:val="0"/>
          <w:bCs w:val="0"/>
          <w:color w:val="000000"/>
          <w:kern w:val="2"/>
          <w:sz w:val="40"/>
          <w:szCs w:val="4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rPr>
          <w:rFonts w:hint="eastAsia" w:eastAsia="方正小标宋简体" w:cs="Times New Roman"/>
          <w:b w:val="0"/>
          <w:bCs w:val="0"/>
          <w:color w:val="00000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eastAsia="方正小标宋简体" w:cs="Times New Roman"/>
          <w:b w:val="0"/>
          <w:bCs w:val="0"/>
          <w:color w:val="000000"/>
          <w:kern w:val="2"/>
          <w:sz w:val="40"/>
          <w:szCs w:val="40"/>
          <w:highlight w:val="none"/>
          <w:lang w:val="en-US" w:eastAsia="zh-CN" w:bidi="ar-SA"/>
        </w:rPr>
        <w:t>《郑州商品交易所程序化交易管理办法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rPr>
          <w:rFonts w:hint="eastAsia" w:eastAsia="方正小标宋简体" w:cs="Times New Roman"/>
          <w:b w:val="0"/>
          <w:bCs w:val="0"/>
          <w:color w:val="00000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eastAsia="方正小标宋简体" w:cs="Times New Roman"/>
          <w:b w:val="0"/>
          <w:bCs w:val="0"/>
          <w:color w:val="000000"/>
          <w:kern w:val="2"/>
          <w:sz w:val="40"/>
          <w:szCs w:val="40"/>
          <w:highlight w:val="none"/>
          <w:lang w:val="en-US" w:eastAsia="zh-CN" w:bidi="ar-SA"/>
        </w:rPr>
        <w:t>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both"/>
        <w:rPr>
          <w:rFonts w:hint="eastAsia" w:eastAsia="方正小标宋简体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为加强期货市场程序化交易监管，规范程序化交易行为，维护期货交易秩序和市场公平，根据《中华人民共和国期货和衍生品法》《期货市场程序化交易管理规定（试行）》等法律法规、规范性文件及《郑州商品交易所交易规则》等业务规则，郑州商品交易所（以下简称交易所）起草了《郑州商品交易所程序化交易管理办法（征求意见稿）》（以下简称《管理办法》）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一、背景情况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期货市场程序化交易管理规定（试行）》已于2025年6月13日向市场发布，并将于2025年10月9日正式实施。根据《期货市场程序化交易管理规定（试行）》第五条规定，期货交易所按照职责制定程序化交易相关业务规则，对程序化交易活动实行自律管理。为落实《期货市场程序化交易管理规定（试行）》要求，做好业务制度衔接，同时进一步细化和明确相关监管要求，交易所研究起草了《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《管理办法》共七章，分为总则、报告管理、系统接入管理、主机托管和席位管理、交易监测与风险管理、监督管理、附则，共40条，主要内容包括：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（一）总则。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一是明确制定目的。</w:t>
      </w:r>
      <w:r>
        <w:rPr>
          <w:rFonts w:hint="eastAsia" w:ascii="仿宋" w:hAnsi="仿宋" w:eastAsia="仿宋" w:cs="仿宋"/>
          <w:sz w:val="32"/>
          <w:szCs w:val="32"/>
        </w:rPr>
        <w:t>加强期货市场程序化交易监管，规范程序化交易行为，维护期货交易秩序和市场公平。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二是明确适用范围。</w:t>
      </w:r>
      <w:r>
        <w:rPr>
          <w:rFonts w:hint="eastAsia" w:ascii="仿宋" w:hAnsi="仿宋" w:eastAsia="仿宋" w:cs="仿宋"/>
          <w:sz w:val="32"/>
          <w:szCs w:val="32"/>
        </w:rPr>
        <w:t>在交易所进行程序化交易相关活动的，适用《管理办法》。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三是明确定义。</w:t>
      </w:r>
      <w:r>
        <w:rPr>
          <w:rFonts w:hint="eastAsia" w:ascii="仿宋" w:hAnsi="仿宋" w:eastAsia="仿宋" w:cs="仿宋"/>
          <w:sz w:val="32"/>
          <w:szCs w:val="32"/>
        </w:rPr>
        <w:t>《管理办法》明确程序化交易、高频交易定义、特征，以及程序化交易者、高频交易者的定义。其中高频交易具体标准由交易所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另行</w:t>
      </w:r>
      <w:r>
        <w:rPr>
          <w:rFonts w:hint="eastAsia" w:ascii="仿宋" w:hAnsi="仿宋" w:eastAsia="仿宋" w:cs="仿宋"/>
          <w:sz w:val="32"/>
          <w:szCs w:val="32"/>
        </w:rPr>
        <w:t>制定。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四是明确基本原则。</w:t>
      </w:r>
      <w:r>
        <w:rPr>
          <w:rFonts w:hint="eastAsia" w:ascii="仿宋" w:hAnsi="仿宋" w:eastAsia="仿宋" w:cs="仿宋"/>
          <w:sz w:val="32"/>
          <w:szCs w:val="32"/>
        </w:rPr>
        <w:t>从事程序化交易应当遵守相关法律法规、规范性文件和交易所业务规则，不得影响交易所系统安全和正常交易秩序。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（二）报告管理。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一是明确交易所实行程序化交易报告制度</w:t>
      </w:r>
      <w:r>
        <w:rPr>
          <w:rFonts w:hint="eastAsia" w:ascii="仿宋" w:hAnsi="仿宋" w:eastAsia="仿宋" w:cs="仿宋"/>
          <w:sz w:val="32"/>
          <w:szCs w:val="32"/>
        </w:rPr>
        <w:t>。交易者从事程序化交易前，应当按照交易所规定的方式进行报告。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二是明确报告路径。</w:t>
      </w:r>
      <w:r>
        <w:rPr>
          <w:rFonts w:hint="eastAsia" w:ascii="仿宋" w:hAnsi="仿宋" w:eastAsia="仿宋" w:cs="仿宋"/>
          <w:sz w:val="32"/>
          <w:szCs w:val="32"/>
        </w:rPr>
        <w:t>客户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应当向其委托的</w:t>
      </w:r>
      <w:r>
        <w:rPr>
          <w:rFonts w:hint="eastAsia" w:ascii="仿宋" w:hAnsi="仿宋" w:eastAsia="仿宋" w:cs="仿宋"/>
          <w:sz w:val="32"/>
          <w:szCs w:val="32"/>
        </w:rPr>
        <w:t>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核查无误的，期货公司会员应当及时向交易所报告，境外经纪机构应当及时通过期货公司会员向交易所报告。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期货公司会员、境外经纪机构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在收到交易所反馈后向客户确认；客户收到确认后，方可从事程序化交易。非期货公司会员应当向交易所报告，在收到交易所确认后方可从事程序化交易。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三是明确报告内容。</w:t>
      </w:r>
      <w:r>
        <w:rPr>
          <w:rFonts w:hint="eastAsia" w:ascii="仿宋" w:hAnsi="仿宋" w:eastAsia="仿宋" w:cs="仿宋"/>
          <w:sz w:val="32"/>
          <w:szCs w:val="32"/>
        </w:rPr>
        <w:t>程序化交易者应当真实、准确、完整报告账户基本信息、交易和软件信息以及交易所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的其他信息。高频交易者还应当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额外</w:t>
      </w:r>
      <w:r>
        <w:rPr>
          <w:rFonts w:hint="eastAsia" w:ascii="仿宋" w:hAnsi="仿宋" w:eastAsia="仿宋" w:cs="仿宋"/>
          <w:sz w:val="32"/>
          <w:szCs w:val="32"/>
        </w:rPr>
        <w:t>报告交易策略类型及主要内容、最高报撤单频率、最高报撤单笔数等信息。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四是明确核查要求。</w:t>
      </w:r>
      <w:r>
        <w:rPr>
          <w:rFonts w:hint="eastAsia" w:ascii="仿宋" w:hAnsi="仿宋" w:eastAsia="仿宋" w:cs="仿宋"/>
          <w:sz w:val="32"/>
          <w:szCs w:val="32"/>
        </w:rPr>
        <w:t>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机构应当每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半年</w:t>
      </w:r>
      <w:r>
        <w:rPr>
          <w:rFonts w:hint="eastAsia" w:ascii="仿宋" w:hAnsi="仿宋" w:eastAsia="仿宋" w:cs="仿宋"/>
          <w:sz w:val="32"/>
          <w:szCs w:val="32"/>
        </w:rPr>
        <w:t>或者按交易所要求核查程序化交易客户报告的信息。交易所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每半年</w:t>
      </w:r>
      <w:r>
        <w:rPr>
          <w:rFonts w:hint="eastAsia" w:ascii="仿宋" w:hAnsi="仿宋" w:eastAsia="仿宋" w:cs="仿宋"/>
          <w:sz w:val="32"/>
          <w:szCs w:val="32"/>
        </w:rPr>
        <w:t>或者根据需要对程序化交易者报告的信息进行核查。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（三）系统接入管理。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一是明确系统外接要求。</w:t>
      </w:r>
      <w:r>
        <w:rPr>
          <w:rFonts w:hint="eastAsia" w:ascii="仿宋" w:hAnsi="仿宋" w:eastAsia="仿宋" w:cs="仿宋"/>
          <w:sz w:val="32"/>
          <w:szCs w:val="32"/>
        </w:rPr>
        <w:t>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机构应当将系统外部接入管理纳入合规风控体系，建立健全接入测试、交易监测、异常处理等全流程管理机制。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二是明确系统功能要求。</w:t>
      </w:r>
      <w:r>
        <w:rPr>
          <w:rFonts w:hint="eastAsia" w:ascii="仿宋" w:hAnsi="仿宋" w:eastAsia="仿宋" w:cs="仿宋"/>
          <w:sz w:val="32"/>
          <w:szCs w:val="32"/>
        </w:rPr>
        <w:t>交易者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用于程序化交易</w:t>
      </w:r>
      <w:r>
        <w:rPr>
          <w:rFonts w:hint="eastAsia" w:ascii="仿宋" w:hAnsi="仿宋" w:eastAsia="仿宋" w:cs="仿宋"/>
          <w:sz w:val="32"/>
          <w:szCs w:val="32"/>
        </w:rPr>
        <w:t>的技术系统应当具备有效的异常监测、阈值管理等功能，期货公司使用的交易信息系统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以及境外经纪机构用于程序化交易的技术系统</w:t>
      </w:r>
      <w:r>
        <w:rPr>
          <w:rFonts w:hint="eastAsia" w:ascii="仿宋" w:hAnsi="仿宋" w:eastAsia="仿宋" w:cs="仿宋"/>
          <w:sz w:val="32"/>
          <w:szCs w:val="32"/>
        </w:rPr>
        <w:t>应当具备有效的验资验仓、权限控制、异常监测等功能。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三是明确系统测试要求。</w:t>
      </w:r>
      <w:r>
        <w:rPr>
          <w:rFonts w:hint="eastAsia" w:ascii="仿宋" w:hAnsi="仿宋" w:eastAsia="仿宋" w:cs="仿宋"/>
          <w:sz w:val="32"/>
          <w:szCs w:val="32"/>
        </w:rPr>
        <w:t>期货公司会员应当对客户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用于程序化交易</w:t>
      </w:r>
      <w:r>
        <w:rPr>
          <w:rFonts w:hint="eastAsia" w:ascii="仿宋" w:hAnsi="仿宋" w:eastAsia="仿宋" w:cs="仿宋"/>
          <w:sz w:val="32"/>
          <w:szCs w:val="32"/>
        </w:rPr>
        <w:t>的技术系统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自身的交易信息系统进行测试，并按要求保存测试记录。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四是明确禁止性行为。</w:t>
      </w:r>
      <w:r>
        <w:rPr>
          <w:rFonts w:hint="eastAsia" w:ascii="仿宋" w:hAnsi="仿宋" w:eastAsia="仿宋" w:cs="仿宋"/>
          <w:sz w:val="32"/>
          <w:szCs w:val="32"/>
        </w:rPr>
        <w:t>期货公司会员不得将交易信息系统的管理权限开放给客户等，程序化交易者不得利用系统对接非法经营期货业务等。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（四）主机托管和席位管理。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一是明确交易所制度建设和资源分配原则。</w:t>
      </w:r>
      <w:r>
        <w:rPr>
          <w:rFonts w:hint="eastAsia" w:ascii="仿宋" w:hAnsi="仿宋" w:eastAsia="仿宋" w:cs="仿宋"/>
          <w:sz w:val="32"/>
          <w:szCs w:val="32"/>
        </w:rPr>
        <w:t>交易所建立主机托管信息报告制度和交易席位管理制度，按照安全、公平、合理原则提供主机托管服务和分配交易席位，并定期对主机托管资源和交易席位使用情况进行核查。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二是建立主机托管资源报告制度。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期货公司</w:t>
      </w:r>
      <w:r>
        <w:rPr>
          <w:rFonts w:hint="eastAsia" w:ascii="仿宋" w:hAnsi="仿宋" w:eastAsia="仿宋" w:cs="仿宋"/>
          <w:sz w:val="32"/>
          <w:szCs w:val="32"/>
        </w:rPr>
        <w:t>会员应当在每次申请新增主机托管资源时进行报告。报告信息发生重大变更的，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期货公司</w:t>
      </w:r>
      <w:r>
        <w:rPr>
          <w:rFonts w:hint="eastAsia" w:ascii="仿宋" w:hAnsi="仿宋" w:eastAsia="仿宋" w:cs="仿宋"/>
          <w:sz w:val="32"/>
          <w:szCs w:val="32"/>
        </w:rPr>
        <w:t>会员应当在相关重大变更发生后进行变更报告。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三是规范期货公司会员使用主机托管资源行为。</w:t>
      </w:r>
      <w:r>
        <w:rPr>
          <w:rFonts w:hint="eastAsia" w:ascii="仿宋" w:hAnsi="仿宋" w:eastAsia="仿宋" w:cs="仿宋"/>
          <w:sz w:val="32"/>
          <w:szCs w:val="32"/>
        </w:rPr>
        <w:t>期货公司会员应当建立主机托管资源管理制度，合理使用交易所提供的主机托管资源。对存在频繁发生异常交易行为、技术系统出现重大技术故障等情形的程序化交易客户，期货公司会员不得向其提供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交易所</w:t>
      </w:r>
      <w:r>
        <w:rPr>
          <w:rFonts w:hint="eastAsia" w:ascii="仿宋" w:hAnsi="仿宋" w:eastAsia="仿宋" w:cs="仿宋"/>
          <w:sz w:val="32"/>
          <w:szCs w:val="32"/>
        </w:rPr>
        <w:t>主机托管服务。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四是规范期货公司会员席位管理。</w:t>
      </w:r>
      <w:r>
        <w:rPr>
          <w:rFonts w:hint="eastAsia" w:ascii="仿宋" w:hAnsi="仿宋" w:eastAsia="仿宋" w:cs="仿宋"/>
          <w:sz w:val="32"/>
          <w:szCs w:val="32"/>
        </w:rPr>
        <w:t>期货公司会员应当建立交易席位管理制度，公平分配交易席位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，并向交易所报告程序化交易客户使用交易席位的情况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（五）交易监测与风险管理。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一是明确程序化交易者合规风控要求。</w:t>
      </w:r>
      <w:r>
        <w:rPr>
          <w:rFonts w:hint="eastAsia" w:ascii="仿宋" w:hAnsi="仿宋" w:eastAsia="仿宋" w:cs="仿宋"/>
          <w:sz w:val="32"/>
          <w:szCs w:val="32"/>
        </w:rPr>
        <w:t>程序化交易者应当提高合规意识，加强风险防控。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二是明确期货公司会员、境外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机构合规风控要求。</w:t>
      </w:r>
      <w:r>
        <w:rPr>
          <w:rFonts w:hint="eastAsia" w:ascii="仿宋" w:hAnsi="仿宋" w:eastAsia="仿宋" w:cs="仿宋"/>
          <w:sz w:val="32"/>
          <w:szCs w:val="32"/>
        </w:rPr>
        <w:t>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机构应当建立并有效执行程序化交易相关制度，加强对客户程序化交易行为的监控。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三是对程序化交易行为实行实时监控。</w:t>
      </w:r>
      <w:r>
        <w:rPr>
          <w:rFonts w:hint="eastAsia" w:ascii="仿宋" w:hAnsi="仿宋" w:eastAsia="仿宋" w:cs="仿宋"/>
          <w:sz w:val="32"/>
          <w:szCs w:val="32"/>
        </w:rPr>
        <w:t>交易所对报撤单频率高、报撤单成交比高等程序化异常交易行为予以重点监控。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四是突出对高频交易的重点监管。</w:t>
      </w:r>
      <w:r>
        <w:rPr>
          <w:rFonts w:hint="eastAsia" w:ascii="仿宋" w:hAnsi="仿宋" w:eastAsia="仿宋" w:cs="仿宋"/>
          <w:sz w:val="32"/>
          <w:szCs w:val="32"/>
        </w:rPr>
        <w:t>交易所实行报撤单收费、交易限额等制度，并可以对高频交易手续费实施差异化管理。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五是明确突发事件处置。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对于</w:t>
      </w:r>
      <w:r>
        <w:rPr>
          <w:rFonts w:hint="eastAsia" w:ascii="仿宋" w:hAnsi="仿宋" w:eastAsia="仿宋" w:cs="仿宋"/>
          <w:sz w:val="32"/>
          <w:szCs w:val="32"/>
        </w:rPr>
        <w:t>突发事件，程序化交易者、期货公司会员、境外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机构应当立即采取相关措施。交易所可以采取暂停交易等措施。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（六）监督管理。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一是明确交易所检查权。</w:t>
      </w:r>
      <w:r>
        <w:rPr>
          <w:rFonts w:hint="eastAsia" w:ascii="仿宋" w:hAnsi="仿宋" w:eastAsia="仿宋" w:cs="仿宋"/>
          <w:sz w:val="32"/>
          <w:szCs w:val="32"/>
        </w:rPr>
        <w:t>交易所可以根据自律管理需要，对程序化交易者、期货公司会员、境外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机构遵守《管理办法》的情况进行现场检查或者非现场检查。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二是明确自律管理措施。</w:t>
      </w:r>
      <w:r>
        <w:rPr>
          <w:rFonts w:hint="eastAsia" w:ascii="仿宋" w:hAnsi="仿宋" w:eastAsia="仿宋" w:cs="仿宋"/>
          <w:sz w:val="32"/>
          <w:szCs w:val="32"/>
        </w:rPr>
        <w:t>交易所可以对违反《管理办法》相关规定的程序化交易者、期货公司会员、境外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经纪</w:t>
      </w:r>
      <w:r>
        <w:rPr>
          <w:rFonts w:hint="eastAsia" w:ascii="仿宋" w:hAnsi="仿宋" w:eastAsia="仿宋" w:cs="仿宋"/>
          <w:sz w:val="32"/>
          <w:szCs w:val="32"/>
        </w:rPr>
        <w:t>机构采取自律管理措施。</w:t>
      </w:r>
    </w:p>
    <w:p>
      <w:pPr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（七）附则。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一是明确违规行为处理。</w:t>
      </w:r>
      <w:r>
        <w:rPr>
          <w:rFonts w:hint="eastAsia" w:ascii="仿宋" w:hAnsi="仿宋" w:eastAsia="仿宋" w:cs="仿宋"/>
          <w:sz w:val="32"/>
          <w:szCs w:val="32"/>
        </w:rPr>
        <w:t>违反《管理办法》相关规定，情节严重的，交易所可以按照《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郑州商品</w:t>
      </w:r>
      <w:r>
        <w:rPr>
          <w:rFonts w:hint="eastAsia" w:ascii="仿宋" w:hAnsi="仿宋" w:eastAsia="仿宋" w:cs="仿宋"/>
          <w:sz w:val="32"/>
          <w:szCs w:val="32"/>
        </w:rPr>
        <w:t>交易所违规处理办法》处理。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二是明确做市商适用情况。</w:t>
      </w:r>
      <w:r>
        <w:rPr>
          <w:rFonts w:hint="eastAsia" w:ascii="仿宋" w:hAnsi="仿宋" w:eastAsia="仿宋" w:cs="仿宋"/>
          <w:sz w:val="32"/>
          <w:szCs w:val="32"/>
        </w:rPr>
        <w:t>做市商通过程序化交易方式从事做市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的，不适用《管理办法》中关于高频交易相关规定。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566" w:lineRule="exact"/>
        <w:ind w:left="210" w:leftChars="1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CF58695"/>
    <w:rsid w:val="1FAF3FAB"/>
    <w:rsid w:val="20EA5A31"/>
    <w:rsid w:val="2FFF6778"/>
    <w:rsid w:val="3586DCBD"/>
    <w:rsid w:val="3BFF5242"/>
    <w:rsid w:val="3FED235E"/>
    <w:rsid w:val="3FF72BB6"/>
    <w:rsid w:val="4B276E09"/>
    <w:rsid w:val="4DBF9D77"/>
    <w:rsid w:val="5BCFFDEC"/>
    <w:rsid w:val="5FDE1395"/>
    <w:rsid w:val="61FFA08B"/>
    <w:rsid w:val="665D542F"/>
    <w:rsid w:val="6EFBF201"/>
    <w:rsid w:val="6F7FB353"/>
    <w:rsid w:val="6FFFD905"/>
    <w:rsid w:val="7B5D0D6E"/>
    <w:rsid w:val="7E7C4FA8"/>
    <w:rsid w:val="7FCFD9B0"/>
    <w:rsid w:val="7FFF9930"/>
    <w:rsid w:val="91AF24C7"/>
    <w:rsid w:val="B54F4D54"/>
    <w:rsid w:val="BDFFE674"/>
    <w:rsid w:val="BF5F8CC2"/>
    <w:rsid w:val="DEFF6B2C"/>
    <w:rsid w:val="DF7E9B11"/>
    <w:rsid w:val="DFFFDB23"/>
    <w:rsid w:val="E9F30F5E"/>
    <w:rsid w:val="EF97841C"/>
    <w:rsid w:val="EFB595AB"/>
    <w:rsid w:val="EFEF851F"/>
    <w:rsid w:val="F3D94D23"/>
    <w:rsid w:val="F7BD6630"/>
    <w:rsid w:val="FAFD6AC8"/>
    <w:rsid w:val="FE1EB27C"/>
    <w:rsid w:val="FE7DBD3A"/>
    <w:rsid w:val="FFDD5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8536</Words>
  <Characters>8582</Characters>
  <Lines>3</Lines>
  <Paragraphs>1</Paragraphs>
  <TotalTime>0</TotalTime>
  <ScaleCrop>false</ScaleCrop>
  <LinksUpToDate>false</LinksUpToDate>
  <CharactersWithSpaces>8637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2019-09-17T00:45:00Z</dcterms:created>
  <dc:creator>CN=李小鹏/OU=办公室/O=CZCE</dc:creator>
  <cp:lastModifiedBy>张雅杰</cp:lastModifiedBy>
  <dcterms:modified xsi:type="dcterms:W3CDTF">2025-06-27T16:02:27Z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1C8AD4F7963141B595A8FF0667D19E5F</vt:lpwstr>
  </property>
</Properties>
</file>