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beforeLines="0" w:beforeAutospacing="0" w:afterLines="0" w:afterAutospacing="0" w:line="240" w:lineRule="auto"/>
        <w:ind w:firstLine="0" w:firstLineChars="0"/>
        <w:jc w:val="both"/>
        <w:outlineLvl w:val="3"/>
        <w:rPr>
          <w:rFonts w:hint="default" w:ascii="Times New Roman" w:hAnsi="Times New Roman" w:eastAsia="黑体" w:cs="Times New Roman"/>
          <w:b w:val="0"/>
          <w:bCs w:val="0"/>
          <w:color w:val="000000"/>
          <w:kern w:val="2"/>
          <w:sz w:val="32"/>
          <w:szCs w:val="32"/>
          <w:highlight w:val="none"/>
          <w:lang w:val="en-US" w:eastAsia="zh-CN" w:bidi="ar-SA"/>
        </w:rPr>
      </w:pPr>
      <w:r>
        <w:rPr>
          <w:rFonts w:hint="default" w:ascii="Times New Roman" w:hAnsi="Times New Roman" w:eastAsia="黑体" w:cs="Times New Roman"/>
          <w:b w:val="0"/>
          <w:bCs w:val="0"/>
          <w:color w:val="000000"/>
          <w:kern w:val="2"/>
          <w:sz w:val="32"/>
          <w:szCs w:val="32"/>
          <w:highlight w:val="none"/>
          <w:lang w:val="en-US" w:eastAsia="zh-CN" w:bidi="ar-SA"/>
        </w:rPr>
        <w:t>附件1</w:t>
      </w:r>
    </w:p>
    <w:p>
      <w:pPr>
        <w:keepNext/>
        <w:keepLines/>
        <w:pageBreakBefore w:val="0"/>
        <w:widowControl w:val="0"/>
        <w:kinsoku/>
        <w:wordWrap/>
        <w:overflowPunct/>
        <w:topLinePunct w:val="0"/>
        <w:autoSpaceDE/>
        <w:autoSpaceDN/>
        <w:bidi w:val="0"/>
        <w:adjustRightInd/>
        <w:snapToGrid/>
        <w:spacing w:beforeLines="0" w:beforeAutospacing="0" w:afterLines="0" w:afterAutospacing="0" w:line="240" w:lineRule="auto"/>
        <w:ind w:firstLine="0" w:firstLineChars="0"/>
        <w:jc w:val="center"/>
        <w:outlineLvl w:val="3"/>
        <w:rPr>
          <w:rFonts w:hint="default" w:ascii="Times New Roman" w:hAnsi="Times New Roman" w:eastAsia="方正小标宋简体" w:cs="Times New Roman"/>
          <w:b w:val="0"/>
          <w:bCs w:val="0"/>
          <w:color w:val="000000"/>
          <w:kern w:val="2"/>
          <w:sz w:val="36"/>
          <w:szCs w:val="36"/>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Lines="0" w:beforeAutospacing="0" w:afterLines="0" w:afterAutospacing="0" w:line="240" w:lineRule="auto"/>
        <w:ind w:firstLine="0" w:firstLineChars="0"/>
        <w:jc w:val="center"/>
        <w:outlineLvl w:val="3"/>
        <w:rPr>
          <w:rFonts w:hint="default" w:ascii="Times New Roman" w:hAnsi="Times New Roman" w:eastAsia="方正小标宋简体" w:cs="Times New Roman"/>
          <w:b w:val="0"/>
          <w:bCs w:val="0"/>
          <w:color w:val="000000"/>
          <w:kern w:val="2"/>
          <w:sz w:val="40"/>
          <w:szCs w:val="40"/>
          <w:highlight w:val="none"/>
          <w:lang w:val="en-US" w:eastAsia="zh-CN" w:bidi="ar-SA"/>
        </w:rPr>
      </w:pPr>
      <w:r>
        <w:rPr>
          <w:rFonts w:hint="default" w:ascii="Times New Roman" w:hAnsi="Times New Roman" w:eastAsia="方正小标宋简体" w:cs="Times New Roman"/>
          <w:b w:val="0"/>
          <w:bCs w:val="0"/>
          <w:color w:val="000000"/>
          <w:kern w:val="2"/>
          <w:sz w:val="40"/>
          <w:szCs w:val="40"/>
          <w:highlight w:val="none"/>
          <w:lang w:val="en-US" w:eastAsia="zh-CN" w:bidi="ar-SA"/>
        </w:rPr>
        <w:t>郑州商品交易所程序化交易管理办法</w:t>
      </w:r>
    </w:p>
    <w:p>
      <w:pPr>
        <w:keepNext/>
        <w:keepLines/>
        <w:pageBreakBefore w:val="0"/>
        <w:widowControl w:val="0"/>
        <w:kinsoku/>
        <w:wordWrap/>
        <w:overflowPunct/>
        <w:topLinePunct w:val="0"/>
        <w:autoSpaceDE/>
        <w:autoSpaceDN/>
        <w:bidi w:val="0"/>
        <w:adjustRightInd/>
        <w:snapToGrid/>
        <w:spacing w:beforeLines="0" w:beforeAutospacing="0" w:afterLines="0" w:afterAutospacing="0" w:line="240" w:lineRule="auto"/>
        <w:ind w:firstLine="0" w:firstLineChars="0"/>
        <w:jc w:val="center"/>
        <w:outlineLvl w:val="3"/>
        <w:rPr>
          <w:rFonts w:hint="default" w:ascii="Times New Roman" w:hAnsi="Times New Roman" w:eastAsia="方正小标宋简体" w:cs="Times New Roman"/>
          <w:b w:val="0"/>
          <w:bCs w:val="0"/>
          <w:color w:val="000000"/>
          <w:kern w:val="2"/>
          <w:sz w:val="40"/>
          <w:szCs w:val="40"/>
          <w:highlight w:val="none"/>
          <w:lang w:val="en-US" w:eastAsia="zh-CN" w:bidi="ar-SA"/>
        </w:rPr>
      </w:pPr>
      <w:r>
        <w:rPr>
          <w:rFonts w:hint="eastAsia" w:eastAsia="方正小标宋简体" w:cs="Times New Roman"/>
          <w:b w:val="0"/>
          <w:bCs w:val="0"/>
          <w:color w:val="000000"/>
          <w:kern w:val="2"/>
          <w:sz w:val="40"/>
          <w:szCs w:val="40"/>
          <w:highlight w:val="none"/>
          <w:lang w:val="en-US" w:eastAsia="zh-CN" w:bidi="ar-SA"/>
        </w:rPr>
        <w:t>（征求意见稿）</w:t>
      </w:r>
    </w:p>
    <w:p>
      <w:pPr>
        <w:pageBreakBefore w:val="0"/>
        <w:kinsoku/>
        <w:wordWrap/>
        <w:overflowPunct/>
        <w:topLinePunct w:val="0"/>
        <w:autoSpaceDE/>
        <w:autoSpaceDN/>
        <w:bidi w:val="0"/>
        <w:adjustRightInd/>
        <w:snapToGrid/>
        <w:ind w:left="0" w:leftChars="0" w:firstLine="640" w:firstLineChars="200"/>
        <w:jc w:val="both"/>
        <w:rPr>
          <w:rFonts w:hint="default" w:ascii="Times New Roman" w:hAnsi="Times New Roman" w:eastAsia="仿宋" w:cs="Times New Roman"/>
          <w:color w:val="000000"/>
          <w:sz w:val="32"/>
          <w:szCs w:val="32"/>
          <w:highlight w:val="none"/>
          <w:lang w:val="en-US" w:eastAsia="zh-CN"/>
        </w:rPr>
      </w:pPr>
    </w:p>
    <w:p>
      <w:pPr>
        <w:widowControl w:val="0"/>
        <w:spacing w:line="240" w:lineRule="auto"/>
        <w:ind w:firstLine="0" w:firstLineChars="0"/>
        <w:jc w:val="center"/>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第一章  总则</w:t>
      </w:r>
    </w:p>
    <w:p>
      <w:pPr>
        <w:widowControl w:val="0"/>
        <w:spacing w:line="240" w:lineRule="auto"/>
        <w:ind w:firstLine="642" w:firstLineChars="200"/>
        <w:jc w:val="both"/>
        <w:rPr>
          <w:rFonts w:hint="eastAsia" w:ascii="仿宋" w:hAnsi="仿宋" w:eastAsia="仿宋" w:cs="仿宋"/>
          <w:color w:val="auto"/>
          <w:kern w:val="2"/>
          <w:sz w:val="32"/>
          <w:szCs w:val="32"/>
          <w:highlight w:val="none"/>
          <w:shd w:val="pct10" w:color="auto" w:fill="FFFFFF"/>
          <w:lang w:val="en-US" w:eastAsia="zh-CN" w:bidi="ar-SA"/>
        </w:rPr>
      </w:pPr>
      <w:r>
        <w:rPr>
          <w:rFonts w:hint="eastAsia" w:ascii="仿宋" w:hAnsi="仿宋" w:eastAsia="仿宋" w:cs="仿宋"/>
          <w:b/>
          <w:bCs/>
          <w:color w:val="auto"/>
          <w:kern w:val="2"/>
          <w:sz w:val="32"/>
          <w:szCs w:val="32"/>
          <w:highlight w:val="none"/>
          <w:lang w:val="en-US" w:eastAsia="zh-CN" w:bidi="ar-SA"/>
        </w:rPr>
        <w:t xml:space="preserve">第一条 </w:t>
      </w:r>
      <w:r>
        <w:rPr>
          <w:rFonts w:hint="eastAsia" w:ascii="仿宋" w:hAnsi="仿宋" w:eastAsia="仿宋" w:cs="仿宋"/>
          <w:color w:val="auto"/>
          <w:kern w:val="2"/>
          <w:sz w:val="32"/>
          <w:szCs w:val="32"/>
          <w:highlight w:val="none"/>
          <w:lang w:val="en-US" w:eastAsia="zh-CN" w:bidi="ar-SA"/>
        </w:rPr>
        <w:t>为加强郑州商品交易所（以下简称交易所）程序化交易监管，规范程序化交易行为，维护期货交易秩序和市场公平，根据《中华人民共和国期货和衍生品法》《期货市场程序化交易管理规定（试行）》等法律法规、规范性文件以及《郑州商品交易所交易规则》等业务规则，制定本办法。</w:t>
      </w:r>
    </w:p>
    <w:p>
      <w:pPr>
        <w:widowControl w:val="0"/>
        <w:spacing w:line="240" w:lineRule="auto"/>
        <w:ind w:firstLine="642"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xml:space="preserve">第二条 </w:t>
      </w:r>
      <w:r>
        <w:rPr>
          <w:rFonts w:hint="eastAsia" w:ascii="仿宋" w:hAnsi="仿宋" w:eastAsia="仿宋" w:cs="仿宋"/>
          <w:color w:val="auto"/>
          <w:kern w:val="2"/>
          <w:sz w:val="32"/>
          <w:szCs w:val="32"/>
          <w:highlight w:val="none"/>
          <w:lang w:val="en-US" w:eastAsia="zh-CN" w:bidi="ar-SA"/>
        </w:rPr>
        <w:t>在交易所从事程序化交易相关活动的，适用本办法。</w:t>
      </w:r>
    </w:p>
    <w:p>
      <w:pPr>
        <w:widowControl w:val="0"/>
        <w:spacing w:line="240" w:lineRule="auto"/>
        <w:ind w:firstLine="640"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本办法所称程序化交易，是指通过计算机程序自动生成或者下达交易指令在交易所进行期货交易的行为。</w:t>
      </w:r>
    </w:p>
    <w:p>
      <w:pPr>
        <w:widowControl w:val="0"/>
        <w:numPr>
          <w:ilvl w:val="0"/>
          <w:numId w:val="0"/>
        </w:numPr>
        <w:spacing w:line="240" w:lineRule="auto"/>
        <w:ind w:firstLine="640"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本办法所称高频交易，是指具备以下一项或者多项特征的程序化交易：</w:t>
      </w:r>
    </w:p>
    <w:p>
      <w:pPr>
        <w:widowControl w:val="0"/>
        <w:numPr>
          <w:ilvl w:val="0"/>
          <w:numId w:val="0"/>
        </w:numPr>
        <w:spacing w:line="240" w:lineRule="auto"/>
        <w:ind w:left="0" w:leftChars="0" w:firstLine="640"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（一）短时间内报单、撤单的笔数、频率较高；</w:t>
      </w:r>
    </w:p>
    <w:p>
      <w:pPr>
        <w:widowControl w:val="0"/>
        <w:numPr>
          <w:ilvl w:val="0"/>
          <w:numId w:val="0"/>
        </w:numPr>
        <w:spacing w:line="240" w:lineRule="auto"/>
        <w:ind w:firstLine="640"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（二）日内报单、撤单的笔数较高；</w:t>
      </w:r>
    </w:p>
    <w:p>
      <w:pPr>
        <w:widowControl w:val="0"/>
        <w:numPr>
          <w:ilvl w:val="0"/>
          <w:numId w:val="0"/>
        </w:numPr>
        <w:spacing w:line="240" w:lineRule="auto"/>
        <w:ind w:firstLine="640"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（三）中国证监会认定的其他特征。</w:t>
      </w:r>
    </w:p>
    <w:p>
      <w:pPr>
        <w:widowControl w:val="0"/>
        <w:numPr>
          <w:ilvl w:val="0"/>
          <w:numId w:val="0"/>
        </w:numPr>
        <w:spacing w:line="240" w:lineRule="auto"/>
        <w:ind w:firstLine="640"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高频交易的具体标准由交易所另行制定。</w:t>
      </w:r>
    </w:p>
    <w:p>
      <w:pPr>
        <w:widowControl w:val="0"/>
        <w:numPr>
          <w:ilvl w:val="0"/>
          <w:numId w:val="0"/>
        </w:numPr>
        <w:spacing w:line="240" w:lineRule="auto"/>
        <w:ind w:firstLine="642"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xml:space="preserve">第三条 </w:t>
      </w:r>
      <w:r>
        <w:rPr>
          <w:rFonts w:hint="eastAsia" w:ascii="仿宋" w:hAnsi="仿宋" w:eastAsia="仿宋" w:cs="仿宋"/>
          <w:color w:val="auto"/>
          <w:kern w:val="2"/>
          <w:sz w:val="32"/>
          <w:szCs w:val="32"/>
          <w:highlight w:val="none"/>
          <w:lang w:val="en-US" w:eastAsia="zh-CN" w:bidi="ar-SA"/>
        </w:rPr>
        <w:t>本办法所称程序化交易者，是指进行程序化交易的非期货公司会员、客户。</w:t>
      </w:r>
    </w:p>
    <w:p>
      <w:pPr>
        <w:widowControl w:val="0"/>
        <w:numPr>
          <w:ilvl w:val="0"/>
          <w:numId w:val="0"/>
        </w:numPr>
        <w:spacing w:line="240" w:lineRule="auto"/>
        <w:ind w:firstLine="640"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本办法所称高频交易者，是指进行高频交易的程序化交易者。</w:t>
      </w:r>
    </w:p>
    <w:p>
      <w:pPr>
        <w:widowControl w:val="0"/>
        <w:numPr>
          <w:ilvl w:val="0"/>
          <w:numId w:val="0"/>
        </w:numPr>
        <w:spacing w:line="240" w:lineRule="auto"/>
        <w:ind w:firstLine="642"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xml:space="preserve">第四条 </w:t>
      </w:r>
      <w:r>
        <w:rPr>
          <w:rFonts w:hint="eastAsia" w:ascii="仿宋" w:hAnsi="仿宋" w:eastAsia="仿宋" w:cs="仿宋"/>
          <w:color w:val="auto"/>
          <w:kern w:val="2"/>
          <w:sz w:val="32"/>
          <w:szCs w:val="32"/>
          <w:highlight w:val="none"/>
          <w:lang w:val="en-US" w:eastAsia="zh-CN" w:bidi="ar-SA"/>
        </w:rPr>
        <w:t>从事程序化交易应当遵守相关法律法规、规范性文件和交易所业务规则，遵循公平原则，不得影响交易所系统安全和正常交易秩序。</w:t>
      </w:r>
    </w:p>
    <w:p>
      <w:pPr>
        <w:widowControl w:val="0"/>
        <w:numPr>
          <w:ilvl w:val="0"/>
          <w:numId w:val="0"/>
        </w:numPr>
        <w:spacing w:line="240" w:lineRule="auto"/>
        <w:ind w:firstLine="642"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xml:space="preserve">第五条 </w:t>
      </w:r>
      <w:r>
        <w:rPr>
          <w:rFonts w:hint="eastAsia" w:ascii="仿宋" w:hAnsi="仿宋" w:eastAsia="仿宋" w:cs="仿宋"/>
          <w:color w:val="auto"/>
          <w:kern w:val="2"/>
          <w:sz w:val="32"/>
          <w:szCs w:val="32"/>
          <w:highlight w:val="none"/>
          <w:lang w:val="en-US" w:eastAsia="zh-CN" w:bidi="ar-SA"/>
        </w:rPr>
        <w:t>交易所对程序化交易实行自律管理，加强程序化交易监测监控，规范程序化交易相关行为，对违规行为采取纪律处分或者其他自律管理措施，保障交易所系统安全和正常交易秩序。</w:t>
      </w:r>
    </w:p>
    <w:p>
      <w:pPr>
        <w:widowControl w:val="0"/>
        <w:spacing w:line="240" w:lineRule="auto"/>
        <w:ind w:firstLine="640" w:firstLineChars="200"/>
        <w:jc w:val="both"/>
        <w:rPr>
          <w:rFonts w:hint="eastAsia" w:ascii="仿宋" w:hAnsi="仿宋" w:eastAsia="仿宋" w:cs="仿宋"/>
          <w:color w:val="auto"/>
          <w:kern w:val="2"/>
          <w:sz w:val="32"/>
          <w:szCs w:val="32"/>
          <w:highlight w:val="none"/>
          <w:lang w:val="en-US" w:eastAsia="zh-CN" w:bidi="ar-SA"/>
        </w:rPr>
      </w:pPr>
    </w:p>
    <w:p>
      <w:pPr>
        <w:widowControl w:val="0"/>
        <w:spacing w:line="240" w:lineRule="auto"/>
        <w:ind w:firstLine="0" w:firstLineChars="0"/>
        <w:jc w:val="center"/>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第二章  报告管理</w:t>
      </w:r>
    </w:p>
    <w:p>
      <w:pPr>
        <w:numPr>
          <w:ilvl w:val="0"/>
          <w:numId w:val="0"/>
        </w:numPr>
        <w:spacing w:line="240" w:lineRule="auto"/>
        <w:ind w:firstLine="642" w:firstLineChars="20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b/>
          <w:bCs/>
          <w:color w:val="auto"/>
          <w:kern w:val="0"/>
          <w:sz w:val="32"/>
          <w:szCs w:val="32"/>
          <w:highlight w:val="none"/>
          <w:lang w:val="en-US" w:eastAsia="zh-CN"/>
        </w:rPr>
        <w:t xml:space="preserve">第六条 </w:t>
      </w:r>
      <w:r>
        <w:rPr>
          <w:rFonts w:hint="eastAsia" w:ascii="仿宋" w:hAnsi="仿宋" w:eastAsia="仿宋" w:cs="仿宋"/>
          <w:color w:val="auto"/>
          <w:kern w:val="2"/>
          <w:sz w:val="32"/>
          <w:szCs w:val="32"/>
          <w:highlight w:val="none"/>
          <w:lang w:val="en-US" w:eastAsia="zh-CN"/>
        </w:rPr>
        <w:t>交易所实行程序化交易报告制度，具体实施方式由交易所另行公布。</w:t>
      </w:r>
    </w:p>
    <w:p>
      <w:pPr>
        <w:numPr>
          <w:ilvl w:val="0"/>
          <w:numId w:val="0"/>
        </w:numPr>
        <w:spacing w:line="240" w:lineRule="auto"/>
        <w:ind w:firstLine="642" w:firstLineChars="200"/>
        <w:jc w:val="both"/>
        <w:rPr>
          <w:rFonts w:hint="eastAsia"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lang w:eastAsia="zh-CN"/>
        </w:rPr>
        <w:t>第七条</w:t>
      </w:r>
      <w:r>
        <w:rPr>
          <w:rFonts w:hint="eastAsia" w:ascii="仿宋" w:hAnsi="仿宋" w:eastAsia="仿宋" w:cs="仿宋"/>
          <w:b/>
          <w:bCs/>
          <w:color w:val="auto"/>
          <w:kern w:val="0"/>
          <w:sz w:val="32"/>
          <w:szCs w:val="32"/>
          <w:highlight w:val="none"/>
          <w:lang w:val="en-US" w:eastAsia="zh-CN"/>
        </w:rPr>
        <w:t xml:space="preserve"> </w:t>
      </w:r>
      <w:r>
        <w:rPr>
          <w:rFonts w:hint="eastAsia" w:ascii="仿宋" w:hAnsi="仿宋" w:eastAsia="仿宋" w:cs="仿宋"/>
          <w:color w:val="auto"/>
          <w:kern w:val="0"/>
          <w:sz w:val="32"/>
          <w:szCs w:val="32"/>
          <w:highlight w:val="none"/>
        </w:rPr>
        <w:t>期货公司</w:t>
      </w:r>
      <w:r>
        <w:rPr>
          <w:rFonts w:hint="eastAsia" w:ascii="仿宋" w:hAnsi="仿宋" w:eastAsia="仿宋" w:cs="仿宋"/>
          <w:color w:val="auto"/>
          <w:sz w:val="32"/>
          <w:szCs w:val="32"/>
          <w:highlight w:val="none"/>
        </w:rPr>
        <w:t>会员接受客户程序化交易委托</w:t>
      </w:r>
      <w:r>
        <w:rPr>
          <w:rFonts w:hint="eastAsia" w:ascii="仿宋" w:hAnsi="仿宋" w:eastAsia="仿宋" w:cs="仿宋"/>
          <w:color w:val="auto"/>
          <w:sz w:val="32"/>
          <w:szCs w:val="32"/>
          <w:highlight w:val="none"/>
          <w:lang w:eastAsia="zh-CN"/>
        </w:rPr>
        <w:t>前</w:t>
      </w:r>
      <w:r>
        <w:rPr>
          <w:rFonts w:hint="eastAsia" w:ascii="仿宋" w:hAnsi="仿宋" w:eastAsia="仿宋" w:cs="仿宋"/>
          <w:color w:val="auto"/>
          <w:sz w:val="32"/>
          <w:szCs w:val="32"/>
          <w:highlight w:val="none"/>
        </w:rPr>
        <w:t>，应当</w:t>
      </w:r>
      <w:r>
        <w:rPr>
          <w:rFonts w:hint="eastAsia" w:ascii="仿宋" w:hAnsi="仿宋" w:eastAsia="仿宋" w:cs="仿宋"/>
          <w:color w:val="auto"/>
          <w:sz w:val="32"/>
          <w:szCs w:val="32"/>
          <w:highlight w:val="none"/>
          <w:lang w:eastAsia="zh-CN"/>
        </w:rPr>
        <w:t>按照有关规定，与客户</w:t>
      </w:r>
      <w:r>
        <w:rPr>
          <w:rFonts w:hint="eastAsia" w:ascii="仿宋" w:hAnsi="仿宋" w:eastAsia="仿宋" w:cs="仿宋"/>
          <w:color w:val="auto"/>
          <w:sz w:val="32"/>
          <w:szCs w:val="32"/>
          <w:highlight w:val="none"/>
        </w:rPr>
        <w:t>签订</w:t>
      </w:r>
      <w:r>
        <w:rPr>
          <w:rFonts w:hint="eastAsia" w:ascii="仿宋" w:hAnsi="仿宋" w:eastAsia="仿宋" w:cs="仿宋"/>
          <w:color w:val="auto"/>
          <w:sz w:val="32"/>
          <w:szCs w:val="32"/>
          <w:highlight w:val="none"/>
          <w:lang w:eastAsia="zh-CN"/>
        </w:rPr>
        <w:t>程序化交易</w:t>
      </w:r>
      <w:r>
        <w:rPr>
          <w:rFonts w:hint="eastAsia" w:ascii="仿宋" w:hAnsi="仿宋" w:eastAsia="仿宋" w:cs="仿宋"/>
          <w:color w:val="auto"/>
          <w:sz w:val="32"/>
          <w:szCs w:val="32"/>
          <w:highlight w:val="none"/>
        </w:rPr>
        <w:t>委托协议</w:t>
      </w:r>
      <w:r>
        <w:rPr>
          <w:rFonts w:hint="eastAsia" w:ascii="仿宋" w:hAnsi="仿宋" w:eastAsia="仿宋" w:cs="仿宋"/>
          <w:color w:val="auto"/>
          <w:sz w:val="32"/>
          <w:szCs w:val="32"/>
          <w:highlight w:val="none"/>
          <w:lang w:eastAsia="zh-CN"/>
        </w:rPr>
        <w:t>（以下简称委托协议）</w:t>
      </w:r>
      <w:r>
        <w:rPr>
          <w:rFonts w:hint="eastAsia" w:ascii="仿宋" w:hAnsi="仿宋" w:eastAsia="仿宋" w:cs="仿宋"/>
          <w:color w:val="auto"/>
          <w:sz w:val="32"/>
          <w:szCs w:val="32"/>
          <w:highlight w:val="none"/>
        </w:rPr>
        <w:t>，约定双方的权利、义务等事项，明确</w:t>
      </w:r>
      <w:r>
        <w:rPr>
          <w:rFonts w:hint="eastAsia" w:ascii="仿宋" w:hAnsi="仿宋" w:eastAsia="仿宋" w:cs="仿宋"/>
          <w:color w:val="auto"/>
          <w:sz w:val="32"/>
          <w:szCs w:val="32"/>
          <w:highlight w:val="none"/>
          <w:lang w:eastAsia="zh-CN"/>
        </w:rPr>
        <w:t>报告管理、</w:t>
      </w:r>
      <w:r>
        <w:rPr>
          <w:rFonts w:hint="eastAsia" w:ascii="仿宋" w:hAnsi="仿宋" w:eastAsia="仿宋" w:cs="仿宋"/>
          <w:color w:val="auto"/>
          <w:sz w:val="32"/>
          <w:szCs w:val="32"/>
          <w:highlight w:val="none"/>
        </w:rPr>
        <w:t>风险</w:t>
      </w:r>
      <w:r>
        <w:rPr>
          <w:rFonts w:hint="eastAsia" w:ascii="仿宋" w:hAnsi="仿宋" w:eastAsia="仿宋" w:cs="仿宋"/>
          <w:color w:val="auto"/>
          <w:sz w:val="32"/>
          <w:szCs w:val="32"/>
          <w:highlight w:val="none"/>
          <w:lang w:eastAsia="zh-CN"/>
        </w:rPr>
        <w:t>控制等</w:t>
      </w:r>
      <w:r>
        <w:rPr>
          <w:rFonts w:hint="eastAsia" w:ascii="仿宋" w:hAnsi="仿宋" w:eastAsia="仿宋" w:cs="仿宋"/>
          <w:color w:val="auto"/>
          <w:sz w:val="32"/>
          <w:szCs w:val="32"/>
          <w:highlight w:val="none"/>
        </w:rPr>
        <w:t>要求。</w:t>
      </w:r>
    </w:p>
    <w:p>
      <w:pPr>
        <w:numPr>
          <w:ilvl w:val="0"/>
          <w:numId w:val="0"/>
        </w:numPr>
        <w:spacing w:line="240" w:lineRule="auto"/>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境外经纪机构接受客户程序化交易委托的，参照前款规定要求执行。</w:t>
      </w:r>
    </w:p>
    <w:p>
      <w:pPr>
        <w:numPr>
          <w:ilvl w:val="0"/>
          <w:numId w:val="0"/>
        </w:numPr>
        <w:spacing w:line="240" w:lineRule="auto"/>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期货公司会员接受境外经纪机构程序化交易委托前，应当与境外经纪机构约定双方的权利、义务等事项，明确报告管理、风险控制等要求。</w:t>
      </w:r>
    </w:p>
    <w:p>
      <w:pPr>
        <w:spacing w:line="240" w:lineRule="auto"/>
        <w:ind w:firstLine="642" w:firstLineChars="200"/>
        <w:jc w:val="both"/>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eastAsia="zh-TW"/>
        </w:rPr>
        <w:t>第</w:t>
      </w:r>
      <w:r>
        <w:rPr>
          <w:rFonts w:hint="eastAsia" w:ascii="仿宋" w:hAnsi="仿宋" w:eastAsia="仿宋" w:cs="仿宋"/>
          <w:b/>
          <w:bCs/>
          <w:color w:val="auto"/>
          <w:sz w:val="32"/>
          <w:szCs w:val="32"/>
          <w:highlight w:val="none"/>
          <w:lang w:eastAsia="zh-CN"/>
        </w:rPr>
        <w:t>八</w:t>
      </w:r>
      <w:r>
        <w:rPr>
          <w:rFonts w:hint="eastAsia" w:ascii="仿宋" w:hAnsi="仿宋" w:eastAsia="仿宋" w:cs="仿宋"/>
          <w:b/>
          <w:bCs/>
          <w:color w:val="auto"/>
          <w:sz w:val="32"/>
          <w:szCs w:val="32"/>
          <w:highlight w:val="none"/>
          <w:lang w:eastAsia="zh-TW"/>
        </w:rPr>
        <w:t>条</w:t>
      </w:r>
      <w:r>
        <w:rPr>
          <w:rFonts w:hint="eastAsia" w:ascii="仿宋" w:hAnsi="仿宋" w:eastAsia="仿宋" w:cs="仿宋"/>
          <w:b/>
          <w:bCs/>
          <w:color w:val="auto"/>
          <w:sz w:val="32"/>
          <w:szCs w:val="32"/>
          <w:highlight w:val="none"/>
        </w:rPr>
        <w:t xml:space="preserve"> </w:t>
      </w:r>
      <w:r>
        <w:rPr>
          <w:rFonts w:hint="eastAsia" w:ascii="仿宋" w:hAnsi="仿宋" w:eastAsia="仿宋" w:cs="仿宋"/>
          <w:color w:val="auto"/>
          <w:sz w:val="32"/>
          <w:szCs w:val="32"/>
          <w:highlight w:val="none"/>
        </w:rPr>
        <w:t>客户</w:t>
      </w:r>
      <w:r>
        <w:rPr>
          <w:rFonts w:hint="eastAsia" w:ascii="仿宋" w:hAnsi="仿宋" w:eastAsia="仿宋" w:cs="仿宋"/>
          <w:color w:val="auto"/>
          <w:sz w:val="32"/>
          <w:szCs w:val="32"/>
          <w:highlight w:val="none"/>
          <w:lang w:eastAsia="zh-CN"/>
        </w:rPr>
        <w:t>从事</w:t>
      </w:r>
      <w:r>
        <w:rPr>
          <w:rFonts w:hint="eastAsia" w:ascii="仿宋" w:hAnsi="仿宋" w:eastAsia="仿宋" w:cs="仿宋"/>
          <w:color w:val="auto"/>
          <w:sz w:val="32"/>
          <w:szCs w:val="32"/>
          <w:highlight w:val="none"/>
        </w:rPr>
        <w:t>程序化交易前，应当向</w:t>
      </w:r>
      <w:r>
        <w:rPr>
          <w:rFonts w:hint="eastAsia" w:ascii="仿宋" w:hAnsi="仿宋" w:eastAsia="仿宋" w:cs="仿宋"/>
          <w:color w:val="auto"/>
          <w:sz w:val="32"/>
          <w:szCs w:val="32"/>
          <w:highlight w:val="none"/>
          <w:lang w:eastAsia="zh-CN"/>
        </w:rPr>
        <w:t>其委托的</w:t>
      </w:r>
      <w:r>
        <w:rPr>
          <w:rFonts w:hint="eastAsia" w:ascii="仿宋" w:hAnsi="仿宋" w:eastAsia="仿宋" w:cs="仿宋"/>
          <w:color w:val="auto"/>
          <w:sz w:val="32"/>
          <w:szCs w:val="32"/>
          <w:highlight w:val="none"/>
        </w:rPr>
        <w:t>期货公司会员</w:t>
      </w:r>
      <w:r>
        <w:rPr>
          <w:rFonts w:hint="eastAsia" w:ascii="仿宋" w:hAnsi="仿宋" w:eastAsia="仿宋" w:cs="仿宋"/>
          <w:color w:val="auto"/>
          <w:sz w:val="32"/>
          <w:szCs w:val="32"/>
          <w:highlight w:val="none"/>
          <w:lang w:eastAsia="zh-CN"/>
        </w:rPr>
        <w:t>、境外经纪机构报告有关信息</w:t>
      </w:r>
      <w:r>
        <w:rPr>
          <w:rFonts w:hint="eastAsia" w:ascii="仿宋" w:hAnsi="仿宋" w:eastAsia="仿宋" w:cs="仿宋"/>
          <w:color w:val="auto"/>
          <w:sz w:val="32"/>
          <w:szCs w:val="32"/>
          <w:highlight w:val="none"/>
        </w:rPr>
        <w:t>。</w:t>
      </w:r>
    </w:p>
    <w:p>
      <w:pPr>
        <w:widowControl w:val="0"/>
        <w:spacing w:line="240" w:lineRule="auto"/>
        <w:ind w:firstLine="640"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eastAsia="zh-CN"/>
        </w:rPr>
        <w:t>期货公司会员、境外经纪机构</w:t>
      </w:r>
      <w:r>
        <w:rPr>
          <w:rFonts w:hint="eastAsia" w:ascii="仿宋" w:hAnsi="仿宋" w:eastAsia="仿宋" w:cs="仿宋"/>
          <w:color w:val="auto"/>
          <w:kern w:val="2"/>
          <w:sz w:val="32"/>
          <w:szCs w:val="32"/>
          <w:highlight w:val="none"/>
          <w:lang w:val="en-US" w:eastAsia="zh-CN" w:bidi="ar-SA"/>
        </w:rPr>
        <w:t>应当在5个交易日内完成对客户报告信息的核查。核查无误的，期货公司会员应当及时向交易所报告，境外经纪机构应当及时通过期货公司会员向交易所报告。交易所收到报告后在5个交易日内予以反馈。</w:t>
      </w:r>
      <w:r>
        <w:rPr>
          <w:rFonts w:hint="eastAsia" w:ascii="仿宋" w:hAnsi="仿宋" w:eastAsia="仿宋" w:cs="仿宋"/>
          <w:color w:val="auto"/>
          <w:sz w:val="32"/>
          <w:szCs w:val="32"/>
          <w:highlight w:val="none"/>
          <w:lang w:eastAsia="zh-CN"/>
        </w:rPr>
        <w:t>期货公司会员、境外经纪机构应当</w:t>
      </w:r>
      <w:r>
        <w:rPr>
          <w:rFonts w:hint="eastAsia" w:ascii="仿宋" w:hAnsi="仿宋" w:eastAsia="仿宋" w:cs="仿宋"/>
          <w:color w:val="auto"/>
          <w:kern w:val="2"/>
          <w:sz w:val="32"/>
          <w:szCs w:val="32"/>
          <w:highlight w:val="none"/>
          <w:lang w:val="en-US" w:eastAsia="zh-CN" w:bidi="ar-SA"/>
        </w:rPr>
        <w:t>在收到交易所反馈后向客户确认。客户收到确认后，方可从事程序化交易。</w:t>
      </w:r>
    </w:p>
    <w:p>
      <w:pPr>
        <w:widowControl w:val="0"/>
        <w:spacing w:line="240" w:lineRule="auto"/>
        <w:ind w:firstLine="642"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TW" w:bidi="ar-SA"/>
        </w:rPr>
        <w:t>第</w:t>
      </w:r>
      <w:r>
        <w:rPr>
          <w:rFonts w:hint="eastAsia" w:ascii="仿宋" w:hAnsi="仿宋" w:eastAsia="仿宋" w:cs="仿宋"/>
          <w:b/>
          <w:bCs/>
          <w:color w:val="auto"/>
          <w:kern w:val="2"/>
          <w:sz w:val="32"/>
          <w:szCs w:val="32"/>
          <w:highlight w:val="none"/>
          <w:lang w:val="en-US" w:eastAsia="zh-CN" w:bidi="ar-SA"/>
        </w:rPr>
        <w:t>九</w:t>
      </w:r>
      <w:r>
        <w:rPr>
          <w:rFonts w:hint="eastAsia" w:ascii="仿宋" w:hAnsi="仿宋" w:eastAsia="仿宋" w:cs="仿宋"/>
          <w:b/>
          <w:bCs/>
          <w:color w:val="auto"/>
          <w:kern w:val="2"/>
          <w:sz w:val="32"/>
          <w:szCs w:val="32"/>
          <w:highlight w:val="none"/>
          <w:lang w:val="en-US" w:eastAsia="zh-TW" w:bidi="ar-SA"/>
        </w:rPr>
        <w:t xml:space="preserve">条 </w:t>
      </w:r>
      <w:r>
        <w:rPr>
          <w:rFonts w:hint="eastAsia" w:ascii="仿宋" w:hAnsi="仿宋" w:eastAsia="仿宋" w:cs="仿宋"/>
          <w:color w:val="auto"/>
          <w:kern w:val="2"/>
          <w:sz w:val="32"/>
          <w:szCs w:val="32"/>
          <w:highlight w:val="none"/>
          <w:lang w:val="en-US" w:eastAsia="zh-CN" w:bidi="ar-SA"/>
        </w:rPr>
        <w:t>非期货公司会员从事程序化交易前，应当向交易所报告有关信息。交易所在5个交易日内予以反馈。非期货公司会员收到交易所确认后方可从事程序化交易。</w:t>
      </w:r>
    </w:p>
    <w:p>
      <w:pPr>
        <w:numPr>
          <w:ilvl w:val="0"/>
          <w:numId w:val="0"/>
        </w:numPr>
        <w:spacing w:line="240" w:lineRule="auto"/>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非期货公司会员不得从事高频交易。</w:t>
      </w:r>
    </w:p>
    <w:p>
      <w:pPr>
        <w:widowControl w:val="0"/>
        <w:spacing w:line="240" w:lineRule="auto"/>
        <w:ind w:firstLine="642"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xml:space="preserve">第十条 </w:t>
      </w:r>
      <w:r>
        <w:rPr>
          <w:rFonts w:hint="eastAsia" w:ascii="仿宋" w:hAnsi="仿宋" w:eastAsia="仿宋" w:cs="仿宋"/>
          <w:color w:val="auto"/>
          <w:kern w:val="2"/>
          <w:sz w:val="32"/>
          <w:szCs w:val="32"/>
          <w:highlight w:val="none"/>
          <w:lang w:val="en-US" w:eastAsia="zh-CN" w:bidi="ar-SA"/>
        </w:rPr>
        <w:t>程序化交易者应当真实、准确、完整报告以下信息：</w:t>
      </w:r>
    </w:p>
    <w:p>
      <w:pPr>
        <w:widowControl w:val="0"/>
        <w:tabs>
          <w:tab w:val="left" w:pos="630"/>
        </w:tabs>
        <w:spacing w:line="240" w:lineRule="auto"/>
        <w:ind w:firstLine="640"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（一）账户基本信息，包括交易者名称、交易编码、产品管理人和委托的期货公司会员或者境外经纪机构等；</w:t>
      </w:r>
    </w:p>
    <w:p>
      <w:pPr>
        <w:widowControl w:val="0"/>
        <w:tabs>
          <w:tab w:val="left" w:pos="630"/>
        </w:tabs>
        <w:spacing w:line="240" w:lineRule="auto"/>
        <w:ind w:firstLine="640"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（二）交易和软件信息，包括交易指令执行方式和交易软件名称、基本功能、开发主体等；</w:t>
      </w:r>
    </w:p>
    <w:p>
      <w:pPr>
        <w:widowControl w:val="0"/>
        <w:spacing w:line="240" w:lineRule="auto"/>
        <w:ind w:firstLine="640"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（三）交易所要求的其他信息。</w:t>
      </w:r>
    </w:p>
    <w:p>
      <w:pPr>
        <w:spacing w:line="240" w:lineRule="auto"/>
        <w:ind w:firstLine="640"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除前款规定应当报告的信息外，高频交易者还应当报告交易策略类型及主要内容、最高报撤单频率、单日最高报撤单笔数、服务器所在地、技术系统测试报告、应急方案、风险控制措施等信息。</w:t>
      </w:r>
    </w:p>
    <w:p>
      <w:pPr>
        <w:spacing w:line="240" w:lineRule="auto"/>
        <w:ind w:firstLine="642"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xml:space="preserve">第十一条 </w:t>
      </w:r>
      <w:r>
        <w:rPr>
          <w:rFonts w:hint="eastAsia" w:ascii="仿宋" w:hAnsi="仿宋" w:eastAsia="仿宋" w:cs="仿宋"/>
          <w:color w:val="auto"/>
          <w:kern w:val="2"/>
          <w:sz w:val="32"/>
          <w:szCs w:val="32"/>
          <w:highlight w:val="none"/>
          <w:lang w:val="en-US" w:eastAsia="zh-CN" w:bidi="ar-SA"/>
        </w:rPr>
        <w:t>程序化交易者已报告信息存在下列情形之一的，属于重大变更，应当进行变更报告：</w:t>
      </w:r>
    </w:p>
    <w:p>
      <w:pPr>
        <w:spacing w:line="240" w:lineRule="auto"/>
        <w:ind w:firstLine="640"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（一）交易者名称、产品管理人发生变更；</w:t>
      </w:r>
    </w:p>
    <w:p>
      <w:pPr>
        <w:spacing w:line="240" w:lineRule="auto"/>
        <w:ind w:firstLine="640"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（二）交易指令执行方式和交易软件名称、基本功能、开发主体发生变更；</w:t>
      </w:r>
    </w:p>
    <w:p>
      <w:pPr>
        <w:spacing w:line="240" w:lineRule="auto"/>
        <w:ind w:firstLine="640"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（三）高频交易者的交易策略类型、最高报撤单频率、单日最高报撤单笔数发生变更；</w:t>
      </w:r>
    </w:p>
    <w:p>
      <w:pPr>
        <w:spacing w:line="240" w:lineRule="auto"/>
        <w:ind w:firstLine="640"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（四）停止进行程序化交易；</w:t>
      </w:r>
    </w:p>
    <w:p>
      <w:pPr>
        <w:spacing w:line="240" w:lineRule="auto"/>
        <w:ind w:firstLine="640"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（五）交易所认定的其他重大变更情形。</w:t>
      </w:r>
    </w:p>
    <w:p>
      <w:pPr>
        <w:spacing w:line="240" w:lineRule="auto"/>
        <w:ind w:firstLine="640" w:firstLineChars="200"/>
        <w:jc w:val="both"/>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eastAsia="zh-CN"/>
        </w:rPr>
        <w:t>程序化交易者</w:t>
      </w:r>
      <w:r>
        <w:rPr>
          <w:rFonts w:hint="eastAsia" w:ascii="仿宋" w:hAnsi="仿宋" w:eastAsia="仿宋" w:cs="仿宋"/>
          <w:color w:val="auto"/>
          <w:kern w:val="0"/>
          <w:sz w:val="32"/>
          <w:szCs w:val="32"/>
          <w:highlight w:val="none"/>
        </w:rPr>
        <w:t>报告信息发生重大变更的，应当在</w:t>
      </w:r>
      <w:r>
        <w:rPr>
          <w:rFonts w:hint="eastAsia" w:ascii="仿宋" w:hAnsi="仿宋" w:eastAsia="仿宋" w:cs="仿宋"/>
          <w:color w:val="auto"/>
          <w:kern w:val="0"/>
          <w:sz w:val="32"/>
          <w:szCs w:val="32"/>
          <w:highlight w:val="none"/>
          <w:lang w:eastAsia="zh-CN"/>
        </w:rPr>
        <w:t>变更发生后下一个自然月的前</w:t>
      </w:r>
      <w:r>
        <w:rPr>
          <w:rFonts w:hint="eastAsia" w:ascii="仿宋" w:hAnsi="仿宋" w:eastAsia="仿宋" w:cs="仿宋"/>
          <w:color w:val="auto"/>
          <w:kern w:val="0"/>
          <w:sz w:val="32"/>
          <w:szCs w:val="32"/>
          <w:highlight w:val="none"/>
          <w:lang w:val="en-US" w:eastAsia="zh-CN"/>
        </w:rPr>
        <w:t>5</w:t>
      </w:r>
      <w:r>
        <w:rPr>
          <w:rFonts w:hint="eastAsia" w:ascii="仿宋" w:hAnsi="仿宋" w:eastAsia="仿宋" w:cs="仿宋"/>
          <w:color w:val="auto"/>
          <w:kern w:val="0"/>
          <w:sz w:val="32"/>
          <w:szCs w:val="32"/>
          <w:highlight w:val="none"/>
        </w:rPr>
        <w:t>个交易日</w:t>
      </w:r>
      <w:r>
        <w:rPr>
          <w:rFonts w:hint="eastAsia" w:ascii="仿宋" w:hAnsi="仿宋" w:eastAsia="仿宋" w:cs="仿宋"/>
          <w:color w:val="auto"/>
          <w:kern w:val="0"/>
          <w:sz w:val="32"/>
          <w:szCs w:val="32"/>
          <w:highlight w:val="none"/>
          <w:lang w:eastAsia="zh-CN"/>
        </w:rPr>
        <w:t>内</w:t>
      </w:r>
      <w:r>
        <w:rPr>
          <w:rFonts w:hint="eastAsia" w:ascii="仿宋" w:hAnsi="仿宋" w:eastAsia="仿宋" w:cs="仿宋"/>
          <w:color w:val="auto"/>
          <w:kern w:val="0"/>
          <w:sz w:val="32"/>
          <w:szCs w:val="32"/>
          <w:highlight w:val="none"/>
        </w:rPr>
        <w:t>进行变更报告。</w:t>
      </w:r>
    </w:p>
    <w:p>
      <w:pPr>
        <w:pStyle w:val="20"/>
        <w:numPr>
          <w:ilvl w:val="0"/>
          <w:numId w:val="0"/>
        </w:numPr>
        <w:spacing w:line="240" w:lineRule="auto"/>
        <w:ind w:firstLine="642"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sz w:val="32"/>
          <w:szCs w:val="32"/>
          <w:highlight w:val="none"/>
          <w:lang w:eastAsia="zh-TW"/>
        </w:rPr>
        <w:t>第</w:t>
      </w:r>
      <w:r>
        <w:rPr>
          <w:rFonts w:hint="eastAsia" w:ascii="仿宋" w:hAnsi="仿宋" w:eastAsia="仿宋" w:cs="仿宋"/>
          <w:b/>
          <w:bCs/>
          <w:color w:val="auto"/>
          <w:sz w:val="32"/>
          <w:szCs w:val="32"/>
          <w:highlight w:val="none"/>
          <w:lang w:eastAsia="zh-CN"/>
        </w:rPr>
        <w:t>十二</w:t>
      </w:r>
      <w:r>
        <w:rPr>
          <w:rFonts w:hint="eastAsia" w:ascii="仿宋" w:hAnsi="仿宋" w:eastAsia="仿宋" w:cs="仿宋"/>
          <w:b/>
          <w:bCs/>
          <w:color w:val="auto"/>
          <w:sz w:val="32"/>
          <w:szCs w:val="32"/>
          <w:highlight w:val="none"/>
          <w:lang w:eastAsia="zh-TW"/>
        </w:rPr>
        <w:t>条</w:t>
      </w:r>
      <w:r>
        <w:rPr>
          <w:rFonts w:hint="eastAsia" w:ascii="仿宋" w:hAnsi="仿宋" w:eastAsia="仿宋" w:cs="仿宋"/>
          <w:b/>
          <w:bCs/>
          <w:color w:val="auto"/>
          <w:sz w:val="32"/>
          <w:szCs w:val="32"/>
          <w:highlight w:val="none"/>
        </w:rPr>
        <w:t xml:space="preserve"> </w:t>
      </w:r>
      <w:r>
        <w:rPr>
          <w:rFonts w:hint="eastAsia" w:ascii="仿宋" w:hAnsi="仿宋" w:eastAsia="仿宋" w:cs="仿宋"/>
          <w:b w:val="0"/>
          <w:bCs w:val="0"/>
          <w:color w:val="auto"/>
          <w:sz w:val="32"/>
          <w:szCs w:val="32"/>
          <w:highlight w:val="none"/>
          <w:lang w:eastAsia="zh-CN"/>
        </w:rPr>
        <w:t>期货公司会员、境外经纪机构</w:t>
      </w:r>
      <w:r>
        <w:rPr>
          <w:rFonts w:hint="eastAsia" w:ascii="仿宋" w:hAnsi="仿宋" w:eastAsia="仿宋" w:cs="仿宋"/>
          <w:color w:val="auto"/>
          <w:sz w:val="32"/>
          <w:szCs w:val="32"/>
          <w:highlight w:val="none"/>
        </w:rPr>
        <w:t>应当</w:t>
      </w:r>
      <w:r>
        <w:rPr>
          <w:rFonts w:hint="eastAsia" w:ascii="仿宋" w:hAnsi="仿宋" w:eastAsia="仿宋" w:cs="仿宋"/>
          <w:color w:val="auto"/>
          <w:sz w:val="32"/>
          <w:szCs w:val="32"/>
          <w:highlight w:val="none"/>
          <w:lang w:eastAsia="zh-CN"/>
        </w:rPr>
        <w:t>每半年或者按交易所要求对程序化交易客户报告的信息进行核查，</w:t>
      </w:r>
      <w:r>
        <w:rPr>
          <w:rFonts w:hint="eastAsia" w:ascii="仿宋" w:hAnsi="仿宋" w:eastAsia="仿宋" w:cs="仿宋"/>
          <w:color w:val="auto"/>
          <w:kern w:val="2"/>
          <w:sz w:val="32"/>
          <w:szCs w:val="32"/>
          <w:highlight w:val="none"/>
          <w:lang w:val="en-US" w:eastAsia="zh-CN" w:bidi="ar-SA"/>
        </w:rPr>
        <w:t>发现未按规定报告的，应当督促客户及时改正。经督促仍不改正的，</w:t>
      </w:r>
      <w:r>
        <w:rPr>
          <w:rFonts w:hint="eastAsia" w:ascii="仿宋" w:hAnsi="仿宋" w:eastAsia="仿宋" w:cs="仿宋"/>
          <w:b w:val="0"/>
          <w:bCs w:val="0"/>
          <w:color w:val="auto"/>
          <w:sz w:val="32"/>
          <w:szCs w:val="32"/>
          <w:highlight w:val="none"/>
          <w:lang w:eastAsia="zh-CN"/>
        </w:rPr>
        <w:t>期货公司会员、境外经纪机构</w:t>
      </w:r>
      <w:r>
        <w:rPr>
          <w:rFonts w:hint="eastAsia" w:ascii="仿宋" w:hAnsi="仿宋" w:eastAsia="仿宋" w:cs="仿宋"/>
          <w:color w:val="auto"/>
          <w:kern w:val="2"/>
          <w:sz w:val="32"/>
          <w:szCs w:val="32"/>
          <w:highlight w:val="none"/>
          <w:lang w:val="en-US" w:eastAsia="zh-CN" w:bidi="ar-SA"/>
        </w:rPr>
        <w:t>应当按照委托协议约定，拒绝继续接受其开仓委托。</w:t>
      </w:r>
    </w:p>
    <w:p>
      <w:pPr>
        <w:widowControl w:val="0"/>
        <w:numPr>
          <w:ilvl w:val="0"/>
          <w:numId w:val="0"/>
        </w:numPr>
        <w:spacing w:line="240" w:lineRule="auto"/>
        <w:ind w:firstLine="642"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TW" w:bidi="ar-SA"/>
        </w:rPr>
        <w:t>第</w:t>
      </w:r>
      <w:r>
        <w:rPr>
          <w:rFonts w:hint="eastAsia" w:ascii="仿宋" w:hAnsi="仿宋" w:eastAsia="仿宋" w:cs="仿宋"/>
          <w:b/>
          <w:bCs/>
          <w:color w:val="auto"/>
          <w:kern w:val="2"/>
          <w:sz w:val="32"/>
          <w:szCs w:val="32"/>
          <w:highlight w:val="none"/>
          <w:lang w:val="en-US" w:eastAsia="zh-CN" w:bidi="ar-SA"/>
        </w:rPr>
        <w:t>十三</w:t>
      </w:r>
      <w:r>
        <w:rPr>
          <w:rFonts w:hint="eastAsia" w:ascii="仿宋" w:hAnsi="仿宋" w:eastAsia="仿宋" w:cs="仿宋"/>
          <w:b/>
          <w:bCs/>
          <w:color w:val="auto"/>
          <w:kern w:val="2"/>
          <w:sz w:val="32"/>
          <w:szCs w:val="32"/>
          <w:highlight w:val="none"/>
          <w:lang w:val="en-US" w:eastAsia="zh-TW" w:bidi="ar-SA"/>
        </w:rPr>
        <w:t>条</w:t>
      </w:r>
      <w:r>
        <w:rPr>
          <w:rFonts w:hint="eastAsia" w:ascii="仿宋" w:hAnsi="仿宋" w:eastAsia="仿宋" w:cs="仿宋"/>
          <w:b/>
          <w:bCs/>
          <w:color w:val="auto"/>
          <w:kern w:val="2"/>
          <w:sz w:val="32"/>
          <w:szCs w:val="32"/>
          <w:highlight w:val="none"/>
          <w:lang w:val="en-US" w:eastAsia="zh-CN" w:bidi="ar-SA"/>
        </w:rPr>
        <w:t xml:space="preserve"> </w:t>
      </w:r>
      <w:r>
        <w:rPr>
          <w:rFonts w:hint="eastAsia" w:ascii="仿宋" w:hAnsi="仿宋" w:eastAsia="仿宋" w:cs="仿宋"/>
          <w:color w:val="auto"/>
          <w:kern w:val="2"/>
          <w:sz w:val="32"/>
          <w:szCs w:val="32"/>
          <w:highlight w:val="none"/>
          <w:lang w:val="en-US" w:eastAsia="zh-CN" w:bidi="ar-SA"/>
        </w:rPr>
        <w:t>交易所每半年或者根据需要对程序化交易者报告的信息进行核查，重点核查高频交易者报告的交易策略类型、最高报撤单频率、单日最高报撤单笔数等信息。</w:t>
      </w:r>
    </w:p>
    <w:p>
      <w:pPr>
        <w:widowControl w:val="0"/>
        <w:numPr>
          <w:ilvl w:val="0"/>
          <w:numId w:val="0"/>
        </w:numPr>
        <w:spacing w:line="240" w:lineRule="auto"/>
        <w:ind w:firstLine="642" w:firstLineChars="200"/>
        <w:jc w:val="both"/>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TW" w:bidi="ar-SA"/>
        </w:rPr>
        <w:t>第</w:t>
      </w:r>
      <w:r>
        <w:rPr>
          <w:rFonts w:hint="eastAsia" w:ascii="仿宋" w:hAnsi="仿宋" w:eastAsia="仿宋" w:cs="仿宋"/>
          <w:b/>
          <w:bCs/>
          <w:color w:val="auto"/>
          <w:kern w:val="2"/>
          <w:sz w:val="32"/>
          <w:szCs w:val="32"/>
          <w:highlight w:val="none"/>
          <w:lang w:val="en-US" w:eastAsia="zh-CN" w:bidi="ar-SA"/>
        </w:rPr>
        <w:t>十四</w:t>
      </w:r>
      <w:r>
        <w:rPr>
          <w:rFonts w:hint="eastAsia" w:ascii="仿宋" w:hAnsi="仿宋" w:eastAsia="仿宋" w:cs="仿宋"/>
          <w:b/>
          <w:bCs/>
          <w:color w:val="auto"/>
          <w:kern w:val="2"/>
          <w:sz w:val="32"/>
          <w:szCs w:val="32"/>
          <w:highlight w:val="none"/>
          <w:lang w:val="en-US" w:eastAsia="zh-TW" w:bidi="ar-SA"/>
        </w:rPr>
        <w:t>条</w:t>
      </w:r>
      <w:r>
        <w:rPr>
          <w:rFonts w:hint="eastAsia" w:ascii="仿宋" w:hAnsi="仿宋" w:eastAsia="仿宋" w:cs="仿宋"/>
          <w:b/>
          <w:bCs/>
          <w:color w:val="auto"/>
          <w:kern w:val="2"/>
          <w:sz w:val="32"/>
          <w:szCs w:val="32"/>
          <w:highlight w:val="none"/>
          <w:lang w:val="en-US" w:eastAsia="zh-CN" w:bidi="ar-SA"/>
        </w:rPr>
        <w:t xml:space="preserve"> </w:t>
      </w:r>
      <w:r>
        <w:rPr>
          <w:rFonts w:hint="eastAsia" w:ascii="仿宋" w:hAnsi="仿宋" w:eastAsia="仿宋" w:cs="仿宋"/>
          <w:color w:val="auto"/>
          <w:sz w:val="32"/>
          <w:szCs w:val="32"/>
          <w:highlight w:val="none"/>
          <w:lang w:eastAsia="zh-CN"/>
        </w:rPr>
        <w:t>期货公司会员、境外经纪机构</w:t>
      </w:r>
      <w:r>
        <w:rPr>
          <w:rFonts w:hint="eastAsia" w:ascii="仿宋" w:hAnsi="仿宋" w:eastAsia="仿宋" w:cs="仿宋"/>
          <w:color w:val="auto"/>
          <w:kern w:val="0"/>
          <w:sz w:val="32"/>
          <w:szCs w:val="32"/>
          <w:highlight w:val="none"/>
          <w:lang w:val="en-US" w:eastAsia="zh-CN" w:bidi="ar-SA"/>
        </w:rPr>
        <w:t>应当对客户报告的信息保密，不得非法买</w:t>
      </w:r>
      <w:r>
        <w:rPr>
          <w:rFonts w:hint="eastAsia" w:ascii="仿宋" w:hAnsi="仿宋" w:eastAsia="仿宋" w:cs="仿宋"/>
          <w:bCs/>
          <w:color w:val="auto"/>
          <w:kern w:val="2"/>
          <w:sz w:val="32"/>
          <w:szCs w:val="32"/>
          <w:highlight w:val="none"/>
          <w:lang w:val="en-US" w:eastAsia="zh-CN" w:bidi="ar-SA"/>
        </w:rPr>
        <w:t>卖、提供、公开或者以其他不正当手段使用客户报告的信息，不得泄露所知悉的商业秘密等。</w:t>
      </w:r>
    </w:p>
    <w:p>
      <w:pPr>
        <w:widowControl w:val="0"/>
        <w:spacing w:line="240" w:lineRule="auto"/>
        <w:ind w:firstLine="640" w:firstLineChars="200"/>
        <w:jc w:val="both"/>
        <w:rPr>
          <w:rFonts w:hint="eastAsia" w:ascii="仿宋" w:hAnsi="仿宋" w:eastAsia="仿宋" w:cs="仿宋"/>
          <w:bCs/>
          <w:color w:val="auto"/>
          <w:kern w:val="2"/>
          <w:sz w:val="32"/>
          <w:szCs w:val="32"/>
          <w:highlight w:val="none"/>
          <w:lang w:val="en-US" w:eastAsia="zh-CN" w:bidi="ar-SA"/>
        </w:rPr>
      </w:pPr>
      <w:r>
        <w:rPr>
          <w:rFonts w:hint="eastAsia" w:ascii="仿宋" w:hAnsi="仿宋" w:eastAsia="仿宋" w:cs="仿宋"/>
          <w:color w:val="auto"/>
          <w:sz w:val="32"/>
          <w:szCs w:val="32"/>
          <w:highlight w:val="none"/>
          <w:lang w:eastAsia="zh-CN"/>
        </w:rPr>
        <w:t>期货公司会员、境外经纪机构</w:t>
      </w:r>
      <w:r>
        <w:rPr>
          <w:rFonts w:hint="eastAsia" w:ascii="仿宋" w:hAnsi="仿宋" w:eastAsia="仿宋" w:cs="仿宋"/>
          <w:bCs/>
          <w:color w:val="auto"/>
          <w:kern w:val="2"/>
          <w:sz w:val="32"/>
          <w:szCs w:val="32"/>
          <w:highlight w:val="none"/>
          <w:lang w:val="en-US" w:eastAsia="zh-CN" w:bidi="ar-SA"/>
        </w:rPr>
        <w:t>应当妥善保存客户的报告信息和核查工作记录，保存期限不得少于二十年。</w:t>
      </w:r>
    </w:p>
    <w:p>
      <w:pPr>
        <w:widowControl w:val="0"/>
        <w:spacing w:line="240" w:lineRule="auto"/>
        <w:ind w:firstLine="642" w:firstLineChars="200"/>
        <w:jc w:val="both"/>
        <w:rPr>
          <w:rFonts w:hint="eastAsia" w:ascii="仿宋" w:hAnsi="仿宋" w:eastAsia="仿宋" w:cs="仿宋"/>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TW" w:bidi="ar-SA"/>
        </w:rPr>
        <w:t>第</w:t>
      </w:r>
      <w:r>
        <w:rPr>
          <w:rFonts w:hint="eastAsia" w:ascii="仿宋" w:hAnsi="仿宋" w:eastAsia="仿宋" w:cs="仿宋"/>
          <w:b/>
          <w:bCs/>
          <w:color w:val="auto"/>
          <w:kern w:val="2"/>
          <w:sz w:val="32"/>
          <w:szCs w:val="32"/>
          <w:highlight w:val="none"/>
          <w:lang w:val="en-US" w:eastAsia="zh-CN" w:bidi="ar-SA"/>
        </w:rPr>
        <w:t>十五</w:t>
      </w:r>
      <w:r>
        <w:rPr>
          <w:rFonts w:hint="eastAsia" w:ascii="仿宋" w:hAnsi="仿宋" w:eastAsia="仿宋" w:cs="仿宋"/>
          <w:b/>
          <w:bCs/>
          <w:color w:val="auto"/>
          <w:kern w:val="2"/>
          <w:sz w:val="32"/>
          <w:szCs w:val="32"/>
          <w:highlight w:val="none"/>
          <w:lang w:val="en-US" w:eastAsia="zh-TW" w:bidi="ar-SA"/>
        </w:rPr>
        <w:t>条</w:t>
      </w:r>
      <w:r>
        <w:rPr>
          <w:rFonts w:hint="eastAsia" w:ascii="仿宋" w:hAnsi="仿宋" w:eastAsia="仿宋" w:cs="仿宋"/>
          <w:b/>
          <w:bCs/>
          <w:color w:val="auto"/>
          <w:kern w:val="2"/>
          <w:sz w:val="32"/>
          <w:szCs w:val="32"/>
          <w:highlight w:val="none"/>
          <w:lang w:val="en-US" w:eastAsia="zh-CN" w:bidi="ar-SA"/>
        </w:rPr>
        <w:t xml:space="preserve"> </w:t>
      </w:r>
      <w:r>
        <w:rPr>
          <w:rFonts w:hint="eastAsia" w:ascii="仿宋" w:hAnsi="仿宋" w:eastAsia="仿宋" w:cs="仿宋"/>
          <w:bCs/>
          <w:color w:val="auto"/>
          <w:kern w:val="2"/>
          <w:sz w:val="32"/>
          <w:szCs w:val="32"/>
          <w:highlight w:val="none"/>
          <w:lang w:val="en-US" w:eastAsia="zh-CN" w:bidi="ar-SA"/>
        </w:rPr>
        <w:t>交易所根据本办法的规定接收、核查和管理程序化交易者报告的信息，不代表交易所对程序化交易者及其使用的程序化交易策略和技术系统的可用性、安全性、合规性等作出判断或者保证。</w:t>
      </w:r>
    </w:p>
    <w:p>
      <w:pPr>
        <w:widowControl w:val="0"/>
        <w:spacing w:line="240" w:lineRule="auto"/>
        <w:ind w:firstLine="640" w:firstLineChars="200"/>
        <w:jc w:val="both"/>
        <w:rPr>
          <w:rFonts w:hint="default" w:ascii="Times New Roman" w:hAnsi="Times New Roman" w:eastAsia="仿宋_GB2312" w:cs="Times New Roman"/>
          <w:bCs/>
          <w:color w:val="auto"/>
          <w:kern w:val="2"/>
          <w:sz w:val="32"/>
          <w:szCs w:val="32"/>
          <w:highlight w:val="none"/>
          <w:lang w:val="en-US" w:eastAsia="zh-CN" w:bidi="ar-SA"/>
        </w:rPr>
      </w:pPr>
    </w:p>
    <w:p>
      <w:pPr>
        <w:widowControl w:val="0"/>
        <w:spacing w:line="240" w:lineRule="auto"/>
        <w:ind w:firstLine="0" w:firstLineChars="0"/>
        <w:jc w:val="center"/>
        <w:rPr>
          <w:rFonts w:hint="default" w:ascii="Times New Roman" w:hAnsi="Times New Roman" w:eastAsia="黑体" w:cs="Times New Roman"/>
          <w:bCs/>
          <w:color w:val="auto"/>
          <w:kern w:val="2"/>
          <w:sz w:val="32"/>
          <w:szCs w:val="32"/>
          <w:highlight w:val="none"/>
          <w:lang w:val="en-US" w:eastAsia="zh-CN" w:bidi="ar-SA"/>
        </w:rPr>
      </w:pPr>
      <w:r>
        <w:rPr>
          <w:rFonts w:hint="default" w:ascii="Times New Roman" w:hAnsi="Times New Roman" w:eastAsia="黑体" w:cs="Times New Roman"/>
          <w:bCs/>
          <w:color w:val="auto"/>
          <w:kern w:val="2"/>
          <w:sz w:val="32"/>
          <w:szCs w:val="32"/>
          <w:highlight w:val="none"/>
          <w:lang w:val="en-US" w:eastAsia="zh-CN" w:bidi="ar-SA"/>
        </w:rPr>
        <w:t>第三章  系统接入管理</w:t>
      </w:r>
    </w:p>
    <w:p>
      <w:pPr>
        <w:keepNext w:val="0"/>
        <w:keepLines w:val="0"/>
        <w:pageBreakBefore w:val="0"/>
        <w:widowControl w:val="0"/>
        <w:numPr>
          <w:ilvl w:val="0"/>
          <w:numId w:val="0"/>
        </w:numPr>
        <w:kinsoku/>
        <w:wordWrap/>
        <w:overflowPunct/>
        <w:topLinePunct w:val="0"/>
        <w:autoSpaceDE/>
        <w:autoSpaceDN/>
        <w:bidi w:val="0"/>
        <w:adjustRightInd/>
        <w:snapToGrid/>
        <w:ind w:firstLine="642" w:firstLineChars="200"/>
        <w:jc w:val="both"/>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
          <w:bCs/>
          <w:color w:val="auto"/>
          <w:sz w:val="32"/>
          <w:szCs w:val="32"/>
          <w:highlight w:val="none"/>
          <w:lang w:eastAsia="zh-TW"/>
        </w:rPr>
        <w:t>第</w:t>
      </w:r>
      <w:r>
        <w:rPr>
          <w:rFonts w:hint="eastAsia" w:ascii="仿宋" w:hAnsi="仿宋" w:eastAsia="仿宋" w:cs="仿宋"/>
          <w:b/>
          <w:bCs/>
          <w:color w:val="auto"/>
          <w:sz w:val="32"/>
          <w:szCs w:val="32"/>
          <w:highlight w:val="none"/>
          <w:lang w:eastAsia="zh-CN"/>
        </w:rPr>
        <w:t>十六</w:t>
      </w:r>
      <w:r>
        <w:rPr>
          <w:rFonts w:hint="eastAsia" w:ascii="仿宋" w:hAnsi="仿宋" w:eastAsia="仿宋" w:cs="仿宋"/>
          <w:b/>
          <w:bCs/>
          <w:color w:val="auto"/>
          <w:sz w:val="32"/>
          <w:szCs w:val="32"/>
          <w:highlight w:val="none"/>
          <w:lang w:eastAsia="zh-TW"/>
        </w:rPr>
        <w:t>条</w:t>
      </w:r>
      <w:r>
        <w:rPr>
          <w:rFonts w:hint="eastAsia" w:ascii="仿宋" w:hAnsi="仿宋" w:eastAsia="仿宋" w:cs="仿宋"/>
          <w:b/>
          <w:bCs/>
          <w:color w:val="auto"/>
          <w:sz w:val="32"/>
          <w:szCs w:val="32"/>
          <w:highlight w:val="none"/>
        </w:rPr>
        <w:t xml:space="preserve"> </w:t>
      </w:r>
      <w:r>
        <w:rPr>
          <w:rFonts w:hint="eastAsia" w:ascii="仿宋" w:hAnsi="仿宋" w:eastAsia="仿宋" w:cs="仿宋"/>
          <w:color w:val="auto"/>
          <w:sz w:val="32"/>
          <w:szCs w:val="32"/>
          <w:highlight w:val="none"/>
          <w:lang w:eastAsia="zh-CN"/>
        </w:rPr>
        <w:t>期货公司会员、境外经纪机构</w:t>
      </w:r>
      <w:r>
        <w:rPr>
          <w:rFonts w:hint="eastAsia" w:ascii="仿宋" w:hAnsi="仿宋" w:eastAsia="仿宋" w:cs="仿宋"/>
          <w:bCs/>
          <w:color w:val="auto"/>
          <w:sz w:val="32"/>
          <w:szCs w:val="32"/>
          <w:highlight w:val="none"/>
          <w:lang w:eastAsia="zh-CN"/>
        </w:rPr>
        <w:t>、程序化交易者应当确保用于程序化交易的技术系统符合中国证监会有关规定及交易所业务规则，遵循合规审慎、风险可控原则，不得影响交易所系统安全和市场公平，不得侵害其他交易者的合法权益。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color w:val="auto"/>
          <w:sz w:val="32"/>
          <w:szCs w:val="32"/>
          <w:highlight w:val="none"/>
          <w:lang w:eastAsia="zh-CN"/>
        </w:rPr>
        <w:t>期货公司会员、境外经纪机构</w:t>
      </w:r>
      <w:r>
        <w:rPr>
          <w:rFonts w:hint="eastAsia" w:ascii="仿宋" w:hAnsi="仿宋" w:eastAsia="仿宋" w:cs="仿宋"/>
          <w:bCs/>
          <w:color w:val="auto"/>
          <w:sz w:val="32"/>
          <w:szCs w:val="32"/>
          <w:highlight w:val="none"/>
          <w:lang w:eastAsia="zh-CN"/>
        </w:rPr>
        <w:t>应当将系统外部接入管理纳入合规风控体系，建立健全接入测试、交易监测、异常处理、应急处置、退出安排等全流程管理机制。</w:t>
      </w:r>
    </w:p>
    <w:p>
      <w:pPr>
        <w:keepNext w:val="0"/>
        <w:keepLines w:val="0"/>
        <w:pageBreakBefore w:val="0"/>
        <w:widowControl w:val="0"/>
        <w:numPr>
          <w:ilvl w:val="0"/>
          <w:numId w:val="0"/>
        </w:numPr>
        <w:kinsoku/>
        <w:wordWrap/>
        <w:overflowPunct/>
        <w:topLinePunct w:val="0"/>
        <w:autoSpaceDE/>
        <w:autoSpaceDN/>
        <w:bidi w:val="0"/>
        <w:adjustRightInd/>
        <w:snapToGrid/>
        <w:ind w:firstLine="642" w:firstLineChars="200"/>
        <w:jc w:val="both"/>
        <w:textAlignment w:val="auto"/>
        <w:rPr>
          <w:rFonts w:hint="eastAsia" w:ascii="仿宋" w:hAnsi="仿宋" w:eastAsia="仿宋" w:cs="仿宋"/>
          <w:bCs/>
          <w:color w:val="auto"/>
          <w:sz w:val="32"/>
          <w:szCs w:val="32"/>
          <w:highlight w:val="none"/>
          <w:lang w:val="en-US" w:eastAsia="zh-CN"/>
        </w:rPr>
      </w:pPr>
      <w:r>
        <w:rPr>
          <w:rFonts w:hint="eastAsia" w:ascii="仿宋" w:hAnsi="仿宋" w:eastAsia="仿宋" w:cs="仿宋"/>
          <w:b/>
          <w:bCs/>
          <w:color w:val="auto"/>
          <w:sz w:val="32"/>
          <w:szCs w:val="32"/>
          <w:highlight w:val="none"/>
          <w:lang w:eastAsia="zh-CN"/>
        </w:rPr>
        <w:t>第十七条</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val="0"/>
          <w:bCs w:val="0"/>
          <w:color w:val="auto"/>
          <w:sz w:val="32"/>
          <w:szCs w:val="32"/>
          <w:highlight w:val="none"/>
          <w:lang w:eastAsia="zh-CN"/>
        </w:rPr>
        <w:t>交易者</w:t>
      </w:r>
      <w:r>
        <w:rPr>
          <w:rFonts w:hint="eastAsia" w:ascii="仿宋" w:hAnsi="仿宋" w:eastAsia="仿宋" w:cs="仿宋"/>
          <w:bCs/>
          <w:color w:val="auto"/>
          <w:sz w:val="32"/>
          <w:szCs w:val="32"/>
          <w:highlight w:val="none"/>
          <w:lang w:eastAsia="zh-CN"/>
        </w:rPr>
        <w:t>用于</w:t>
      </w:r>
      <w:r>
        <w:rPr>
          <w:rFonts w:hint="eastAsia" w:ascii="仿宋" w:hAnsi="仿宋" w:eastAsia="仿宋" w:cs="仿宋"/>
          <w:bCs/>
          <w:color w:val="auto"/>
          <w:sz w:val="32"/>
          <w:szCs w:val="32"/>
          <w:highlight w:val="none"/>
          <w:lang w:val="en-US" w:eastAsia="zh-CN"/>
        </w:rPr>
        <w:t>程序化交易的技术系统应当满足下列要求：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（一）具备有效的异常监测功能，对包括系统连接状态异常、报撤单笔数异常等情形进行监测；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（二）具备有效的阈值管理功能，根据风险控制需要设置阈值，并在达到阈值后预警；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（三）具备有效的错误防范功能，按照错误类型执行相应处理策略，防范错误指令对交易所系统安全和市场秩序造成重大冲击；</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（四）具备合理有效的应急处置功能，确保在技术故障或者其他异常情况下，可暂停交易、撤销委托等；</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（五）具备完善的日志记录功能，保证业务的可追溯性；</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（六）中国证监会及交易所规定的其他要求。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color w:val="auto"/>
          <w:sz w:val="32"/>
          <w:szCs w:val="32"/>
          <w:highlight w:val="none"/>
          <w:lang w:eastAsia="zh-TW"/>
        </w:rPr>
      </w:pPr>
      <w:r>
        <w:rPr>
          <w:rFonts w:hint="eastAsia" w:ascii="仿宋" w:hAnsi="仿宋" w:eastAsia="仿宋" w:cs="仿宋"/>
          <w:b w:val="0"/>
          <w:bCs w:val="0"/>
          <w:color w:val="auto"/>
          <w:sz w:val="32"/>
          <w:szCs w:val="32"/>
          <w:highlight w:val="none"/>
          <w:lang w:eastAsia="zh-CN"/>
        </w:rPr>
        <w:t>除前款规定的要求外，</w:t>
      </w:r>
      <w:r>
        <w:rPr>
          <w:rFonts w:hint="eastAsia" w:ascii="仿宋" w:hAnsi="仿宋" w:eastAsia="仿宋" w:cs="仿宋"/>
          <w:b w:val="0"/>
          <w:bCs w:val="0"/>
          <w:color w:val="auto"/>
          <w:sz w:val="32"/>
          <w:szCs w:val="32"/>
          <w:highlight w:val="none"/>
          <w:lang w:eastAsia="zh-TW"/>
        </w:rPr>
        <w:t>非期货公司会员</w:t>
      </w:r>
      <w:r>
        <w:rPr>
          <w:rFonts w:hint="eastAsia" w:ascii="仿宋" w:hAnsi="仿宋" w:eastAsia="仿宋" w:cs="仿宋"/>
          <w:b w:val="0"/>
          <w:bCs w:val="0"/>
          <w:color w:val="auto"/>
          <w:sz w:val="32"/>
          <w:szCs w:val="32"/>
          <w:highlight w:val="none"/>
          <w:lang w:eastAsia="zh-CN"/>
        </w:rPr>
        <w:t>用于程序化交易的技术系统</w:t>
      </w:r>
      <w:r>
        <w:rPr>
          <w:rFonts w:hint="eastAsia" w:ascii="仿宋" w:hAnsi="仿宋" w:eastAsia="仿宋" w:cs="仿宋"/>
          <w:b w:val="0"/>
          <w:bCs w:val="0"/>
          <w:color w:val="auto"/>
          <w:sz w:val="32"/>
          <w:szCs w:val="32"/>
          <w:highlight w:val="none"/>
          <w:lang w:eastAsia="zh-TW"/>
        </w:rPr>
        <w:t>还应当满足下列要求：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color w:val="auto"/>
          <w:sz w:val="32"/>
          <w:szCs w:val="32"/>
          <w:highlight w:val="none"/>
          <w:lang w:eastAsia="zh-TW"/>
        </w:rPr>
      </w:pPr>
      <w:r>
        <w:rPr>
          <w:rFonts w:hint="eastAsia" w:ascii="仿宋" w:hAnsi="仿宋" w:eastAsia="仿宋" w:cs="仿宋"/>
          <w:b w:val="0"/>
          <w:bCs w:val="0"/>
          <w:color w:val="auto"/>
          <w:sz w:val="32"/>
          <w:szCs w:val="32"/>
          <w:highlight w:val="none"/>
          <w:lang w:eastAsia="zh-TW"/>
        </w:rPr>
        <w:t>（一）具备有效的验资验仓功能，传递交易指令前，需实时、准确验证账户资金、持仓，确保交易指令合法有效；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color w:val="auto"/>
          <w:sz w:val="32"/>
          <w:szCs w:val="32"/>
          <w:highlight w:val="none"/>
          <w:lang w:eastAsia="zh-TW"/>
        </w:rPr>
      </w:pPr>
      <w:r>
        <w:rPr>
          <w:rFonts w:hint="eastAsia" w:ascii="仿宋" w:hAnsi="仿宋" w:eastAsia="仿宋" w:cs="仿宋"/>
          <w:b w:val="0"/>
          <w:bCs w:val="0"/>
          <w:color w:val="auto"/>
          <w:sz w:val="32"/>
          <w:szCs w:val="32"/>
          <w:highlight w:val="none"/>
          <w:lang w:eastAsia="zh-TW"/>
        </w:rPr>
        <w:t>（二）接入交易所功能应当严格按照交易所会员接口开发相关技术要求进行设计开发和使用。</w:t>
      </w:r>
    </w:p>
    <w:p>
      <w:pPr>
        <w:keepNext w:val="0"/>
        <w:keepLines w:val="0"/>
        <w:pageBreakBefore w:val="0"/>
        <w:widowControl w:val="0"/>
        <w:numPr>
          <w:ilvl w:val="0"/>
          <w:numId w:val="0"/>
        </w:numPr>
        <w:kinsoku/>
        <w:wordWrap/>
        <w:overflowPunct/>
        <w:topLinePunct w:val="0"/>
        <w:autoSpaceDE/>
        <w:autoSpaceDN/>
        <w:bidi w:val="0"/>
        <w:adjustRightInd/>
        <w:snapToGrid/>
        <w:ind w:firstLine="642" w:firstLineChars="200"/>
        <w:jc w:val="both"/>
        <w:textAlignment w:val="auto"/>
        <w:rPr>
          <w:rFonts w:hint="eastAsia" w:ascii="仿宋" w:hAnsi="仿宋" w:eastAsia="仿宋" w:cs="仿宋"/>
          <w:bCs/>
          <w:color w:val="auto"/>
          <w:sz w:val="32"/>
          <w:szCs w:val="32"/>
          <w:highlight w:val="none"/>
          <w:lang w:val="en-US" w:eastAsia="zh-CN"/>
        </w:rPr>
      </w:pPr>
      <w:r>
        <w:rPr>
          <w:rFonts w:hint="eastAsia" w:ascii="仿宋" w:hAnsi="仿宋" w:eastAsia="仿宋" w:cs="仿宋"/>
          <w:b/>
          <w:bCs/>
          <w:color w:val="auto"/>
          <w:sz w:val="32"/>
          <w:szCs w:val="32"/>
          <w:highlight w:val="none"/>
          <w:lang w:eastAsia="zh-TW"/>
        </w:rPr>
        <w:t>第</w:t>
      </w:r>
      <w:r>
        <w:rPr>
          <w:rFonts w:hint="eastAsia" w:ascii="仿宋" w:hAnsi="仿宋" w:eastAsia="仿宋" w:cs="仿宋"/>
          <w:b/>
          <w:bCs/>
          <w:color w:val="auto"/>
          <w:sz w:val="32"/>
          <w:szCs w:val="32"/>
          <w:highlight w:val="none"/>
          <w:lang w:eastAsia="zh-CN"/>
        </w:rPr>
        <w:t>十八</w:t>
      </w:r>
      <w:r>
        <w:rPr>
          <w:rFonts w:hint="eastAsia" w:ascii="仿宋" w:hAnsi="仿宋" w:eastAsia="仿宋" w:cs="仿宋"/>
          <w:b/>
          <w:bCs/>
          <w:color w:val="auto"/>
          <w:sz w:val="32"/>
          <w:szCs w:val="32"/>
          <w:highlight w:val="none"/>
          <w:lang w:eastAsia="zh-TW"/>
        </w:rPr>
        <w:t>条</w:t>
      </w:r>
      <w:r>
        <w:rPr>
          <w:rFonts w:hint="eastAsia" w:ascii="仿宋" w:hAnsi="仿宋" w:eastAsia="仿宋" w:cs="仿宋"/>
          <w:b/>
          <w:bCs/>
          <w:color w:val="auto"/>
          <w:sz w:val="32"/>
          <w:szCs w:val="32"/>
          <w:highlight w:val="none"/>
        </w:rPr>
        <w:t xml:space="preserve"> </w:t>
      </w:r>
      <w:r>
        <w:rPr>
          <w:rFonts w:hint="eastAsia" w:ascii="仿宋" w:hAnsi="仿宋" w:eastAsia="仿宋" w:cs="仿宋"/>
          <w:b w:val="0"/>
          <w:bCs w:val="0"/>
          <w:color w:val="auto"/>
          <w:sz w:val="32"/>
          <w:szCs w:val="32"/>
          <w:highlight w:val="none"/>
          <w:lang w:eastAsia="zh-CN"/>
        </w:rPr>
        <w:t>期货公司会员</w:t>
      </w:r>
      <w:r>
        <w:rPr>
          <w:rFonts w:hint="eastAsia" w:ascii="仿宋" w:hAnsi="仿宋" w:eastAsia="仿宋" w:cs="仿宋"/>
          <w:bCs/>
          <w:color w:val="auto"/>
          <w:sz w:val="32"/>
          <w:szCs w:val="32"/>
          <w:highlight w:val="none"/>
          <w:lang w:val="en-US" w:eastAsia="zh-CN"/>
        </w:rPr>
        <w:t>使用的交易信息系统应当满足下列要求：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（一）系统性能、容量应当与业务及市场需求相适应，保障安全持续稳定运行；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（二）具备有效的外部接入认证管理功能，识别和验证外部接入技术系统、客户，拒绝未经认证的外部系统、客户接入；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（三）具备有效的验资验仓功能，传递交易指令前，需实时、准确验证交易者账户资金、持仓，确保交易指令合法有效；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（四）具备有效的权限控制功能，能够对不同的交易者设置交易权限；</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（五）具备有效的异常监测功能，对包括错单申报、反复登录、报撤单笔数异常等异常情形进行监测；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（六）具备有效的阈值管理功能，根据风险控制需要设置阈值，并在达到阈值后预警；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（七）具备有效的错误处理功能，按照错误类型执行相应处理策略，防范因系统异常对交易所系统安全和市场秩序造成重大冲击；</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（八）具备合理有效的应急处置功能，确保在技术故障或者其他异常情况下，可批量撤销申报、暂停申报等；</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（九）具备完善的日志记录功能，保证业务的可追溯性；</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（十）接入交易所功能应当严格按照交易所会员接口开发相关技术要求进行设计开发和使用；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（十一）中国证监会及交易所规定的其他要求。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境外经纪机构用于程序化交易的技术系统应当满足前款第（一）至第（九）项、第（十一）项要求。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jc w:val="both"/>
        <w:textAlignment w:val="auto"/>
        <w:rPr>
          <w:rFonts w:hint="eastAsia" w:ascii="仿宋" w:hAnsi="仿宋" w:eastAsia="仿宋" w:cs="仿宋"/>
          <w:bCs/>
          <w:color w:val="auto"/>
          <w:sz w:val="32"/>
          <w:szCs w:val="32"/>
          <w:highlight w:val="none"/>
          <w:u w:val="none"/>
          <w:lang w:val="en-US" w:eastAsia="zh-CN"/>
        </w:rPr>
      </w:pPr>
      <w:r>
        <w:rPr>
          <w:rFonts w:hint="eastAsia" w:ascii="仿宋" w:hAnsi="仿宋" w:eastAsia="仿宋" w:cs="仿宋"/>
          <w:b/>
          <w:bCs/>
          <w:color w:val="auto"/>
          <w:sz w:val="32"/>
          <w:szCs w:val="32"/>
          <w:highlight w:val="none"/>
          <w:lang w:eastAsia="zh-TW"/>
        </w:rPr>
        <w:t>第</w:t>
      </w:r>
      <w:r>
        <w:rPr>
          <w:rFonts w:hint="eastAsia" w:ascii="仿宋" w:hAnsi="仿宋" w:eastAsia="仿宋" w:cs="仿宋"/>
          <w:b/>
          <w:bCs/>
          <w:color w:val="auto"/>
          <w:sz w:val="32"/>
          <w:szCs w:val="32"/>
          <w:highlight w:val="none"/>
          <w:lang w:eastAsia="zh-CN"/>
        </w:rPr>
        <w:t>十九</w:t>
      </w:r>
      <w:r>
        <w:rPr>
          <w:rFonts w:hint="eastAsia" w:ascii="仿宋" w:hAnsi="仿宋" w:eastAsia="仿宋" w:cs="仿宋"/>
          <w:b/>
          <w:bCs/>
          <w:color w:val="auto"/>
          <w:sz w:val="32"/>
          <w:szCs w:val="32"/>
          <w:highlight w:val="none"/>
          <w:lang w:eastAsia="zh-TW"/>
        </w:rPr>
        <w:t>条</w:t>
      </w:r>
      <w:r>
        <w:rPr>
          <w:rFonts w:hint="eastAsia" w:ascii="仿宋" w:hAnsi="仿宋" w:eastAsia="仿宋" w:cs="仿宋"/>
          <w:b/>
          <w:bCs/>
          <w:color w:val="auto"/>
          <w:sz w:val="32"/>
          <w:szCs w:val="32"/>
          <w:highlight w:val="none"/>
        </w:rPr>
        <w:t xml:space="preserve"> </w:t>
      </w:r>
      <w:r>
        <w:rPr>
          <w:rFonts w:hint="eastAsia" w:ascii="仿宋" w:hAnsi="仿宋" w:eastAsia="仿宋" w:cs="仿宋"/>
          <w:bCs/>
          <w:color w:val="auto"/>
          <w:sz w:val="32"/>
          <w:szCs w:val="32"/>
          <w:highlight w:val="none"/>
          <w:lang w:val="en-US" w:eastAsia="zh-CN"/>
        </w:rPr>
        <w:t>客户和境外经纪机构用于程序化交易的技术系统，在接入</w:t>
      </w:r>
      <w:r>
        <w:rPr>
          <w:rFonts w:hint="eastAsia" w:ascii="仿宋" w:hAnsi="仿宋" w:eastAsia="仿宋" w:cs="仿宋"/>
          <w:color w:val="auto"/>
          <w:sz w:val="32"/>
          <w:szCs w:val="32"/>
          <w:highlight w:val="none"/>
          <w:lang w:eastAsia="zh-CN"/>
        </w:rPr>
        <w:t>期货公司会员</w:t>
      </w:r>
      <w:r>
        <w:rPr>
          <w:rFonts w:hint="eastAsia" w:ascii="仿宋" w:hAnsi="仿宋" w:eastAsia="仿宋" w:cs="仿宋"/>
          <w:bCs/>
          <w:color w:val="auto"/>
          <w:sz w:val="32"/>
          <w:szCs w:val="32"/>
          <w:highlight w:val="none"/>
          <w:lang w:val="en-US" w:eastAsia="zh-CN"/>
        </w:rPr>
        <w:t>前，应当由</w:t>
      </w:r>
      <w:r>
        <w:rPr>
          <w:rFonts w:hint="eastAsia" w:ascii="仿宋" w:hAnsi="仿宋" w:eastAsia="仿宋" w:cs="仿宋"/>
          <w:color w:val="auto"/>
          <w:sz w:val="32"/>
          <w:szCs w:val="32"/>
          <w:highlight w:val="none"/>
          <w:lang w:eastAsia="zh-CN"/>
        </w:rPr>
        <w:t>期货公司会员</w:t>
      </w:r>
      <w:r>
        <w:rPr>
          <w:rFonts w:hint="eastAsia" w:ascii="仿宋" w:hAnsi="仿宋" w:eastAsia="仿宋" w:cs="仿宋"/>
          <w:bCs/>
          <w:color w:val="auto"/>
          <w:sz w:val="32"/>
          <w:szCs w:val="32"/>
          <w:highlight w:val="none"/>
          <w:lang w:val="en-US" w:eastAsia="zh-CN"/>
        </w:rPr>
        <w:t>对其技术系统进行测试，</w:t>
      </w:r>
      <w:r>
        <w:rPr>
          <w:rFonts w:hint="eastAsia" w:ascii="仿宋" w:hAnsi="仿宋" w:eastAsia="仿宋" w:cs="仿宋"/>
          <w:color w:val="auto"/>
          <w:sz w:val="32"/>
          <w:szCs w:val="32"/>
          <w:highlight w:val="none"/>
          <w:lang w:eastAsia="zh-CN"/>
        </w:rPr>
        <w:t>期货公司会员</w:t>
      </w:r>
      <w:r>
        <w:rPr>
          <w:rFonts w:hint="eastAsia" w:ascii="仿宋" w:hAnsi="仿宋" w:eastAsia="仿宋" w:cs="仿宋"/>
          <w:bCs/>
          <w:color w:val="auto"/>
          <w:sz w:val="32"/>
          <w:szCs w:val="32"/>
          <w:highlight w:val="none"/>
          <w:u w:val="none"/>
          <w:lang w:val="en-US" w:eastAsia="zh-CN"/>
        </w:rPr>
        <w:t>可以自行或者委托第三方测试机构进行测试。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Cs/>
          <w:color w:val="auto"/>
          <w:sz w:val="32"/>
          <w:szCs w:val="32"/>
          <w:highlight w:val="none"/>
          <w:lang w:val="en-US" w:eastAsia="zh-CN"/>
        </w:rPr>
      </w:pPr>
      <w:r>
        <w:rPr>
          <w:rFonts w:hint="eastAsia" w:ascii="仿宋" w:hAnsi="仿宋" w:eastAsia="仿宋" w:cs="仿宋"/>
          <w:color w:val="auto"/>
          <w:sz w:val="32"/>
          <w:szCs w:val="32"/>
          <w:highlight w:val="none"/>
          <w:lang w:eastAsia="zh-CN"/>
        </w:rPr>
        <w:t>期货公司会员</w:t>
      </w:r>
      <w:r>
        <w:rPr>
          <w:rFonts w:hint="eastAsia" w:ascii="仿宋" w:hAnsi="仿宋" w:eastAsia="仿宋" w:cs="仿宋"/>
          <w:bCs/>
          <w:color w:val="auto"/>
          <w:sz w:val="32"/>
          <w:szCs w:val="32"/>
          <w:highlight w:val="none"/>
          <w:lang w:val="en-US" w:eastAsia="zh-CN"/>
        </w:rPr>
        <w:t>应当妥善保存前款要求的测试记录，保存期限不得少于二十年。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jc w:val="both"/>
        <w:textAlignment w:val="auto"/>
        <w:rPr>
          <w:rFonts w:hint="eastAsia" w:ascii="仿宋" w:hAnsi="仿宋" w:eastAsia="仿宋" w:cs="仿宋"/>
          <w:bCs/>
          <w:color w:val="auto"/>
          <w:sz w:val="32"/>
          <w:szCs w:val="32"/>
          <w:highlight w:val="none"/>
          <w:lang w:val="en-US" w:eastAsia="zh-CN"/>
        </w:rPr>
      </w:pPr>
      <w:r>
        <w:rPr>
          <w:rFonts w:hint="eastAsia" w:ascii="仿宋" w:hAnsi="仿宋" w:eastAsia="仿宋" w:cs="仿宋"/>
          <w:b/>
          <w:bCs/>
          <w:color w:val="auto"/>
          <w:sz w:val="32"/>
          <w:szCs w:val="32"/>
          <w:highlight w:val="none"/>
          <w:lang w:eastAsia="zh-CN"/>
        </w:rPr>
        <w:t>第二十条</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Cs/>
          <w:color w:val="auto"/>
          <w:sz w:val="32"/>
          <w:szCs w:val="32"/>
          <w:highlight w:val="none"/>
          <w:lang w:val="en-US" w:eastAsia="zh-CN"/>
        </w:rPr>
        <w:t>期货公司会员为程序化交易提供期货经纪业务服务前，应当建立独立于生产环境的仿真测试环境，对自身的交易信息系统进行测试。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期货公司会员应当妥善保存前款要求的测试记录，保存期限不得少于二十年。</w:t>
      </w:r>
    </w:p>
    <w:p>
      <w:pPr>
        <w:keepNext w:val="0"/>
        <w:keepLines w:val="0"/>
        <w:pageBreakBefore w:val="0"/>
        <w:widowControl w:val="0"/>
        <w:numPr>
          <w:ilvl w:val="0"/>
          <w:numId w:val="0"/>
        </w:numPr>
        <w:kinsoku/>
        <w:wordWrap/>
        <w:overflowPunct/>
        <w:topLinePunct w:val="0"/>
        <w:autoSpaceDE/>
        <w:autoSpaceDN/>
        <w:bidi w:val="0"/>
        <w:adjustRightInd/>
        <w:snapToGrid/>
        <w:ind w:firstLine="642" w:firstLineChars="200"/>
        <w:jc w:val="both"/>
        <w:textAlignment w:val="auto"/>
        <w:rPr>
          <w:rFonts w:hint="eastAsia" w:ascii="仿宋" w:hAnsi="仿宋" w:eastAsia="仿宋" w:cs="仿宋"/>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 xml:space="preserve">第二十一条 </w:t>
      </w:r>
      <w:r>
        <w:rPr>
          <w:rFonts w:hint="eastAsia" w:ascii="仿宋" w:hAnsi="仿宋" w:eastAsia="仿宋" w:cs="仿宋"/>
          <w:color w:val="auto"/>
          <w:sz w:val="32"/>
          <w:szCs w:val="32"/>
          <w:highlight w:val="none"/>
          <w:lang w:eastAsia="zh-CN"/>
        </w:rPr>
        <w:t>期货公司会员</w:t>
      </w:r>
      <w:r>
        <w:rPr>
          <w:rFonts w:hint="eastAsia" w:ascii="仿宋" w:hAnsi="仿宋" w:eastAsia="仿宋" w:cs="仿宋"/>
          <w:bCs/>
          <w:color w:val="auto"/>
          <w:sz w:val="32"/>
          <w:szCs w:val="32"/>
          <w:highlight w:val="none"/>
          <w:lang w:val="en-US" w:eastAsia="zh-CN"/>
        </w:rPr>
        <w:t>不得将交易信息系统与客户、境外经纪机构的技术系统部署于同一物理设备，不得将交易信息系统的管理权限开放给客户、境外经纪机构、信息技术系统服务机构，不得将客户、境外经纪机构的技术系统直接接入交易所交易系统。</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程序化交易者不得利用系统对接非法经营期货业务，不得招揽交易者或者处理第三方交易指令，不得转让、出借自身技术系统或者为第三方提供系统外部接入。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bCs/>
          <w:color w:val="auto"/>
          <w:sz w:val="32"/>
          <w:szCs w:val="32"/>
          <w:highlight w:val="none"/>
          <w:lang w:val="en-US" w:eastAsia="zh-CN"/>
        </w:rPr>
      </w:pPr>
    </w:p>
    <w:p>
      <w:pPr>
        <w:spacing w:line="240" w:lineRule="auto"/>
        <w:ind w:firstLine="0" w:firstLineChars="0"/>
        <w:contextualSpacing/>
        <w:jc w:val="center"/>
        <w:rPr>
          <w:rFonts w:hint="default" w:ascii="Times New Roman" w:hAnsi="Times New Roman" w:eastAsia="仿宋" w:cs="Times New Roman"/>
          <w:color w:val="auto"/>
          <w:sz w:val="32"/>
          <w:szCs w:val="22"/>
          <w:highlight w:val="none"/>
          <w:lang w:eastAsia="zh-CN"/>
        </w:rPr>
      </w:pPr>
      <w:r>
        <w:rPr>
          <w:rFonts w:hint="default" w:ascii="Times New Roman" w:hAnsi="Times New Roman" w:eastAsia="黑体" w:cs="Times New Roman"/>
          <w:color w:val="auto"/>
          <w:kern w:val="2"/>
          <w:sz w:val="32"/>
          <w:szCs w:val="32"/>
          <w:highlight w:val="none"/>
          <w:lang w:val="en-US" w:eastAsia="zh-CN" w:bidi="ar-SA"/>
        </w:rPr>
        <w:t>第四章  主机托管和席位管理</w:t>
      </w:r>
    </w:p>
    <w:p>
      <w:pPr>
        <w:widowControl w:val="0"/>
        <w:spacing w:line="240" w:lineRule="auto"/>
        <w:ind w:firstLine="642"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xml:space="preserve">第二十二条 </w:t>
      </w:r>
      <w:r>
        <w:rPr>
          <w:rFonts w:hint="eastAsia" w:ascii="仿宋" w:hAnsi="仿宋" w:eastAsia="仿宋" w:cs="仿宋"/>
          <w:color w:val="auto"/>
          <w:kern w:val="2"/>
          <w:sz w:val="32"/>
          <w:szCs w:val="32"/>
          <w:highlight w:val="none"/>
          <w:lang w:val="en-US" w:eastAsia="zh-CN" w:bidi="ar-SA"/>
        </w:rPr>
        <w:t>交易所实行主机托管信息报告制度和交易席位管理制度，并按照安全、公平、合理原则提供主机托管服务和分配交易席位。</w:t>
      </w:r>
    </w:p>
    <w:p>
      <w:pPr>
        <w:widowControl w:val="0"/>
        <w:numPr>
          <w:ilvl w:val="0"/>
          <w:numId w:val="0"/>
        </w:numPr>
        <w:spacing w:line="240" w:lineRule="auto"/>
        <w:ind w:firstLine="640" w:firstLineChars="200"/>
        <w:jc w:val="both"/>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交易所每半年对主机托管资源和交易席位使用情况进行核查</w:t>
      </w:r>
      <w:r>
        <w:rPr>
          <w:rFonts w:hint="eastAsia" w:ascii="仿宋" w:hAnsi="仿宋" w:eastAsia="仿宋" w:cs="仿宋"/>
          <w:color w:val="auto"/>
          <w:kern w:val="0"/>
          <w:sz w:val="32"/>
          <w:szCs w:val="32"/>
          <w:highlight w:val="none"/>
          <w:lang w:val="en-US" w:eastAsia="zh-CN" w:bidi="ar-SA"/>
        </w:rPr>
        <w:t>。</w:t>
      </w:r>
    </w:p>
    <w:p>
      <w:pPr>
        <w:widowControl w:val="0"/>
        <w:numPr>
          <w:ilvl w:val="0"/>
          <w:numId w:val="0"/>
        </w:numPr>
        <w:spacing w:line="240" w:lineRule="auto"/>
        <w:ind w:firstLine="642"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xml:space="preserve">第二十三条 </w:t>
      </w:r>
      <w:r>
        <w:rPr>
          <w:rFonts w:hint="eastAsia" w:ascii="仿宋" w:hAnsi="仿宋" w:eastAsia="仿宋" w:cs="仿宋"/>
          <w:color w:val="auto"/>
          <w:kern w:val="2"/>
          <w:sz w:val="32"/>
          <w:szCs w:val="32"/>
          <w:highlight w:val="none"/>
          <w:lang w:val="en-US" w:eastAsia="zh-CN" w:bidi="ar-SA"/>
        </w:rPr>
        <w:t>期货公司会员应当在每次申请</w:t>
      </w:r>
      <w:r>
        <w:rPr>
          <w:rFonts w:hint="eastAsia" w:ascii="仿宋" w:hAnsi="仿宋" w:eastAsia="仿宋" w:cs="仿宋"/>
          <w:strike w:val="0"/>
          <w:color w:val="auto"/>
          <w:kern w:val="2"/>
          <w:sz w:val="32"/>
          <w:szCs w:val="32"/>
          <w:highlight w:val="none"/>
          <w:lang w:val="en-US" w:eastAsia="zh-CN" w:bidi="ar-SA"/>
        </w:rPr>
        <w:t>新增交易所</w:t>
      </w:r>
      <w:r>
        <w:rPr>
          <w:rFonts w:hint="eastAsia" w:ascii="仿宋" w:hAnsi="仿宋" w:eastAsia="仿宋" w:cs="仿宋"/>
          <w:color w:val="auto"/>
          <w:kern w:val="2"/>
          <w:sz w:val="32"/>
          <w:szCs w:val="32"/>
          <w:highlight w:val="none"/>
          <w:lang w:val="en-US" w:eastAsia="zh-CN" w:bidi="ar-SA"/>
        </w:rPr>
        <w:t>主机托管资源时向交易所报告。报告内容包括本机构相关管理制度及执行情况、交易软件信息和部署情况、使用交易所主机托管资源的客户情况等。</w:t>
      </w:r>
    </w:p>
    <w:p>
      <w:pPr>
        <w:widowControl w:val="0"/>
        <w:numPr>
          <w:ilvl w:val="0"/>
          <w:numId w:val="0"/>
        </w:numPr>
        <w:spacing w:line="240" w:lineRule="auto"/>
        <w:ind w:firstLine="640"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报告信息发生重大变更的，期货公司会员应当在相关重大变更发生后5个交易日内向交易所进行变更报告。</w:t>
      </w:r>
    </w:p>
    <w:p>
      <w:pPr>
        <w:widowControl w:val="0"/>
        <w:numPr>
          <w:ilvl w:val="0"/>
          <w:numId w:val="0"/>
        </w:numPr>
        <w:spacing w:line="240" w:lineRule="auto"/>
        <w:ind w:firstLine="640"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主机托管信息报告的具体内容、方式等，由交易所另行公布。</w:t>
      </w:r>
    </w:p>
    <w:p>
      <w:pPr>
        <w:widowControl w:val="0"/>
        <w:spacing w:line="240" w:lineRule="auto"/>
        <w:ind w:firstLine="642"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xml:space="preserve">第二十四条 </w:t>
      </w:r>
      <w:r>
        <w:rPr>
          <w:rFonts w:hint="eastAsia" w:ascii="仿宋" w:hAnsi="仿宋" w:eastAsia="仿宋" w:cs="仿宋"/>
          <w:color w:val="auto"/>
          <w:kern w:val="2"/>
          <w:sz w:val="32"/>
          <w:szCs w:val="32"/>
          <w:highlight w:val="none"/>
          <w:lang w:val="en-US" w:eastAsia="zh-CN" w:bidi="ar-SA"/>
        </w:rPr>
        <w:t>期货公司会员应当建立主机托管资源管理制度，合理使用交易所主机托管资源，保障交易公平，并向交易所报告程序化交易客户使用交易所主机托管资源的情况。</w:t>
      </w:r>
    </w:p>
    <w:p>
      <w:pPr>
        <w:widowControl w:val="0"/>
        <w:spacing w:line="240" w:lineRule="auto"/>
        <w:ind w:firstLine="642"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xml:space="preserve">第二十五条 </w:t>
      </w:r>
      <w:r>
        <w:rPr>
          <w:rFonts w:hint="eastAsia" w:ascii="仿宋" w:hAnsi="仿宋" w:eastAsia="仿宋" w:cs="仿宋"/>
          <w:color w:val="auto"/>
          <w:kern w:val="2"/>
          <w:sz w:val="32"/>
          <w:szCs w:val="32"/>
          <w:highlight w:val="none"/>
          <w:lang w:val="en-US" w:eastAsia="zh-CN" w:bidi="ar-SA"/>
        </w:rPr>
        <w:t>对频繁发生异常交易行为、技术系统出现重大技术故障或者违反交易所相关规定的程序化交易客户，期货公司会员不得向其提供交易所主机托管服务。具体要求由交易所另行公布。</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eastAsia" w:ascii="仿宋" w:hAnsi="仿宋" w:eastAsia="仿宋" w:cs="仿宋"/>
          <w:b w:val="0"/>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xml:space="preserve">第二十六条 </w:t>
      </w:r>
      <w:r>
        <w:rPr>
          <w:rFonts w:hint="eastAsia" w:ascii="仿宋" w:hAnsi="仿宋" w:eastAsia="仿宋" w:cs="仿宋"/>
          <w:bCs/>
          <w:color w:val="auto"/>
          <w:kern w:val="2"/>
          <w:sz w:val="32"/>
          <w:szCs w:val="32"/>
          <w:highlight w:val="none"/>
          <w:lang w:val="en-US" w:eastAsia="zh-CN" w:bidi="ar-SA"/>
        </w:rPr>
        <w:t>期货公司</w:t>
      </w:r>
      <w:r>
        <w:rPr>
          <w:rFonts w:hint="eastAsia" w:ascii="仿宋" w:hAnsi="仿宋" w:eastAsia="仿宋" w:cs="仿宋"/>
          <w:b w:val="0"/>
          <w:bCs/>
          <w:color w:val="auto"/>
          <w:kern w:val="2"/>
          <w:sz w:val="32"/>
          <w:szCs w:val="32"/>
          <w:highlight w:val="none"/>
          <w:lang w:val="en-US" w:eastAsia="zh-CN" w:bidi="ar-SA"/>
        </w:rPr>
        <w:t>会员应当建立交易席位管理制度，公平分配交易席位，并向交易所报告程序化交易客户使用交易席位的情况。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Cs/>
          <w:color w:val="auto"/>
          <w:sz w:val="32"/>
          <w:szCs w:val="32"/>
          <w:highlight w:val="none"/>
          <w:lang w:val="en-US" w:eastAsia="zh-CN"/>
        </w:rPr>
      </w:pPr>
    </w:p>
    <w:p>
      <w:pPr>
        <w:widowControl w:val="0"/>
        <w:spacing w:line="240" w:lineRule="auto"/>
        <w:ind w:firstLine="0" w:firstLineChars="0"/>
        <w:jc w:val="center"/>
        <w:rPr>
          <w:rFonts w:hint="default" w:ascii="Times New Roman" w:hAnsi="Times New Roman" w:eastAsia="黑体" w:cs="Times New Roman"/>
          <w:bCs/>
          <w:color w:val="auto"/>
          <w:kern w:val="2"/>
          <w:sz w:val="32"/>
          <w:szCs w:val="32"/>
          <w:highlight w:val="none"/>
          <w:lang w:val="en-US" w:eastAsia="zh-CN" w:bidi="ar-SA"/>
        </w:rPr>
      </w:pPr>
      <w:r>
        <w:rPr>
          <w:rFonts w:hint="default" w:ascii="Times New Roman" w:hAnsi="Times New Roman" w:eastAsia="黑体" w:cs="Times New Roman"/>
          <w:bCs/>
          <w:color w:val="auto"/>
          <w:kern w:val="2"/>
          <w:sz w:val="32"/>
          <w:szCs w:val="32"/>
          <w:highlight w:val="none"/>
          <w:lang w:val="en-US" w:eastAsia="zh-CN" w:bidi="ar-SA"/>
        </w:rPr>
        <w:t>第五章  交易监测与风险管理</w:t>
      </w:r>
    </w:p>
    <w:p>
      <w:pPr>
        <w:widowControl w:val="0"/>
        <w:spacing w:line="240" w:lineRule="auto"/>
        <w:ind w:firstLine="642"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xml:space="preserve">第二十七条 </w:t>
      </w:r>
      <w:r>
        <w:rPr>
          <w:rFonts w:hint="eastAsia" w:ascii="仿宋" w:hAnsi="仿宋" w:eastAsia="仿宋" w:cs="仿宋"/>
          <w:color w:val="auto"/>
          <w:kern w:val="2"/>
          <w:sz w:val="32"/>
          <w:szCs w:val="32"/>
          <w:highlight w:val="none"/>
          <w:lang w:val="en-US" w:eastAsia="zh-CN" w:bidi="ar-SA"/>
        </w:rPr>
        <w:t>程序化交易者应当提高合规意识，加强风险防控。</w:t>
      </w:r>
    </w:p>
    <w:p>
      <w:pPr>
        <w:widowControl w:val="0"/>
        <w:spacing w:line="240" w:lineRule="auto"/>
        <w:ind w:firstLine="640"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从事程序化交易的法人、非法人组织，应当建立并有效执行程序化交易内部控制、风险管理、合规管理等制度。</w:t>
      </w:r>
    </w:p>
    <w:p>
      <w:pPr>
        <w:widowControl w:val="0"/>
        <w:spacing w:line="240" w:lineRule="auto"/>
        <w:ind w:firstLine="642"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xml:space="preserve">第二十八条 </w:t>
      </w:r>
      <w:r>
        <w:rPr>
          <w:rFonts w:hint="eastAsia" w:ascii="仿宋" w:hAnsi="仿宋" w:eastAsia="仿宋" w:cs="仿宋"/>
          <w:b w:val="0"/>
          <w:bCs w:val="0"/>
          <w:color w:val="auto"/>
          <w:kern w:val="2"/>
          <w:sz w:val="32"/>
          <w:szCs w:val="32"/>
          <w:highlight w:val="none"/>
          <w:lang w:val="en-US" w:eastAsia="zh-CN" w:bidi="ar-SA"/>
        </w:rPr>
        <w:t>期货公司会员、境外经纪机构</w:t>
      </w:r>
      <w:r>
        <w:rPr>
          <w:rFonts w:hint="eastAsia" w:ascii="仿宋" w:hAnsi="仿宋" w:eastAsia="仿宋" w:cs="仿宋"/>
          <w:color w:val="auto"/>
          <w:kern w:val="2"/>
          <w:sz w:val="32"/>
          <w:szCs w:val="32"/>
          <w:highlight w:val="none"/>
          <w:lang w:val="en-US" w:eastAsia="zh-CN" w:bidi="ar-SA"/>
        </w:rPr>
        <w:t>应当建立并有效执行程序化交易内部控制、风险管理、合规管理等制度。</w:t>
      </w:r>
    </w:p>
    <w:p>
      <w:pPr>
        <w:widowControl w:val="0"/>
        <w:spacing w:line="240" w:lineRule="auto"/>
        <w:ind w:firstLine="640"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val="0"/>
          <w:bCs w:val="0"/>
          <w:color w:val="auto"/>
          <w:kern w:val="2"/>
          <w:sz w:val="32"/>
          <w:szCs w:val="32"/>
          <w:highlight w:val="none"/>
          <w:lang w:val="en-US" w:eastAsia="zh-CN" w:bidi="ar-SA"/>
        </w:rPr>
        <w:t>期货公司会员、境外经纪机构</w:t>
      </w:r>
      <w:r>
        <w:rPr>
          <w:rFonts w:hint="eastAsia" w:ascii="仿宋" w:hAnsi="仿宋" w:eastAsia="仿宋" w:cs="仿宋"/>
          <w:color w:val="auto"/>
          <w:kern w:val="2"/>
          <w:sz w:val="32"/>
          <w:szCs w:val="32"/>
          <w:highlight w:val="none"/>
          <w:lang w:val="en-US" w:eastAsia="zh-CN" w:bidi="ar-SA"/>
        </w:rPr>
        <w:t>应当加强对客户程序化交易行为的监控，进行程序化交易委托指令审核，及时识别、管理异常交易行为</w:t>
      </w:r>
      <w:r>
        <w:rPr>
          <w:rFonts w:hint="eastAsia" w:ascii="仿宋" w:hAnsi="仿宋" w:eastAsia="仿宋" w:cs="仿宋"/>
          <w:color w:val="auto"/>
          <w:kern w:val="0"/>
          <w:sz w:val="32"/>
          <w:szCs w:val="32"/>
          <w:highlight w:val="none"/>
          <w:lang w:val="zh-TW" w:eastAsia="zh-CN" w:bidi="zh-TW"/>
        </w:rPr>
        <w:t>，并</w:t>
      </w:r>
      <w:r>
        <w:rPr>
          <w:rFonts w:hint="eastAsia" w:ascii="仿宋" w:hAnsi="仿宋" w:eastAsia="仿宋" w:cs="仿宋"/>
          <w:color w:val="auto"/>
          <w:kern w:val="2"/>
          <w:sz w:val="32"/>
          <w:szCs w:val="32"/>
          <w:highlight w:val="none"/>
          <w:lang w:val="en-US" w:eastAsia="zh-CN" w:bidi="ar-SA"/>
        </w:rPr>
        <w:t>配合交易所采取相关措施。</w:t>
      </w:r>
    </w:p>
    <w:p>
      <w:pPr>
        <w:spacing w:line="240" w:lineRule="auto"/>
        <w:ind w:firstLine="642" w:firstLineChars="200"/>
        <w:jc w:val="both"/>
        <w:rPr>
          <w:rFonts w:hint="eastAsia" w:ascii="仿宋" w:hAnsi="仿宋" w:eastAsia="仿宋" w:cs="仿宋"/>
          <w:bCs/>
          <w:color w:val="auto"/>
          <w:sz w:val="32"/>
          <w:szCs w:val="32"/>
          <w:highlight w:val="none"/>
        </w:rPr>
      </w:pPr>
      <w:r>
        <w:rPr>
          <w:rFonts w:hint="eastAsia" w:ascii="仿宋" w:hAnsi="仿宋" w:eastAsia="仿宋" w:cs="仿宋"/>
          <w:b/>
          <w:bCs w:val="0"/>
          <w:color w:val="auto"/>
          <w:sz w:val="32"/>
          <w:szCs w:val="32"/>
          <w:highlight w:val="none"/>
        </w:rPr>
        <w:t>第</w:t>
      </w:r>
      <w:r>
        <w:rPr>
          <w:rFonts w:hint="eastAsia" w:ascii="仿宋" w:hAnsi="仿宋" w:eastAsia="仿宋" w:cs="仿宋"/>
          <w:b/>
          <w:bCs w:val="0"/>
          <w:color w:val="auto"/>
          <w:sz w:val="32"/>
          <w:szCs w:val="32"/>
          <w:highlight w:val="none"/>
          <w:lang w:eastAsia="zh-CN"/>
        </w:rPr>
        <w:t>二十九</w:t>
      </w:r>
      <w:r>
        <w:rPr>
          <w:rFonts w:hint="eastAsia" w:ascii="仿宋" w:hAnsi="仿宋" w:eastAsia="仿宋" w:cs="仿宋"/>
          <w:b/>
          <w:bCs w:val="0"/>
          <w:color w:val="auto"/>
          <w:sz w:val="32"/>
          <w:szCs w:val="32"/>
          <w:highlight w:val="none"/>
        </w:rPr>
        <w:t>条</w:t>
      </w:r>
      <w:r>
        <w:rPr>
          <w:rFonts w:hint="eastAsia" w:ascii="仿宋" w:hAnsi="仿宋" w:eastAsia="仿宋" w:cs="仿宋"/>
          <w:b/>
          <w:bCs w:val="0"/>
          <w:color w:val="auto"/>
          <w:sz w:val="32"/>
          <w:szCs w:val="32"/>
          <w:highlight w:val="none"/>
          <w:lang w:val="en-US" w:eastAsia="zh-CN"/>
        </w:rPr>
        <w:t xml:space="preserve"> </w:t>
      </w:r>
      <w:r>
        <w:rPr>
          <w:rFonts w:hint="eastAsia" w:ascii="仿宋" w:hAnsi="仿宋" w:eastAsia="仿宋" w:cs="仿宋"/>
          <w:bCs/>
          <w:color w:val="auto"/>
          <w:sz w:val="32"/>
          <w:szCs w:val="32"/>
          <w:highlight w:val="none"/>
        </w:rPr>
        <w:t>交易所对程序化交易实行实时</w:t>
      </w:r>
      <w:r>
        <w:rPr>
          <w:rFonts w:hint="eastAsia" w:ascii="仿宋" w:hAnsi="仿宋" w:eastAsia="仿宋" w:cs="仿宋"/>
          <w:bCs/>
          <w:color w:val="auto"/>
          <w:sz w:val="32"/>
          <w:szCs w:val="32"/>
          <w:highlight w:val="none"/>
          <w:lang w:eastAsia="zh-CN"/>
        </w:rPr>
        <w:t>监测</w:t>
      </w:r>
      <w:r>
        <w:rPr>
          <w:rFonts w:hint="eastAsia" w:ascii="仿宋" w:hAnsi="仿宋" w:eastAsia="仿宋" w:cs="仿宋"/>
          <w:bCs/>
          <w:color w:val="auto"/>
          <w:sz w:val="32"/>
          <w:szCs w:val="32"/>
          <w:highlight w:val="none"/>
        </w:rPr>
        <w:t>监控，对</w:t>
      </w:r>
      <w:r>
        <w:rPr>
          <w:rFonts w:hint="eastAsia" w:ascii="仿宋" w:hAnsi="仿宋" w:eastAsia="仿宋" w:cs="仿宋"/>
          <w:bCs/>
          <w:color w:val="auto"/>
          <w:sz w:val="32"/>
          <w:szCs w:val="32"/>
          <w:highlight w:val="none"/>
          <w:lang w:eastAsia="zh-CN"/>
        </w:rPr>
        <w:t>下列</w:t>
      </w:r>
      <w:r>
        <w:rPr>
          <w:rFonts w:hint="eastAsia" w:ascii="仿宋" w:hAnsi="仿宋" w:eastAsia="仿宋" w:cs="仿宋"/>
          <w:bCs/>
          <w:color w:val="auto"/>
          <w:sz w:val="32"/>
          <w:szCs w:val="32"/>
          <w:highlight w:val="none"/>
        </w:rPr>
        <w:t>可能影响交易所系统安全</w:t>
      </w:r>
      <w:r>
        <w:rPr>
          <w:rFonts w:hint="eastAsia" w:ascii="仿宋" w:hAnsi="仿宋" w:eastAsia="仿宋" w:cs="仿宋"/>
          <w:bCs/>
          <w:color w:val="auto"/>
          <w:sz w:val="32"/>
          <w:szCs w:val="32"/>
          <w:highlight w:val="none"/>
          <w:lang w:eastAsia="zh-CN"/>
        </w:rPr>
        <w:t>和正常</w:t>
      </w:r>
      <w:r>
        <w:rPr>
          <w:rFonts w:hint="eastAsia" w:ascii="仿宋" w:hAnsi="仿宋" w:eastAsia="仿宋" w:cs="仿宋"/>
          <w:bCs/>
          <w:color w:val="auto"/>
          <w:sz w:val="32"/>
          <w:szCs w:val="32"/>
          <w:highlight w:val="none"/>
        </w:rPr>
        <w:t>交易秩序的</w:t>
      </w:r>
      <w:r>
        <w:rPr>
          <w:rFonts w:hint="eastAsia" w:ascii="仿宋" w:hAnsi="仿宋" w:eastAsia="仿宋" w:cs="仿宋"/>
          <w:bCs/>
          <w:color w:val="auto"/>
          <w:sz w:val="32"/>
          <w:szCs w:val="32"/>
          <w:highlight w:val="none"/>
          <w:lang w:eastAsia="zh-CN"/>
        </w:rPr>
        <w:t>程序化</w:t>
      </w:r>
      <w:r>
        <w:rPr>
          <w:rFonts w:hint="eastAsia" w:ascii="仿宋" w:hAnsi="仿宋" w:eastAsia="仿宋" w:cs="仿宋"/>
          <w:bCs/>
          <w:color w:val="auto"/>
          <w:sz w:val="32"/>
          <w:szCs w:val="32"/>
          <w:highlight w:val="none"/>
        </w:rPr>
        <w:t>异常交易行为予以重点</w:t>
      </w:r>
      <w:r>
        <w:rPr>
          <w:rFonts w:hint="eastAsia" w:ascii="仿宋" w:hAnsi="仿宋" w:eastAsia="仿宋" w:cs="仿宋"/>
          <w:bCs/>
          <w:color w:val="auto"/>
          <w:sz w:val="32"/>
          <w:szCs w:val="32"/>
          <w:highlight w:val="none"/>
          <w:lang w:eastAsia="zh-CN"/>
        </w:rPr>
        <w:t>监测</w:t>
      </w:r>
      <w:r>
        <w:rPr>
          <w:rFonts w:hint="eastAsia" w:ascii="仿宋" w:hAnsi="仿宋" w:eastAsia="仿宋" w:cs="仿宋"/>
          <w:bCs/>
          <w:color w:val="auto"/>
          <w:sz w:val="32"/>
          <w:szCs w:val="32"/>
          <w:highlight w:val="none"/>
        </w:rPr>
        <w:t>监控：</w:t>
      </w:r>
    </w:p>
    <w:p>
      <w:pPr>
        <w:spacing w:line="240" w:lineRule="auto"/>
        <w:ind w:firstLine="640" w:firstLineChars="200"/>
        <w:jc w:val="both"/>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（一）</w:t>
      </w:r>
      <w:r>
        <w:rPr>
          <w:rFonts w:hint="eastAsia" w:ascii="仿宋" w:hAnsi="仿宋" w:eastAsia="仿宋" w:cs="仿宋"/>
          <w:bCs/>
          <w:color w:val="auto"/>
          <w:sz w:val="32"/>
          <w:szCs w:val="32"/>
          <w:highlight w:val="none"/>
          <w:lang w:eastAsia="zh-CN"/>
        </w:rPr>
        <w:t>短时间内报单、撤单的笔数、频率达到一定标准，或者日内报单、撤单的笔数达</w:t>
      </w:r>
      <w:r>
        <w:rPr>
          <w:rFonts w:hint="eastAsia" w:ascii="仿宋" w:hAnsi="仿宋" w:eastAsia="仿宋" w:cs="仿宋"/>
          <w:bCs/>
          <w:color w:val="auto"/>
          <w:sz w:val="32"/>
          <w:szCs w:val="32"/>
          <w:highlight w:val="none"/>
        </w:rPr>
        <w:t>到一定标准；</w:t>
      </w:r>
    </w:p>
    <w:p>
      <w:pPr>
        <w:spacing w:line="240" w:lineRule="auto"/>
        <w:ind w:firstLine="640" w:firstLineChars="200"/>
        <w:jc w:val="both"/>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w:t>
      </w:r>
      <w:r>
        <w:rPr>
          <w:rFonts w:hint="eastAsia" w:ascii="仿宋" w:hAnsi="仿宋" w:eastAsia="仿宋" w:cs="仿宋"/>
          <w:bCs/>
          <w:color w:val="auto"/>
          <w:sz w:val="32"/>
          <w:szCs w:val="32"/>
          <w:highlight w:val="none"/>
          <w:lang w:eastAsia="zh-CN"/>
        </w:rPr>
        <w:t>短时间内报单、撤单的笔数和报撤单成交比达到一定标准，或者日内报单、撤单的笔数和报撤单成交比达到一定标准</w:t>
      </w:r>
      <w:r>
        <w:rPr>
          <w:rFonts w:hint="eastAsia" w:ascii="仿宋" w:hAnsi="仿宋" w:eastAsia="仿宋" w:cs="仿宋"/>
          <w:bCs/>
          <w:color w:val="auto"/>
          <w:sz w:val="32"/>
          <w:szCs w:val="32"/>
          <w:highlight w:val="none"/>
        </w:rPr>
        <w:t>；</w:t>
      </w:r>
    </w:p>
    <w:p>
      <w:pPr>
        <w:spacing w:line="240" w:lineRule="auto"/>
        <w:ind w:firstLine="640" w:firstLineChars="200"/>
        <w:jc w:val="both"/>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（三）短时间内大笔、连续或者密集报单，成交达到一定标准，且期货交易价格或者交易量出现明显异常；</w:t>
      </w:r>
    </w:p>
    <w:p>
      <w:pPr>
        <w:numPr>
          <w:ilvl w:val="0"/>
          <w:numId w:val="0"/>
        </w:numPr>
        <w:spacing w:line="240" w:lineRule="auto"/>
        <w:ind w:firstLine="640" w:firstLineChars="200"/>
        <w:jc w:val="both"/>
        <w:rPr>
          <w:rFonts w:hint="eastAsia" w:ascii="仿宋" w:hAnsi="仿宋" w:eastAsia="仿宋" w:cs="仿宋"/>
          <w:color w:val="auto"/>
          <w:kern w:val="0"/>
          <w:sz w:val="32"/>
          <w:szCs w:val="32"/>
          <w:highlight w:val="none"/>
          <w:lang w:bidi="zh-TW"/>
        </w:rPr>
      </w:pPr>
      <w:r>
        <w:rPr>
          <w:rFonts w:hint="eastAsia" w:ascii="仿宋" w:hAnsi="仿宋" w:eastAsia="仿宋" w:cs="仿宋"/>
          <w:bCs/>
          <w:color w:val="auto"/>
          <w:sz w:val="32"/>
          <w:szCs w:val="32"/>
          <w:highlight w:val="none"/>
          <w:lang w:val="en-US" w:eastAsia="zh-CN"/>
        </w:rPr>
        <w:t>（四）</w:t>
      </w:r>
      <w:r>
        <w:rPr>
          <w:rFonts w:hint="eastAsia" w:ascii="仿宋" w:hAnsi="仿宋" w:eastAsia="仿宋" w:cs="仿宋"/>
          <w:color w:val="auto"/>
          <w:kern w:val="0"/>
          <w:sz w:val="32"/>
          <w:szCs w:val="32"/>
          <w:highlight w:val="none"/>
          <w:lang w:bidi="zh-TW"/>
        </w:rPr>
        <w:t>交易所认为需要重点</w:t>
      </w:r>
      <w:r>
        <w:rPr>
          <w:rFonts w:hint="eastAsia" w:ascii="仿宋" w:hAnsi="仿宋" w:eastAsia="仿宋" w:cs="仿宋"/>
          <w:color w:val="auto"/>
          <w:kern w:val="0"/>
          <w:sz w:val="32"/>
          <w:szCs w:val="32"/>
          <w:highlight w:val="none"/>
          <w:lang w:eastAsia="zh-CN" w:bidi="zh-TW"/>
        </w:rPr>
        <w:t>监测</w:t>
      </w:r>
      <w:r>
        <w:rPr>
          <w:rFonts w:hint="eastAsia" w:ascii="仿宋" w:hAnsi="仿宋" w:eastAsia="仿宋" w:cs="仿宋"/>
          <w:color w:val="auto"/>
          <w:kern w:val="0"/>
          <w:sz w:val="32"/>
          <w:szCs w:val="32"/>
          <w:highlight w:val="none"/>
          <w:lang w:bidi="zh-TW"/>
        </w:rPr>
        <w:t>监控的其他</w:t>
      </w:r>
      <w:r>
        <w:rPr>
          <w:rFonts w:hint="eastAsia" w:ascii="仿宋" w:hAnsi="仿宋" w:eastAsia="仿宋" w:cs="仿宋"/>
          <w:color w:val="auto"/>
          <w:kern w:val="0"/>
          <w:sz w:val="32"/>
          <w:szCs w:val="32"/>
          <w:highlight w:val="none"/>
          <w:lang w:eastAsia="zh-CN" w:bidi="zh-TW"/>
        </w:rPr>
        <w:t>情形</w:t>
      </w:r>
      <w:r>
        <w:rPr>
          <w:rFonts w:hint="eastAsia" w:ascii="仿宋" w:hAnsi="仿宋" w:eastAsia="仿宋" w:cs="仿宋"/>
          <w:color w:val="auto"/>
          <w:kern w:val="0"/>
          <w:sz w:val="32"/>
          <w:szCs w:val="32"/>
          <w:highlight w:val="none"/>
          <w:lang w:bidi="zh-TW"/>
        </w:rPr>
        <w:t>。</w:t>
      </w:r>
    </w:p>
    <w:p>
      <w:pPr>
        <w:numPr>
          <w:ilvl w:val="0"/>
          <w:numId w:val="0"/>
        </w:numPr>
        <w:spacing w:line="240" w:lineRule="auto"/>
        <w:ind w:firstLine="640" w:firstLineChars="200"/>
        <w:jc w:val="both"/>
        <w:rPr>
          <w:rFonts w:hint="eastAsia" w:ascii="仿宋" w:hAnsi="仿宋" w:eastAsia="仿宋" w:cs="仿宋"/>
          <w:color w:val="auto"/>
          <w:kern w:val="0"/>
          <w:sz w:val="32"/>
          <w:szCs w:val="32"/>
          <w:highlight w:val="none"/>
          <w:lang w:eastAsia="zh-CN" w:bidi="zh-TW"/>
        </w:rPr>
      </w:pPr>
      <w:r>
        <w:rPr>
          <w:rFonts w:hint="eastAsia" w:ascii="仿宋" w:hAnsi="仿宋" w:eastAsia="仿宋" w:cs="仿宋"/>
          <w:color w:val="auto"/>
          <w:kern w:val="0"/>
          <w:sz w:val="32"/>
          <w:szCs w:val="32"/>
          <w:highlight w:val="none"/>
          <w:lang w:eastAsia="zh-CN" w:bidi="zh-TW"/>
        </w:rPr>
        <w:t>程序化异常交易行为的认定和处理适用《郑州商品交易所异常交易行为管理办法》的有关规定。</w:t>
      </w:r>
    </w:p>
    <w:p>
      <w:pPr>
        <w:numPr>
          <w:ilvl w:val="0"/>
          <w:numId w:val="0"/>
        </w:numPr>
        <w:spacing w:line="240" w:lineRule="auto"/>
        <w:ind w:firstLine="642" w:firstLineChars="200"/>
        <w:jc w:val="both"/>
        <w:rPr>
          <w:rFonts w:hint="eastAsia" w:ascii="仿宋" w:hAnsi="仿宋" w:eastAsia="仿宋" w:cs="仿宋"/>
          <w:color w:val="auto"/>
          <w:sz w:val="32"/>
          <w:szCs w:val="32"/>
          <w:highlight w:val="none"/>
        </w:rPr>
      </w:pPr>
      <w:r>
        <w:rPr>
          <w:rFonts w:hint="eastAsia" w:ascii="仿宋" w:hAnsi="仿宋" w:eastAsia="仿宋" w:cs="仿宋"/>
          <w:b/>
          <w:bCs w:val="0"/>
          <w:color w:val="auto"/>
          <w:sz w:val="32"/>
          <w:szCs w:val="32"/>
          <w:highlight w:val="none"/>
        </w:rPr>
        <w:t>第</w:t>
      </w:r>
      <w:r>
        <w:rPr>
          <w:rFonts w:hint="eastAsia" w:ascii="仿宋" w:hAnsi="仿宋" w:eastAsia="仿宋" w:cs="仿宋"/>
          <w:b/>
          <w:bCs w:val="0"/>
          <w:color w:val="auto"/>
          <w:sz w:val="32"/>
          <w:szCs w:val="32"/>
          <w:highlight w:val="none"/>
          <w:lang w:eastAsia="zh-CN"/>
        </w:rPr>
        <w:t>三十</w:t>
      </w:r>
      <w:r>
        <w:rPr>
          <w:rFonts w:hint="eastAsia" w:ascii="仿宋" w:hAnsi="仿宋" w:eastAsia="仿宋" w:cs="仿宋"/>
          <w:b/>
          <w:bCs w:val="0"/>
          <w:color w:val="auto"/>
          <w:sz w:val="32"/>
          <w:szCs w:val="32"/>
          <w:highlight w:val="none"/>
        </w:rPr>
        <w:t>条</w:t>
      </w:r>
      <w:r>
        <w:rPr>
          <w:rFonts w:hint="eastAsia" w:ascii="仿宋" w:hAnsi="仿宋" w:eastAsia="仿宋" w:cs="仿宋"/>
          <w:b/>
          <w:bCs w:val="0"/>
          <w:color w:val="auto"/>
          <w:sz w:val="32"/>
          <w:szCs w:val="32"/>
          <w:highlight w:val="none"/>
          <w:lang w:val="en-US" w:eastAsia="zh-CN"/>
        </w:rPr>
        <w:t xml:space="preserve"> </w:t>
      </w:r>
      <w:r>
        <w:rPr>
          <w:rFonts w:hint="eastAsia" w:ascii="仿宋" w:hAnsi="仿宋" w:eastAsia="仿宋" w:cs="仿宋"/>
          <w:color w:val="auto"/>
          <w:sz w:val="32"/>
          <w:szCs w:val="32"/>
          <w:highlight w:val="none"/>
        </w:rPr>
        <w:t>交易所对高频交易</w:t>
      </w:r>
      <w:r>
        <w:rPr>
          <w:rFonts w:hint="eastAsia" w:ascii="仿宋" w:hAnsi="仿宋" w:eastAsia="仿宋" w:cs="仿宋"/>
          <w:color w:val="auto"/>
          <w:sz w:val="32"/>
          <w:szCs w:val="32"/>
          <w:highlight w:val="none"/>
          <w:lang w:eastAsia="zh-CN"/>
        </w:rPr>
        <w:t>实行</w:t>
      </w:r>
      <w:r>
        <w:rPr>
          <w:rFonts w:hint="eastAsia" w:ascii="仿宋" w:hAnsi="仿宋" w:eastAsia="仿宋" w:cs="仿宋"/>
          <w:color w:val="auto"/>
          <w:sz w:val="32"/>
          <w:szCs w:val="32"/>
          <w:highlight w:val="none"/>
        </w:rPr>
        <w:t>重点</w:t>
      </w:r>
      <w:r>
        <w:rPr>
          <w:rFonts w:hint="eastAsia" w:ascii="仿宋" w:hAnsi="仿宋" w:eastAsia="仿宋" w:cs="仿宋"/>
          <w:color w:val="auto"/>
          <w:sz w:val="32"/>
          <w:szCs w:val="32"/>
          <w:highlight w:val="none"/>
          <w:lang w:eastAsia="zh-CN"/>
        </w:rPr>
        <w:t>管理</w:t>
      </w:r>
      <w:r>
        <w:rPr>
          <w:rFonts w:hint="eastAsia" w:ascii="仿宋" w:hAnsi="仿宋" w:eastAsia="仿宋" w:cs="仿宋"/>
          <w:color w:val="auto"/>
          <w:sz w:val="32"/>
          <w:szCs w:val="32"/>
          <w:highlight w:val="none"/>
        </w:rPr>
        <w:t>。</w:t>
      </w:r>
    </w:p>
    <w:p>
      <w:pPr>
        <w:numPr>
          <w:ilvl w:val="0"/>
          <w:numId w:val="0"/>
        </w:numPr>
        <w:spacing w:line="240" w:lineRule="auto"/>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交易所</w:t>
      </w:r>
      <w:r>
        <w:rPr>
          <w:rFonts w:hint="eastAsia" w:ascii="仿宋" w:hAnsi="仿宋" w:eastAsia="仿宋" w:cs="仿宋"/>
          <w:color w:val="auto"/>
          <w:sz w:val="32"/>
          <w:szCs w:val="32"/>
          <w:highlight w:val="none"/>
          <w:lang w:eastAsia="zh-CN"/>
        </w:rPr>
        <w:t>实行报撤单收费、交易限额等制度，并适时</w:t>
      </w:r>
      <w:r>
        <w:rPr>
          <w:rFonts w:hint="eastAsia" w:ascii="仿宋" w:hAnsi="仿宋" w:eastAsia="仿宋" w:cs="仿宋"/>
          <w:color w:val="auto"/>
          <w:sz w:val="32"/>
          <w:szCs w:val="32"/>
          <w:highlight w:val="none"/>
        </w:rPr>
        <w:t>调整报撤单收费标准、交易限额</w:t>
      </w:r>
      <w:r>
        <w:rPr>
          <w:rFonts w:hint="eastAsia" w:ascii="仿宋" w:hAnsi="仿宋" w:eastAsia="仿宋" w:cs="仿宋"/>
          <w:color w:val="auto"/>
          <w:sz w:val="32"/>
          <w:szCs w:val="32"/>
          <w:highlight w:val="none"/>
          <w:lang w:eastAsia="zh-CN"/>
        </w:rPr>
        <w:t>标准</w:t>
      </w:r>
      <w:r>
        <w:rPr>
          <w:rFonts w:hint="eastAsia" w:ascii="仿宋" w:hAnsi="仿宋" w:eastAsia="仿宋" w:cs="仿宋"/>
          <w:color w:val="auto"/>
          <w:sz w:val="32"/>
          <w:szCs w:val="32"/>
          <w:highlight w:val="none"/>
        </w:rPr>
        <w:t>等。具体标准由交易所另行</w:t>
      </w:r>
      <w:r>
        <w:rPr>
          <w:rFonts w:hint="eastAsia" w:ascii="仿宋" w:hAnsi="仿宋" w:eastAsia="仿宋" w:cs="仿宋"/>
          <w:color w:val="auto"/>
          <w:sz w:val="32"/>
          <w:szCs w:val="32"/>
          <w:highlight w:val="none"/>
          <w:lang w:eastAsia="zh-CN"/>
        </w:rPr>
        <w:t>公布</w:t>
      </w:r>
      <w:r>
        <w:rPr>
          <w:rFonts w:hint="eastAsia" w:ascii="仿宋" w:hAnsi="仿宋" w:eastAsia="仿宋" w:cs="仿宋"/>
          <w:color w:val="auto"/>
          <w:sz w:val="32"/>
          <w:szCs w:val="32"/>
          <w:highlight w:val="none"/>
        </w:rPr>
        <w:t>。</w:t>
      </w:r>
    </w:p>
    <w:p>
      <w:pPr>
        <w:numPr>
          <w:ilvl w:val="0"/>
          <w:numId w:val="0"/>
        </w:numPr>
        <w:spacing w:line="240" w:lineRule="auto"/>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交易所可以对高频交易手续费实施差异化管理。</w:t>
      </w:r>
    </w:p>
    <w:p>
      <w:pPr>
        <w:spacing w:line="240" w:lineRule="auto"/>
        <w:ind w:firstLine="642" w:firstLineChars="200"/>
        <w:contextualSpacing/>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sz w:val="32"/>
          <w:szCs w:val="32"/>
          <w:highlight w:val="none"/>
        </w:rPr>
        <w:t>第</w:t>
      </w:r>
      <w:r>
        <w:rPr>
          <w:rFonts w:hint="eastAsia" w:ascii="仿宋" w:hAnsi="仿宋" w:eastAsia="仿宋" w:cs="仿宋"/>
          <w:b/>
          <w:bCs/>
          <w:color w:val="auto"/>
          <w:sz w:val="32"/>
          <w:szCs w:val="32"/>
          <w:highlight w:val="none"/>
          <w:lang w:eastAsia="zh-CN"/>
        </w:rPr>
        <w:t>三十一</w:t>
      </w:r>
      <w:r>
        <w:rPr>
          <w:rFonts w:hint="eastAsia" w:ascii="仿宋" w:hAnsi="仿宋" w:eastAsia="仿宋" w:cs="仿宋"/>
          <w:b/>
          <w:bCs/>
          <w:color w:val="auto"/>
          <w:sz w:val="32"/>
          <w:szCs w:val="32"/>
          <w:highlight w:val="none"/>
        </w:rPr>
        <w:t>条</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color w:val="auto"/>
          <w:kern w:val="2"/>
          <w:sz w:val="32"/>
          <w:szCs w:val="32"/>
          <w:highlight w:val="none"/>
          <w:lang w:val="en-US" w:eastAsia="zh-CN" w:bidi="ar-SA"/>
        </w:rPr>
        <w:t>交易者从事程序化交易，因不可抗力、意外事件、重大技术故障、重大人为差错等突发事件，可能引发期货价格或者市场重大异常波动的，应当立即采取暂停交易、撤销委托等措施。</w:t>
      </w:r>
    </w:p>
    <w:p>
      <w:pPr>
        <w:spacing w:line="240" w:lineRule="auto"/>
        <w:ind w:firstLine="640" w:firstLineChars="200"/>
        <w:contextualSpacing/>
        <w:jc w:val="both"/>
        <w:rPr>
          <w:rFonts w:hint="eastAsia" w:ascii="仿宋" w:hAnsi="仿宋" w:eastAsia="仿宋" w:cs="仿宋"/>
          <w:color w:val="auto"/>
          <w:sz w:val="32"/>
          <w:szCs w:val="22"/>
          <w:highlight w:val="none"/>
        </w:rPr>
      </w:pPr>
      <w:r>
        <w:rPr>
          <w:rFonts w:hint="eastAsia" w:ascii="仿宋" w:hAnsi="仿宋" w:eastAsia="仿宋" w:cs="仿宋"/>
          <w:color w:val="auto"/>
          <w:kern w:val="2"/>
          <w:sz w:val="32"/>
          <w:szCs w:val="32"/>
          <w:highlight w:val="none"/>
          <w:lang w:val="en-US" w:eastAsia="zh-CN" w:bidi="ar-SA"/>
        </w:rPr>
        <w:t>出现上述情形的，客户应当及时向其委托的</w:t>
      </w:r>
      <w:r>
        <w:rPr>
          <w:rFonts w:hint="eastAsia" w:ascii="仿宋" w:hAnsi="仿宋" w:eastAsia="仿宋" w:cs="仿宋"/>
          <w:color w:val="auto"/>
          <w:sz w:val="32"/>
          <w:szCs w:val="32"/>
          <w:highlight w:val="none"/>
          <w:lang w:eastAsia="zh-CN"/>
        </w:rPr>
        <w:t>期货公司会员、境外经纪机构</w:t>
      </w:r>
      <w:r>
        <w:rPr>
          <w:rFonts w:hint="eastAsia" w:ascii="仿宋" w:hAnsi="仿宋" w:eastAsia="仿宋" w:cs="仿宋"/>
          <w:color w:val="auto"/>
          <w:kern w:val="2"/>
          <w:sz w:val="32"/>
          <w:szCs w:val="32"/>
          <w:highlight w:val="none"/>
          <w:lang w:val="en-US" w:eastAsia="zh-CN" w:bidi="ar-SA"/>
        </w:rPr>
        <w:t>报告，非期货公司会员应当及时向交易所报告。</w:t>
      </w:r>
    </w:p>
    <w:p>
      <w:pPr>
        <w:spacing w:line="240" w:lineRule="auto"/>
        <w:ind w:firstLine="642" w:firstLineChars="200"/>
        <w:contextualSpacing/>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sz w:val="32"/>
          <w:szCs w:val="32"/>
          <w:highlight w:val="none"/>
        </w:rPr>
        <w:t>第</w:t>
      </w:r>
      <w:r>
        <w:rPr>
          <w:rFonts w:hint="eastAsia" w:ascii="仿宋" w:hAnsi="仿宋" w:eastAsia="仿宋" w:cs="仿宋"/>
          <w:b/>
          <w:bCs/>
          <w:color w:val="auto"/>
          <w:sz w:val="32"/>
          <w:szCs w:val="32"/>
          <w:highlight w:val="none"/>
          <w:lang w:eastAsia="zh-CN"/>
        </w:rPr>
        <w:t>三十二</w:t>
      </w:r>
      <w:r>
        <w:rPr>
          <w:rFonts w:hint="eastAsia" w:ascii="仿宋" w:hAnsi="仿宋" w:eastAsia="仿宋" w:cs="仿宋"/>
          <w:b/>
          <w:bCs/>
          <w:color w:val="auto"/>
          <w:sz w:val="32"/>
          <w:szCs w:val="32"/>
          <w:highlight w:val="none"/>
        </w:rPr>
        <w:t>条</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val="0"/>
          <w:bCs w:val="0"/>
          <w:color w:val="auto"/>
          <w:sz w:val="32"/>
          <w:szCs w:val="32"/>
          <w:highlight w:val="none"/>
          <w:lang w:eastAsia="zh-CN"/>
        </w:rPr>
        <w:t>期货公司会员、境外经纪机构</w:t>
      </w:r>
      <w:r>
        <w:rPr>
          <w:rFonts w:hint="eastAsia" w:ascii="仿宋" w:hAnsi="仿宋" w:eastAsia="仿宋" w:cs="仿宋"/>
          <w:color w:val="auto"/>
          <w:kern w:val="2"/>
          <w:sz w:val="32"/>
          <w:szCs w:val="32"/>
          <w:highlight w:val="none"/>
          <w:lang w:val="en-US" w:eastAsia="zh-CN" w:bidi="ar-SA"/>
        </w:rPr>
        <w:t>发现客户出现第三十一条第一款情形的，应当按照委托协议约定，立即采取暂停接受其委托、撤销相关报单等措施，并及时向交易所报告。</w:t>
      </w:r>
    </w:p>
    <w:p>
      <w:pPr>
        <w:spacing w:line="240" w:lineRule="auto"/>
        <w:ind w:firstLine="640" w:firstLineChars="200"/>
        <w:contextualSpacing/>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期货公司会员的客户出现前款情形的，期货公司会员还应当同时向公司住所地中国证监会派出机构报告。</w:t>
      </w:r>
    </w:p>
    <w:p>
      <w:pPr>
        <w:spacing w:line="240" w:lineRule="auto"/>
        <w:ind w:firstLine="642" w:firstLineChars="200"/>
        <w:contextualSpacing/>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sz w:val="32"/>
          <w:szCs w:val="32"/>
          <w:highlight w:val="none"/>
        </w:rPr>
        <w:t>第</w:t>
      </w:r>
      <w:r>
        <w:rPr>
          <w:rFonts w:hint="eastAsia" w:ascii="仿宋" w:hAnsi="仿宋" w:eastAsia="仿宋" w:cs="仿宋"/>
          <w:b/>
          <w:bCs/>
          <w:color w:val="auto"/>
          <w:sz w:val="32"/>
          <w:szCs w:val="32"/>
          <w:highlight w:val="none"/>
          <w:lang w:eastAsia="zh-CN"/>
        </w:rPr>
        <w:t>三十三</w:t>
      </w:r>
      <w:r>
        <w:rPr>
          <w:rFonts w:hint="eastAsia" w:ascii="仿宋" w:hAnsi="仿宋" w:eastAsia="仿宋" w:cs="仿宋"/>
          <w:b/>
          <w:bCs/>
          <w:color w:val="auto"/>
          <w:sz w:val="32"/>
          <w:szCs w:val="32"/>
          <w:highlight w:val="none"/>
        </w:rPr>
        <w:t>条</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color w:val="auto"/>
          <w:kern w:val="2"/>
          <w:sz w:val="32"/>
          <w:szCs w:val="32"/>
          <w:highlight w:val="none"/>
          <w:lang w:val="en-US" w:eastAsia="zh-CN" w:bidi="ar-SA"/>
        </w:rPr>
        <w:t>出现第三十一条第一款情形，影响交易所系统安全和正常交易秩序的，交易所可以采取暂停交易、调整开市收市时间、取消交易等措施，并及时向中国证监会报告。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color w:val="auto"/>
          <w:kern w:val="2"/>
          <w:sz w:val="32"/>
          <w:szCs w:val="32"/>
          <w:highlight w:val="none"/>
          <w:lang w:val="en-US" w:eastAsia="zh-CN" w:bidi="ar-SA"/>
        </w:rPr>
      </w:pPr>
    </w:p>
    <w:p>
      <w:pPr>
        <w:widowControl w:val="0"/>
        <w:spacing w:line="240" w:lineRule="auto"/>
        <w:ind w:firstLine="0" w:firstLineChars="0"/>
        <w:jc w:val="center"/>
        <w:rPr>
          <w:rFonts w:hint="default" w:ascii="Times New Roman" w:hAnsi="Times New Roman" w:eastAsia="仿宋_GB2312" w:cs="Times New Roman"/>
          <w:b/>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第六章  监督管理</w:t>
      </w:r>
    </w:p>
    <w:p>
      <w:pPr>
        <w:widowControl w:val="0"/>
        <w:spacing w:line="240" w:lineRule="auto"/>
        <w:ind w:firstLine="642" w:firstLineChars="200"/>
        <w:jc w:val="both"/>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xml:space="preserve">第三十四条 </w:t>
      </w:r>
      <w:r>
        <w:rPr>
          <w:rFonts w:hint="eastAsia" w:ascii="仿宋" w:hAnsi="仿宋" w:eastAsia="仿宋" w:cs="仿宋"/>
          <w:b w:val="0"/>
          <w:bCs w:val="0"/>
          <w:color w:val="auto"/>
          <w:kern w:val="2"/>
          <w:sz w:val="32"/>
          <w:szCs w:val="32"/>
          <w:highlight w:val="none"/>
          <w:lang w:val="en-US" w:eastAsia="zh-CN" w:bidi="ar-SA"/>
        </w:rPr>
        <w:t>交易所可以根据自律管理需要，对期货公司会员、境外经纪机构、程序化交易者遵守本办法的情况进行现场检查或者非现场检查。相关机构和个人应当予以配合，真实、准确、完整、及时地提供相关资料。</w:t>
      </w:r>
    </w:p>
    <w:p>
      <w:pPr>
        <w:widowControl w:val="0"/>
        <w:spacing w:line="240" w:lineRule="auto"/>
        <w:ind w:firstLine="642"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xml:space="preserve">第三十五条 </w:t>
      </w:r>
      <w:r>
        <w:rPr>
          <w:rFonts w:hint="eastAsia" w:ascii="仿宋" w:hAnsi="仿宋" w:eastAsia="仿宋" w:cs="仿宋"/>
          <w:color w:val="auto"/>
          <w:kern w:val="2"/>
          <w:sz w:val="32"/>
          <w:szCs w:val="32"/>
          <w:highlight w:val="none"/>
          <w:lang w:val="en-US" w:eastAsia="zh-CN" w:bidi="ar-SA"/>
        </w:rPr>
        <w:t>程序化交易者具有下列情形之一的，交易所责令改正，并可以采取提示、要求提交书面说明、约见谈话、限制开仓等措施：</w:t>
      </w:r>
    </w:p>
    <w:p>
      <w:pPr>
        <w:widowControl w:val="0"/>
        <w:spacing w:line="240" w:lineRule="auto"/>
        <w:ind w:firstLine="640"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（一）未按规定履行报告及变更报告义务，或者频繁发生交易行为与报告信息不一致的；</w:t>
      </w:r>
    </w:p>
    <w:p>
      <w:pPr>
        <w:widowControl w:val="0"/>
        <w:spacing w:line="240" w:lineRule="auto"/>
        <w:ind w:firstLine="640"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（二）非期货公司会员违反规定从事高频交易的；</w:t>
      </w:r>
    </w:p>
    <w:p>
      <w:pPr>
        <w:widowControl w:val="0"/>
        <w:spacing w:line="240" w:lineRule="auto"/>
        <w:ind w:firstLine="640"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（三）用于程序化交易的技术系统不符合规定的；</w:t>
      </w:r>
    </w:p>
    <w:p>
      <w:pPr>
        <w:widowControl w:val="0"/>
        <w:spacing w:line="240" w:lineRule="auto"/>
        <w:ind w:firstLine="640"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（四）利用系统对接非法经营期货业务、招揽交易者、处理第三方交易指令，或者转让、出借自身技术系统以及为第三方提供系统外部接入的；</w:t>
      </w:r>
    </w:p>
    <w:p>
      <w:pPr>
        <w:widowControl w:val="0"/>
        <w:spacing w:line="240" w:lineRule="auto"/>
        <w:ind w:firstLine="640"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（五）未按规定使用主机托管资源和交易席位的；</w:t>
      </w:r>
    </w:p>
    <w:p>
      <w:pPr>
        <w:widowControl w:val="0"/>
        <w:spacing w:line="240" w:lineRule="auto"/>
        <w:ind w:firstLine="640"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（六）未按规定建立或者有效执行程序化交易内部控制、风险管理、合规管理等制度的；</w:t>
      </w:r>
    </w:p>
    <w:p>
      <w:pPr>
        <w:widowControl w:val="0"/>
        <w:spacing w:line="240" w:lineRule="auto"/>
        <w:ind w:firstLine="640"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（七）从事程序化交易，未按规定对突发事件采取相应措施，或者未按规定及时报告的；</w:t>
      </w:r>
    </w:p>
    <w:p>
      <w:pPr>
        <w:widowControl w:val="0"/>
        <w:spacing w:line="240" w:lineRule="auto"/>
        <w:ind w:firstLine="640"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（八）不配合交易所开展现场检查或者非现场检查的；</w:t>
      </w:r>
    </w:p>
    <w:p>
      <w:pPr>
        <w:ind w:firstLine="600"/>
        <w:jc w:val="both"/>
        <w:rPr>
          <w:rFonts w:hint="eastAsia" w:ascii="仿宋" w:hAnsi="仿宋" w:eastAsia="仿宋" w:cs="Times New Roman"/>
          <w:color w:val="auto"/>
          <w:sz w:val="32"/>
          <w:szCs w:val="32"/>
          <w:highlight w:val="none"/>
        </w:rPr>
      </w:pPr>
      <w:r>
        <w:rPr>
          <w:rFonts w:hint="eastAsia" w:ascii="仿宋" w:hAnsi="仿宋" w:eastAsia="仿宋" w:cs="仿宋"/>
          <w:color w:val="auto"/>
          <w:kern w:val="2"/>
          <w:sz w:val="32"/>
          <w:szCs w:val="32"/>
          <w:highlight w:val="none"/>
          <w:lang w:val="en-US" w:eastAsia="zh-CN" w:bidi="ar-SA"/>
        </w:rPr>
        <w:t>（九）从事</w:t>
      </w:r>
      <w:r>
        <w:rPr>
          <w:rFonts w:ascii="仿宋" w:hAnsi="仿宋" w:eastAsia="仿宋" w:cs="Times New Roman"/>
          <w:color w:val="auto"/>
          <w:sz w:val="32"/>
          <w:szCs w:val="32"/>
          <w:highlight w:val="none"/>
        </w:rPr>
        <w:t>程序化交易，影响交易所系统安全</w:t>
      </w:r>
      <w:r>
        <w:rPr>
          <w:rFonts w:hint="eastAsia" w:ascii="仿宋" w:hAnsi="仿宋" w:eastAsia="仿宋" w:cs="Times New Roman"/>
          <w:color w:val="auto"/>
          <w:sz w:val="32"/>
          <w:szCs w:val="32"/>
          <w:highlight w:val="none"/>
          <w:lang w:eastAsia="zh-CN"/>
        </w:rPr>
        <w:t>或者</w:t>
      </w:r>
      <w:r>
        <w:rPr>
          <w:rFonts w:ascii="仿宋" w:hAnsi="仿宋" w:eastAsia="仿宋" w:cs="Times New Roman"/>
          <w:color w:val="auto"/>
          <w:sz w:val="32"/>
          <w:szCs w:val="32"/>
          <w:highlight w:val="none"/>
        </w:rPr>
        <w:t>正常交易秩序的；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（十）交易所规定的其他情形。</w:t>
      </w:r>
    </w:p>
    <w:p>
      <w:pPr>
        <w:widowControl w:val="0"/>
        <w:spacing w:line="240" w:lineRule="auto"/>
        <w:ind w:firstLine="642"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xml:space="preserve">第三十六条 </w:t>
      </w:r>
      <w:r>
        <w:rPr>
          <w:rFonts w:hint="eastAsia" w:ascii="仿宋" w:hAnsi="仿宋" w:eastAsia="仿宋" w:cs="仿宋"/>
          <w:color w:val="auto"/>
          <w:kern w:val="2"/>
          <w:sz w:val="32"/>
          <w:szCs w:val="32"/>
          <w:highlight w:val="none"/>
          <w:lang w:val="en-US" w:eastAsia="zh-CN" w:bidi="ar-SA"/>
        </w:rPr>
        <w:t>期货公司会员、境外经纪机构具有下列情形之一的，交易所责令改正，并可以采取提示、约见谈话、出具监管警示函、发出监管意见函等措施：</w:t>
      </w:r>
    </w:p>
    <w:p>
      <w:pPr>
        <w:widowControl w:val="0"/>
        <w:spacing w:line="240" w:lineRule="auto"/>
        <w:ind w:firstLine="640" w:firstLineChars="200"/>
        <w:jc w:val="both"/>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（一）未按规定核查客户程序化交易报告信息、未按规定督促客户改正或者未按规定拒绝经督促仍未改正客户开仓委托的； </w:t>
      </w:r>
    </w:p>
    <w:p>
      <w:pPr>
        <w:widowControl w:val="0"/>
        <w:spacing w:line="240" w:lineRule="auto"/>
        <w:ind w:firstLine="640"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（二）使用的交易信息系统、用于程序化交易的技术系统不符合规定，或者未按规定进行测试的；</w:t>
      </w:r>
    </w:p>
    <w:p>
      <w:pPr>
        <w:widowControl w:val="0"/>
        <w:spacing w:line="240" w:lineRule="auto"/>
        <w:ind w:firstLine="640"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期货公司会员将交易信息系统与客户、境外经纪机构的技术系统部署于同一物理设备，将交易信息系统的管理权限开放给客户、境外经纪机构、信息技术系统服务机构，或者将客户、境外经纪机构的技术系统直接接入交易所交易系统的；</w:t>
      </w:r>
    </w:p>
    <w:p>
      <w:pPr>
        <w:widowControl w:val="0"/>
        <w:spacing w:line="240" w:lineRule="auto"/>
        <w:ind w:firstLine="640"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（四）未按规定建立主机托管资源管理制度或者交易席位管理制度，未按规定使用主机托管资源或者交易席位的；</w:t>
      </w:r>
    </w:p>
    <w:p>
      <w:pPr>
        <w:widowControl w:val="0"/>
        <w:spacing w:line="240" w:lineRule="auto"/>
        <w:ind w:firstLine="640"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（五）未按规定建立或者有效执行程序化交易内部控制、风险管理、合规管理等制度的；</w:t>
      </w:r>
    </w:p>
    <w:p>
      <w:pPr>
        <w:widowControl w:val="0"/>
        <w:spacing w:line="240" w:lineRule="auto"/>
        <w:ind w:firstLine="640"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（六）未按规定管理客户程序化交易行为，</w:t>
      </w:r>
      <w:r>
        <w:rPr>
          <w:rFonts w:hint="eastAsia" w:ascii="仿宋" w:hAnsi="仿宋" w:eastAsia="仿宋" w:cs="仿宋"/>
          <w:color w:val="auto"/>
          <w:kern w:val="0"/>
          <w:sz w:val="32"/>
          <w:szCs w:val="32"/>
          <w:highlight w:val="none"/>
          <w:lang w:val="zh-TW" w:eastAsia="zh-CN" w:bidi="zh-TW"/>
        </w:rPr>
        <w:t>或者未</w:t>
      </w:r>
      <w:r>
        <w:rPr>
          <w:rFonts w:hint="eastAsia" w:ascii="仿宋" w:hAnsi="仿宋" w:eastAsia="仿宋" w:cs="仿宋"/>
          <w:color w:val="auto"/>
          <w:kern w:val="2"/>
          <w:sz w:val="32"/>
          <w:szCs w:val="32"/>
          <w:highlight w:val="none"/>
          <w:lang w:val="en-US" w:eastAsia="zh-CN" w:bidi="ar-SA"/>
        </w:rPr>
        <w:t>配合交易所采取相关措施的；</w:t>
      </w:r>
    </w:p>
    <w:p>
      <w:pPr>
        <w:widowControl w:val="0"/>
        <w:spacing w:line="240" w:lineRule="auto"/>
        <w:ind w:firstLine="640"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（七）发现客户出现突发事件，未按规定采取相应措施，或者未按规定及时报告的；</w:t>
      </w:r>
    </w:p>
    <w:p>
      <w:pPr>
        <w:widowControl w:val="0"/>
        <w:spacing w:line="240" w:lineRule="auto"/>
        <w:ind w:firstLine="640"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（八）未按规定保存客户程序化交易报告信息、核查工作记录或者技术系统测试记录的；</w:t>
      </w:r>
    </w:p>
    <w:p>
      <w:pPr>
        <w:widowControl w:val="0"/>
        <w:spacing w:line="240" w:lineRule="auto"/>
        <w:ind w:firstLine="640"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（九）不配合交易所开展现场检查或者非现场检查的；</w:t>
      </w:r>
    </w:p>
    <w:p>
      <w:pPr>
        <w:ind w:firstLine="600"/>
        <w:jc w:val="both"/>
        <w:rPr>
          <w:rFonts w:hint="eastAsia" w:ascii="仿宋" w:hAnsi="仿宋" w:eastAsia="仿宋" w:cs="Times New Roman"/>
          <w:color w:val="auto"/>
          <w:sz w:val="32"/>
          <w:szCs w:val="32"/>
          <w:highlight w:val="none"/>
        </w:rPr>
      </w:pPr>
      <w:r>
        <w:rPr>
          <w:rFonts w:hint="eastAsia" w:ascii="仿宋" w:hAnsi="仿宋" w:eastAsia="仿宋" w:cs="仿宋"/>
          <w:color w:val="auto"/>
          <w:kern w:val="2"/>
          <w:sz w:val="32"/>
          <w:szCs w:val="32"/>
          <w:highlight w:val="none"/>
          <w:lang w:val="en-US" w:eastAsia="zh-CN" w:bidi="ar-SA"/>
        </w:rPr>
        <w:t>（十）从事</w:t>
      </w:r>
      <w:r>
        <w:rPr>
          <w:rFonts w:ascii="仿宋" w:hAnsi="仿宋" w:eastAsia="仿宋" w:cs="Times New Roman"/>
          <w:color w:val="auto"/>
          <w:sz w:val="32"/>
          <w:szCs w:val="32"/>
          <w:highlight w:val="none"/>
        </w:rPr>
        <w:t>程序化交易，影响交易所系统安全</w:t>
      </w:r>
      <w:r>
        <w:rPr>
          <w:rFonts w:hint="eastAsia" w:ascii="仿宋" w:hAnsi="仿宋" w:eastAsia="仿宋" w:cs="Times New Roman"/>
          <w:color w:val="auto"/>
          <w:sz w:val="32"/>
          <w:szCs w:val="32"/>
          <w:highlight w:val="none"/>
          <w:lang w:eastAsia="zh-CN"/>
        </w:rPr>
        <w:t>或者</w:t>
      </w:r>
      <w:r>
        <w:rPr>
          <w:rFonts w:ascii="仿宋" w:hAnsi="仿宋" w:eastAsia="仿宋" w:cs="Times New Roman"/>
          <w:color w:val="auto"/>
          <w:sz w:val="32"/>
          <w:szCs w:val="32"/>
          <w:highlight w:val="none"/>
        </w:rPr>
        <w:t>正常交易秩序的；</w:t>
      </w:r>
    </w:p>
    <w:p>
      <w:pPr>
        <w:widowControl w:val="0"/>
        <w:spacing w:line="240" w:lineRule="auto"/>
        <w:ind w:firstLine="640"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（十一）交易所规定的其他情形。</w:t>
      </w:r>
    </w:p>
    <w:p>
      <w:pPr>
        <w:widowControl w:val="0"/>
        <w:spacing w:line="240" w:lineRule="auto"/>
        <w:ind w:firstLine="640" w:firstLineChars="200"/>
        <w:jc w:val="both"/>
        <w:rPr>
          <w:rFonts w:hint="default" w:ascii="Times New Roman" w:hAnsi="Times New Roman" w:eastAsia="仿宋_GB2312" w:cs="Times New Roman"/>
          <w:color w:val="auto"/>
          <w:kern w:val="2"/>
          <w:sz w:val="32"/>
          <w:szCs w:val="32"/>
          <w:highlight w:val="none"/>
          <w:lang w:val="en-US" w:eastAsia="zh-CN" w:bidi="ar-SA"/>
        </w:rPr>
      </w:pPr>
    </w:p>
    <w:p>
      <w:pPr>
        <w:widowControl w:val="0"/>
        <w:spacing w:line="240" w:lineRule="auto"/>
        <w:ind w:firstLine="0" w:firstLineChars="0"/>
        <w:jc w:val="center"/>
        <w:rPr>
          <w:rFonts w:hint="default" w:ascii="Times New Roman" w:hAnsi="Times New Roman" w:eastAsia="黑体" w:cs="Times New Roman"/>
          <w:b w:val="0"/>
          <w:bCs/>
          <w:color w:val="auto"/>
          <w:kern w:val="2"/>
          <w:sz w:val="32"/>
          <w:szCs w:val="32"/>
          <w:highlight w:val="none"/>
          <w:lang w:val="en-US" w:eastAsia="zh-CN" w:bidi="ar-SA"/>
        </w:rPr>
      </w:pPr>
      <w:r>
        <w:rPr>
          <w:rFonts w:hint="default" w:ascii="Times New Roman" w:hAnsi="Times New Roman" w:eastAsia="黑体" w:cs="Times New Roman"/>
          <w:b w:val="0"/>
          <w:bCs/>
          <w:color w:val="auto"/>
          <w:kern w:val="2"/>
          <w:sz w:val="32"/>
          <w:szCs w:val="32"/>
          <w:highlight w:val="none"/>
          <w:lang w:val="en-US" w:eastAsia="zh-CN" w:bidi="ar-SA"/>
        </w:rPr>
        <w:t>第七章  附则</w:t>
      </w:r>
    </w:p>
    <w:p>
      <w:pPr>
        <w:widowControl w:val="0"/>
        <w:spacing w:line="240" w:lineRule="auto"/>
        <w:ind w:firstLine="642"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xml:space="preserve">第三十七条 </w:t>
      </w:r>
      <w:r>
        <w:rPr>
          <w:rFonts w:hint="eastAsia" w:ascii="仿宋" w:hAnsi="仿宋" w:eastAsia="仿宋" w:cs="仿宋"/>
          <w:color w:val="auto"/>
          <w:kern w:val="2"/>
          <w:sz w:val="32"/>
          <w:szCs w:val="32"/>
          <w:highlight w:val="none"/>
          <w:lang w:val="en-US" w:eastAsia="zh-CN" w:bidi="ar-SA"/>
        </w:rPr>
        <w:t>违反本办法规定，情节严重的，交易所按照《郑州商品交易所违规处理办法》处理。</w:t>
      </w:r>
    </w:p>
    <w:p>
      <w:pPr>
        <w:widowControl w:val="0"/>
        <w:spacing w:line="240" w:lineRule="auto"/>
        <w:ind w:firstLine="642" w:firstLineChars="200"/>
        <w:jc w:val="both"/>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xml:space="preserve">第三十八条 </w:t>
      </w:r>
      <w:r>
        <w:rPr>
          <w:rFonts w:hint="eastAsia" w:ascii="仿宋" w:hAnsi="仿宋" w:eastAsia="仿宋" w:cs="仿宋"/>
          <w:color w:val="auto"/>
          <w:kern w:val="2"/>
          <w:sz w:val="32"/>
          <w:szCs w:val="32"/>
          <w:highlight w:val="none"/>
          <w:lang w:val="en-US" w:eastAsia="zh-CN" w:bidi="ar-SA"/>
        </w:rPr>
        <w:t>做市商以程序化交易方式从事做市业务的，不适用本办法中高频交易相关规定。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2" w:firstLineChars="200"/>
        <w:jc w:val="both"/>
        <w:textAlignment w:val="auto"/>
        <w:rPr>
          <w:rFonts w:hint="eastAsia" w:ascii="仿宋" w:hAnsi="仿宋" w:eastAsia="仿宋" w:cs="仿宋"/>
          <w:b w:val="0"/>
          <w:bCs w:val="0"/>
          <w:color w:val="auto"/>
          <w:kern w:val="0"/>
          <w:sz w:val="32"/>
          <w:szCs w:val="32"/>
          <w:highlight w:val="none"/>
          <w:lang w:val="zh-TW" w:eastAsia="zh-CN" w:bidi="zh-TW"/>
        </w:rPr>
      </w:pPr>
      <w:r>
        <w:rPr>
          <w:rFonts w:hint="eastAsia" w:ascii="仿宋" w:hAnsi="仿宋" w:eastAsia="仿宋" w:cs="仿宋"/>
          <w:b/>
          <w:bCs/>
          <w:color w:val="auto"/>
          <w:kern w:val="0"/>
          <w:sz w:val="32"/>
          <w:szCs w:val="32"/>
          <w:highlight w:val="none"/>
          <w:lang w:val="zh-TW" w:bidi="zh-TW"/>
        </w:rPr>
        <w:t>第</w:t>
      </w:r>
      <w:r>
        <w:rPr>
          <w:rFonts w:hint="eastAsia" w:ascii="仿宋" w:hAnsi="仿宋" w:eastAsia="仿宋" w:cs="仿宋"/>
          <w:b/>
          <w:bCs/>
          <w:color w:val="auto"/>
          <w:kern w:val="0"/>
          <w:sz w:val="32"/>
          <w:szCs w:val="32"/>
          <w:highlight w:val="none"/>
          <w:lang w:val="zh-TW" w:eastAsia="zh-CN" w:bidi="zh-TW"/>
        </w:rPr>
        <w:t>三十九</w:t>
      </w:r>
      <w:r>
        <w:rPr>
          <w:rFonts w:hint="eastAsia" w:ascii="仿宋" w:hAnsi="仿宋" w:eastAsia="仿宋" w:cs="仿宋"/>
          <w:b/>
          <w:bCs/>
          <w:color w:val="auto"/>
          <w:kern w:val="0"/>
          <w:sz w:val="32"/>
          <w:szCs w:val="32"/>
          <w:highlight w:val="none"/>
          <w:lang w:val="zh-TW" w:bidi="zh-TW"/>
        </w:rPr>
        <w:t>条</w:t>
      </w:r>
      <w:r>
        <w:rPr>
          <w:rFonts w:hint="eastAsia" w:ascii="仿宋" w:hAnsi="仿宋" w:eastAsia="仿宋" w:cs="仿宋"/>
          <w:b/>
          <w:bCs/>
          <w:color w:val="auto"/>
          <w:kern w:val="0"/>
          <w:sz w:val="32"/>
          <w:szCs w:val="32"/>
          <w:highlight w:val="none"/>
          <w:lang w:val="en-US" w:eastAsia="zh-CN" w:bidi="zh-TW"/>
        </w:rPr>
        <w:t xml:space="preserve"> </w:t>
      </w:r>
      <w:r>
        <w:rPr>
          <w:rFonts w:hint="eastAsia" w:ascii="仿宋" w:hAnsi="仿宋" w:eastAsia="仿宋" w:cs="仿宋"/>
          <w:b w:val="0"/>
          <w:bCs w:val="0"/>
          <w:color w:val="auto"/>
          <w:kern w:val="0"/>
          <w:sz w:val="32"/>
          <w:szCs w:val="32"/>
          <w:highlight w:val="none"/>
          <w:lang w:val="zh-TW" w:eastAsia="zh-CN" w:bidi="zh-TW"/>
        </w:rPr>
        <w:t>本办法由交易所负责解释。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2"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bCs/>
          <w:color w:val="auto"/>
          <w:kern w:val="0"/>
          <w:sz w:val="32"/>
          <w:szCs w:val="32"/>
          <w:highlight w:val="none"/>
          <w:lang w:val="zh-TW" w:bidi="zh-TW"/>
        </w:rPr>
        <w:t>第</w:t>
      </w:r>
      <w:r>
        <w:rPr>
          <w:rFonts w:hint="eastAsia" w:ascii="仿宋" w:hAnsi="仿宋" w:eastAsia="仿宋" w:cs="仿宋"/>
          <w:b/>
          <w:bCs/>
          <w:color w:val="auto"/>
          <w:kern w:val="0"/>
          <w:sz w:val="32"/>
          <w:szCs w:val="32"/>
          <w:highlight w:val="none"/>
          <w:lang w:val="zh-TW" w:eastAsia="zh-CN" w:bidi="zh-TW"/>
        </w:rPr>
        <w:t>四十</w:t>
      </w:r>
      <w:r>
        <w:rPr>
          <w:rFonts w:hint="eastAsia" w:ascii="仿宋" w:hAnsi="仿宋" w:eastAsia="仿宋" w:cs="仿宋"/>
          <w:b/>
          <w:bCs/>
          <w:color w:val="auto"/>
          <w:kern w:val="0"/>
          <w:sz w:val="32"/>
          <w:szCs w:val="32"/>
          <w:highlight w:val="none"/>
          <w:lang w:val="zh-TW" w:bidi="zh-TW"/>
        </w:rPr>
        <w:t>条</w:t>
      </w:r>
      <w:r>
        <w:rPr>
          <w:rFonts w:hint="eastAsia" w:ascii="仿宋" w:hAnsi="仿宋" w:eastAsia="仿宋" w:cs="仿宋"/>
          <w:b/>
          <w:bCs/>
          <w:color w:val="auto"/>
          <w:kern w:val="0"/>
          <w:sz w:val="32"/>
          <w:szCs w:val="32"/>
          <w:highlight w:val="none"/>
          <w:lang w:val="en-US" w:eastAsia="zh-CN" w:bidi="zh-TW"/>
        </w:rPr>
        <w:t xml:space="preserve"> </w:t>
      </w:r>
      <w:r>
        <w:rPr>
          <w:rFonts w:hint="eastAsia" w:ascii="仿宋" w:hAnsi="仿宋" w:eastAsia="仿宋" w:cs="仿宋"/>
          <w:color w:val="auto"/>
          <w:sz w:val="32"/>
          <w:szCs w:val="32"/>
          <w:highlight w:val="none"/>
        </w:rPr>
        <w:t>本</w:t>
      </w:r>
      <w:r>
        <w:rPr>
          <w:rFonts w:hint="eastAsia" w:ascii="仿宋" w:hAnsi="仿宋" w:eastAsia="仿宋" w:cs="仿宋"/>
          <w:color w:val="auto"/>
          <w:sz w:val="32"/>
          <w:szCs w:val="32"/>
          <w:highlight w:val="none"/>
          <w:lang w:eastAsia="zh-CN"/>
        </w:rPr>
        <w:t>办法</w:t>
      </w:r>
      <w:r>
        <w:rPr>
          <w:rFonts w:hint="eastAsia" w:ascii="仿宋" w:hAnsi="仿宋" w:eastAsia="仿宋" w:cs="仿宋"/>
          <w:color w:val="auto"/>
          <w:sz w:val="32"/>
          <w:szCs w:val="32"/>
          <w:highlight w:val="none"/>
        </w:rPr>
        <w:t>自</w:t>
      </w:r>
      <w:r>
        <w:rPr>
          <w:rFonts w:hint="eastAsia" w:ascii="仿宋" w:hAnsi="仿宋" w:eastAsia="仿宋" w:cs="仿宋"/>
          <w:color w:val="auto"/>
          <w:sz w:val="32"/>
          <w:szCs w:val="32"/>
          <w:highlight w:val="none"/>
          <w:lang w:val="en-US" w:eastAsia="zh-CN"/>
        </w:rPr>
        <w:t>202X</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X</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X</w:t>
      </w:r>
      <w:r>
        <w:rPr>
          <w:rFonts w:hint="eastAsia" w:ascii="仿宋" w:hAnsi="仿宋" w:eastAsia="仿宋" w:cs="仿宋"/>
          <w:color w:val="auto"/>
          <w:sz w:val="32"/>
          <w:szCs w:val="32"/>
          <w:highlight w:val="none"/>
        </w:rPr>
        <w:t>日起施行</w:t>
      </w:r>
      <w:r>
        <w:rPr>
          <w:rFonts w:hint="eastAsia" w:ascii="仿宋" w:hAnsi="仿宋" w:eastAsia="仿宋" w:cs="仿宋"/>
          <w:color w:val="auto"/>
          <w:sz w:val="32"/>
          <w:szCs w:val="32"/>
          <w:highlight w:val="none"/>
          <w:lang w:eastAsia="zh-CN"/>
        </w:rPr>
        <w:t>。</w:t>
      </w:r>
    </w:p>
    <w:p>
      <w:pPr>
        <w:rPr>
          <w:rFonts w:hint="eastAsia" w:ascii="仿宋" w:hAnsi="仿宋" w:eastAsia="仿宋" w:cs="仿宋"/>
          <w:color w:val="000000"/>
          <w:sz w:val="32"/>
          <w:szCs w:val="32"/>
          <w:highlight w:val="none"/>
        </w:rPr>
      </w:pPr>
      <w:bookmarkStart w:id="0" w:name="_GoBack"/>
      <w:bookmarkEnd w:id="0"/>
    </w:p>
    <w:sectPr>
      <w:footerReference r:id="rId3" w:type="default"/>
      <w:footerReference r:id="rId4" w:type="even"/>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sz w:val="28"/>
      </w:rPr>
    </w:pPr>
    <w:r>
      <w:rPr>
        <w:rFonts w:hint="eastAsia"/>
        <w:sz w:val="28"/>
      </w:rPr>
      <w:t>—</w:t>
    </w:r>
    <w:r>
      <w:rPr>
        <w:rStyle w:val="11"/>
        <w:sz w:val="28"/>
      </w:rPr>
      <w:fldChar w:fldCharType="begin"/>
    </w:r>
    <w:r>
      <w:rPr>
        <w:rStyle w:val="11"/>
        <w:sz w:val="28"/>
      </w:rPr>
      <w:instrText xml:space="preserve"> PAGE </w:instrText>
    </w:r>
    <w:r>
      <w:rPr>
        <w:rStyle w:val="11"/>
        <w:sz w:val="28"/>
      </w:rPr>
      <w:fldChar w:fldCharType="separate"/>
    </w:r>
    <w:r>
      <w:rPr>
        <w:rStyle w:val="11"/>
        <w:sz w:val="28"/>
      </w:rPr>
      <w:t>1</w:t>
    </w:r>
    <w:r>
      <w:rPr>
        <w:rStyle w:val="11"/>
        <w:sz w:val="28"/>
      </w:rPr>
      <w:fldChar w:fldCharType="end"/>
    </w:r>
    <w:r>
      <w:rPr>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rPr>
    </w:pPr>
    <w:r>
      <w:rPr>
        <w:rFonts w:hint="eastAsia"/>
        <w:sz w:val="28"/>
      </w:rPr>
      <w:t>—</w:t>
    </w:r>
    <w:r>
      <w:rPr>
        <w:rStyle w:val="11"/>
        <w:sz w:val="28"/>
      </w:rPr>
      <w:fldChar w:fldCharType="begin"/>
    </w:r>
    <w:r>
      <w:rPr>
        <w:rStyle w:val="11"/>
        <w:sz w:val="28"/>
      </w:rPr>
      <w:instrText xml:space="preserve"> PAGE </w:instrText>
    </w:r>
    <w:r>
      <w:rPr>
        <w:rStyle w:val="11"/>
        <w:sz w:val="28"/>
      </w:rPr>
      <w:fldChar w:fldCharType="separate"/>
    </w:r>
    <w:r>
      <w:rPr>
        <w:rStyle w:val="11"/>
        <w:sz w:val="28"/>
      </w:rPr>
      <w:t>2</w:t>
    </w:r>
    <w:r>
      <w:rPr>
        <w:rStyle w:val="11"/>
        <w:sz w:val="28"/>
      </w:rPr>
      <w:fldChar w:fldCharType="end"/>
    </w:r>
    <w:r>
      <w:rPr>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dit="trackedChanges"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24146"/>
    <w:rsid w:val="000003DC"/>
    <w:rsid w:val="000014F8"/>
    <w:rsid w:val="00002A40"/>
    <w:rsid w:val="00002BEB"/>
    <w:rsid w:val="00002E26"/>
    <w:rsid w:val="00004296"/>
    <w:rsid w:val="00004C6F"/>
    <w:rsid w:val="00004EB1"/>
    <w:rsid w:val="00005702"/>
    <w:rsid w:val="00005E01"/>
    <w:rsid w:val="000073AA"/>
    <w:rsid w:val="00011183"/>
    <w:rsid w:val="00012607"/>
    <w:rsid w:val="0001260C"/>
    <w:rsid w:val="00014A55"/>
    <w:rsid w:val="000169B4"/>
    <w:rsid w:val="0002049C"/>
    <w:rsid w:val="000242DE"/>
    <w:rsid w:val="00025C3E"/>
    <w:rsid w:val="0002676C"/>
    <w:rsid w:val="00026C87"/>
    <w:rsid w:val="00027299"/>
    <w:rsid w:val="00030567"/>
    <w:rsid w:val="000329D1"/>
    <w:rsid w:val="0003324C"/>
    <w:rsid w:val="00034F86"/>
    <w:rsid w:val="00036407"/>
    <w:rsid w:val="00040E90"/>
    <w:rsid w:val="00044139"/>
    <w:rsid w:val="0005173D"/>
    <w:rsid w:val="0005205B"/>
    <w:rsid w:val="00052C5E"/>
    <w:rsid w:val="0005492E"/>
    <w:rsid w:val="00056C26"/>
    <w:rsid w:val="00056C29"/>
    <w:rsid w:val="000608B0"/>
    <w:rsid w:val="000617CC"/>
    <w:rsid w:val="00061A4A"/>
    <w:rsid w:val="00063F3D"/>
    <w:rsid w:val="0006518A"/>
    <w:rsid w:val="00066451"/>
    <w:rsid w:val="0006663E"/>
    <w:rsid w:val="00067B6F"/>
    <w:rsid w:val="00067BE9"/>
    <w:rsid w:val="00074328"/>
    <w:rsid w:val="000754DD"/>
    <w:rsid w:val="00081302"/>
    <w:rsid w:val="00081F28"/>
    <w:rsid w:val="000820C9"/>
    <w:rsid w:val="00082102"/>
    <w:rsid w:val="00082D2E"/>
    <w:rsid w:val="0008334C"/>
    <w:rsid w:val="0008416A"/>
    <w:rsid w:val="00085DE8"/>
    <w:rsid w:val="0008631D"/>
    <w:rsid w:val="000900EC"/>
    <w:rsid w:val="000901D1"/>
    <w:rsid w:val="00094CFF"/>
    <w:rsid w:val="000967AC"/>
    <w:rsid w:val="00097D09"/>
    <w:rsid w:val="000A140C"/>
    <w:rsid w:val="000A4149"/>
    <w:rsid w:val="000A5168"/>
    <w:rsid w:val="000A5A3D"/>
    <w:rsid w:val="000B1E3C"/>
    <w:rsid w:val="000B31FF"/>
    <w:rsid w:val="000B3E74"/>
    <w:rsid w:val="000B4606"/>
    <w:rsid w:val="000B5091"/>
    <w:rsid w:val="000B5688"/>
    <w:rsid w:val="000B7916"/>
    <w:rsid w:val="000B7F13"/>
    <w:rsid w:val="000C172F"/>
    <w:rsid w:val="000C3315"/>
    <w:rsid w:val="000C356C"/>
    <w:rsid w:val="000C3737"/>
    <w:rsid w:val="000C3CDA"/>
    <w:rsid w:val="000C4C59"/>
    <w:rsid w:val="000D0540"/>
    <w:rsid w:val="000D606B"/>
    <w:rsid w:val="000E0627"/>
    <w:rsid w:val="000E06FA"/>
    <w:rsid w:val="000E5475"/>
    <w:rsid w:val="000E67A8"/>
    <w:rsid w:val="000E76FB"/>
    <w:rsid w:val="000F23E7"/>
    <w:rsid w:val="000F29FC"/>
    <w:rsid w:val="000F2DBF"/>
    <w:rsid w:val="000F40AA"/>
    <w:rsid w:val="001033A4"/>
    <w:rsid w:val="001062DA"/>
    <w:rsid w:val="001065BE"/>
    <w:rsid w:val="001077B5"/>
    <w:rsid w:val="00110A8C"/>
    <w:rsid w:val="00110E85"/>
    <w:rsid w:val="00110E86"/>
    <w:rsid w:val="001213D3"/>
    <w:rsid w:val="0012151D"/>
    <w:rsid w:val="001228B3"/>
    <w:rsid w:val="00123B67"/>
    <w:rsid w:val="00124271"/>
    <w:rsid w:val="00125339"/>
    <w:rsid w:val="00127039"/>
    <w:rsid w:val="001314E3"/>
    <w:rsid w:val="00133D3D"/>
    <w:rsid w:val="00136D74"/>
    <w:rsid w:val="00137D11"/>
    <w:rsid w:val="00140916"/>
    <w:rsid w:val="001409DF"/>
    <w:rsid w:val="001412CA"/>
    <w:rsid w:val="001433B9"/>
    <w:rsid w:val="00143967"/>
    <w:rsid w:val="00143D92"/>
    <w:rsid w:val="001441F8"/>
    <w:rsid w:val="001447A0"/>
    <w:rsid w:val="0014593B"/>
    <w:rsid w:val="0014676B"/>
    <w:rsid w:val="00147675"/>
    <w:rsid w:val="00151823"/>
    <w:rsid w:val="00153C74"/>
    <w:rsid w:val="00154105"/>
    <w:rsid w:val="00156318"/>
    <w:rsid w:val="00162E48"/>
    <w:rsid w:val="00163045"/>
    <w:rsid w:val="00163388"/>
    <w:rsid w:val="00163ECE"/>
    <w:rsid w:val="00164038"/>
    <w:rsid w:val="00164B62"/>
    <w:rsid w:val="00164F46"/>
    <w:rsid w:val="00171E7C"/>
    <w:rsid w:val="00171F06"/>
    <w:rsid w:val="0017384B"/>
    <w:rsid w:val="001749E5"/>
    <w:rsid w:val="00176367"/>
    <w:rsid w:val="00176437"/>
    <w:rsid w:val="00180471"/>
    <w:rsid w:val="00181992"/>
    <w:rsid w:val="00181DFD"/>
    <w:rsid w:val="0018239C"/>
    <w:rsid w:val="001861A4"/>
    <w:rsid w:val="001862D9"/>
    <w:rsid w:val="00190EE2"/>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973"/>
    <w:rsid w:val="001C1EBD"/>
    <w:rsid w:val="001C37A9"/>
    <w:rsid w:val="001C4BA8"/>
    <w:rsid w:val="001C4E7B"/>
    <w:rsid w:val="001C5426"/>
    <w:rsid w:val="001C5CE6"/>
    <w:rsid w:val="001C7403"/>
    <w:rsid w:val="001D3188"/>
    <w:rsid w:val="001D33B7"/>
    <w:rsid w:val="001D6F9A"/>
    <w:rsid w:val="001D73CB"/>
    <w:rsid w:val="001E18EE"/>
    <w:rsid w:val="001E18F9"/>
    <w:rsid w:val="001E366C"/>
    <w:rsid w:val="001E451A"/>
    <w:rsid w:val="001E4DE0"/>
    <w:rsid w:val="001E4FD8"/>
    <w:rsid w:val="001E66F0"/>
    <w:rsid w:val="001F04EB"/>
    <w:rsid w:val="001F261A"/>
    <w:rsid w:val="001F273A"/>
    <w:rsid w:val="001F39F7"/>
    <w:rsid w:val="001F3D02"/>
    <w:rsid w:val="001F4C5C"/>
    <w:rsid w:val="001F52D8"/>
    <w:rsid w:val="001F5336"/>
    <w:rsid w:val="001F65F6"/>
    <w:rsid w:val="001F7336"/>
    <w:rsid w:val="001F7DEE"/>
    <w:rsid w:val="002027A7"/>
    <w:rsid w:val="002030EA"/>
    <w:rsid w:val="002064B3"/>
    <w:rsid w:val="0021318F"/>
    <w:rsid w:val="00213A1D"/>
    <w:rsid w:val="00215DED"/>
    <w:rsid w:val="002203D1"/>
    <w:rsid w:val="0022053E"/>
    <w:rsid w:val="002205AB"/>
    <w:rsid w:val="0022195F"/>
    <w:rsid w:val="0022333C"/>
    <w:rsid w:val="00223499"/>
    <w:rsid w:val="00225630"/>
    <w:rsid w:val="002265F2"/>
    <w:rsid w:val="00227684"/>
    <w:rsid w:val="00227B57"/>
    <w:rsid w:val="002308AD"/>
    <w:rsid w:val="00230BBB"/>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20CF"/>
    <w:rsid w:val="0025352C"/>
    <w:rsid w:val="00253770"/>
    <w:rsid w:val="002548CD"/>
    <w:rsid w:val="00257D88"/>
    <w:rsid w:val="0026069B"/>
    <w:rsid w:val="00264F33"/>
    <w:rsid w:val="002658FB"/>
    <w:rsid w:val="002669A1"/>
    <w:rsid w:val="00267DAA"/>
    <w:rsid w:val="00270AE1"/>
    <w:rsid w:val="002719A7"/>
    <w:rsid w:val="002735CC"/>
    <w:rsid w:val="0028016B"/>
    <w:rsid w:val="00280F80"/>
    <w:rsid w:val="00281DBB"/>
    <w:rsid w:val="002829F2"/>
    <w:rsid w:val="0028462F"/>
    <w:rsid w:val="00286088"/>
    <w:rsid w:val="00287836"/>
    <w:rsid w:val="00287BED"/>
    <w:rsid w:val="00291BA0"/>
    <w:rsid w:val="00291E6A"/>
    <w:rsid w:val="002953EA"/>
    <w:rsid w:val="00297E3F"/>
    <w:rsid w:val="002A08CD"/>
    <w:rsid w:val="002A0A8F"/>
    <w:rsid w:val="002A2D8E"/>
    <w:rsid w:val="002A3208"/>
    <w:rsid w:val="002A7323"/>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18E0"/>
    <w:rsid w:val="002D4C09"/>
    <w:rsid w:val="002D5C89"/>
    <w:rsid w:val="002D65E5"/>
    <w:rsid w:val="002D6773"/>
    <w:rsid w:val="002E1A35"/>
    <w:rsid w:val="002E3400"/>
    <w:rsid w:val="002E39C3"/>
    <w:rsid w:val="002E39F5"/>
    <w:rsid w:val="002E481D"/>
    <w:rsid w:val="002E7A81"/>
    <w:rsid w:val="002F05FB"/>
    <w:rsid w:val="002F1A51"/>
    <w:rsid w:val="002F1A8D"/>
    <w:rsid w:val="002F4C97"/>
    <w:rsid w:val="002F5419"/>
    <w:rsid w:val="0030292D"/>
    <w:rsid w:val="00303B0A"/>
    <w:rsid w:val="00303FBB"/>
    <w:rsid w:val="00306EBE"/>
    <w:rsid w:val="0031001B"/>
    <w:rsid w:val="00312BA8"/>
    <w:rsid w:val="003149DA"/>
    <w:rsid w:val="00317E1B"/>
    <w:rsid w:val="00321B8F"/>
    <w:rsid w:val="00321C8E"/>
    <w:rsid w:val="003223F2"/>
    <w:rsid w:val="003226A6"/>
    <w:rsid w:val="003231B1"/>
    <w:rsid w:val="0032481B"/>
    <w:rsid w:val="003273C2"/>
    <w:rsid w:val="003301BB"/>
    <w:rsid w:val="003314C9"/>
    <w:rsid w:val="00333080"/>
    <w:rsid w:val="00335072"/>
    <w:rsid w:val="00335E82"/>
    <w:rsid w:val="00336655"/>
    <w:rsid w:val="0033681A"/>
    <w:rsid w:val="00340820"/>
    <w:rsid w:val="00344236"/>
    <w:rsid w:val="00344F8F"/>
    <w:rsid w:val="003461AD"/>
    <w:rsid w:val="00347FB0"/>
    <w:rsid w:val="00350091"/>
    <w:rsid w:val="00352A3F"/>
    <w:rsid w:val="003561DD"/>
    <w:rsid w:val="003602CA"/>
    <w:rsid w:val="003627A4"/>
    <w:rsid w:val="00362860"/>
    <w:rsid w:val="0036356D"/>
    <w:rsid w:val="00364976"/>
    <w:rsid w:val="00365F05"/>
    <w:rsid w:val="0037359E"/>
    <w:rsid w:val="0037586C"/>
    <w:rsid w:val="0037605A"/>
    <w:rsid w:val="00377265"/>
    <w:rsid w:val="003801B1"/>
    <w:rsid w:val="00381368"/>
    <w:rsid w:val="00382985"/>
    <w:rsid w:val="003849B5"/>
    <w:rsid w:val="00384FA8"/>
    <w:rsid w:val="00386551"/>
    <w:rsid w:val="00390ABB"/>
    <w:rsid w:val="003913E8"/>
    <w:rsid w:val="00392985"/>
    <w:rsid w:val="003930F1"/>
    <w:rsid w:val="00393181"/>
    <w:rsid w:val="00395343"/>
    <w:rsid w:val="003967D5"/>
    <w:rsid w:val="003A133D"/>
    <w:rsid w:val="003A7001"/>
    <w:rsid w:val="003A748A"/>
    <w:rsid w:val="003A7807"/>
    <w:rsid w:val="003A7D1E"/>
    <w:rsid w:val="003B01E2"/>
    <w:rsid w:val="003B51C1"/>
    <w:rsid w:val="003B7506"/>
    <w:rsid w:val="003B7561"/>
    <w:rsid w:val="003B75E3"/>
    <w:rsid w:val="003B75EE"/>
    <w:rsid w:val="003C051B"/>
    <w:rsid w:val="003C1A4A"/>
    <w:rsid w:val="003C221D"/>
    <w:rsid w:val="003C2638"/>
    <w:rsid w:val="003C3470"/>
    <w:rsid w:val="003C4245"/>
    <w:rsid w:val="003C5A99"/>
    <w:rsid w:val="003D0613"/>
    <w:rsid w:val="003D0967"/>
    <w:rsid w:val="003D19D2"/>
    <w:rsid w:val="003D556B"/>
    <w:rsid w:val="003D55EF"/>
    <w:rsid w:val="003D5867"/>
    <w:rsid w:val="003D7F73"/>
    <w:rsid w:val="003E0362"/>
    <w:rsid w:val="003E1029"/>
    <w:rsid w:val="003E2FE4"/>
    <w:rsid w:val="003E3ED2"/>
    <w:rsid w:val="003E6C9F"/>
    <w:rsid w:val="003E73A5"/>
    <w:rsid w:val="003E7595"/>
    <w:rsid w:val="003E787F"/>
    <w:rsid w:val="003F01B2"/>
    <w:rsid w:val="003F0D09"/>
    <w:rsid w:val="003F4183"/>
    <w:rsid w:val="003F769A"/>
    <w:rsid w:val="003F7EF5"/>
    <w:rsid w:val="004018D9"/>
    <w:rsid w:val="00403A9B"/>
    <w:rsid w:val="00404591"/>
    <w:rsid w:val="00406F84"/>
    <w:rsid w:val="00407062"/>
    <w:rsid w:val="00410188"/>
    <w:rsid w:val="00410991"/>
    <w:rsid w:val="00411DB1"/>
    <w:rsid w:val="004126B3"/>
    <w:rsid w:val="00416877"/>
    <w:rsid w:val="00420973"/>
    <w:rsid w:val="00423667"/>
    <w:rsid w:val="00425A35"/>
    <w:rsid w:val="00426A35"/>
    <w:rsid w:val="0043178A"/>
    <w:rsid w:val="00433114"/>
    <w:rsid w:val="00433274"/>
    <w:rsid w:val="00433B15"/>
    <w:rsid w:val="004374B5"/>
    <w:rsid w:val="004408B1"/>
    <w:rsid w:val="00440D54"/>
    <w:rsid w:val="00440F13"/>
    <w:rsid w:val="004414FB"/>
    <w:rsid w:val="00442279"/>
    <w:rsid w:val="00444BEC"/>
    <w:rsid w:val="00444D7A"/>
    <w:rsid w:val="00446281"/>
    <w:rsid w:val="00446447"/>
    <w:rsid w:val="00446938"/>
    <w:rsid w:val="004473BE"/>
    <w:rsid w:val="0045364B"/>
    <w:rsid w:val="0046210E"/>
    <w:rsid w:val="00462A8C"/>
    <w:rsid w:val="00466AFC"/>
    <w:rsid w:val="00470443"/>
    <w:rsid w:val="00470D46"/>
    <w:rsid w:val="00473ED2"/>
    <w:rsid w:val="00474229"/>
    <w:rsid w:val="004801BA"/>
    <w:rsid w:val="004821A8"/>
    <w:rsid w:val="004821D3"/>
    <w:rsid w:val="004829A0"/>
    <w:rsid w:val="00486416"/>
    <w:rsid w:val="0049095F"/>
    <w:rsid w:val="00490F3B"/>
    <w:rsid w:val="00492DA4"/>
    <w:rsid w:val="00492DE1"/>
    <w:rsid w:val="0049421E"/>
    <w:rsid w:val="0049451D"/>
    <w:rsid w:val="00496FBD"/>
    <w:rsid w:val="00497FC8"/>
    <w:rsid w:val="004A089A"/>
    <w:rsid w:val="004A0F82"/>
    <w:rsid w:val="004A5508"/>
    <w:rsid w:val="004A59DC"/>
    <w:rsid w:val="004A627A"/>
    <w:rsid w:val="004B0CDC"/>
    <w:rsid w:val="004B0E10"/>
    <w:rsid w:val="004B164D"/>
    <w:rsid w:val="004B2684"/>
    <w:rsid w:val="004B39FE"/>
    <w:rsid w:val="004B4495"/>
    <w:rsid w:val="004B45F9"/>
    <w:rsid w:val="004B63B0"/>
    <w:rsid w:val="004C14F0"/>
    <w:rsid w:val="004C1BB7"/>
    <w:rsid w:val="004C23D2"/>
    <w:rsid w:val="004C3FD8"/>
    <w:rsid w:val="004C47BC"/>
    <w:rsid w:val="004C6E1A"/>
    <w:rsid w:val="004D0874"/>
    <w:rsid w:val="004D0C9D"/>
    <w:rsid w:val="004D0D5C"/>
    <w:rsid w:val="004D1EE3"/>
    <w:rsid w:val="004D2CD1"/>
    <w:rsid w:val="004D409A"/>
    <w:rsid w:val="004E1889"/>
    <w:rsid w:val="004E390F"/>
    <w:rsid w:val="004E5897"/>
    <w:rsid w:val="004E683C"/>
    <w:rsid w:val="004E7E37"/>
    <w:rsid w:val="004E7F35"/>
    <w:rsid w:val="004F0AD2"/>
    <w:rsid w:val="004F3A0C"/>
    <w:rsid w:val="004F5AB1"/>
    <w:rsid w:val="004F67B5"/>
    <w:rsid w:val="005001D1"/>
    <w:rsid w:val="00501C80"/>
    <w:rsid w:val="005046CA"/>
    <w:rsid w:val="005048F5"/>
    <w:rsid w:val="00504FC1"/>
    <w:rsid w:val="00505011"/>
    <w:rsid w:val="00505EDB"/>
    <w:rsid w:val="00507749"/>
    <w:rsid w:val="00507CE6"/>
    <w:rsid w:val="00507D2B"/>
    <w:rsid w:val="00511586"/>
    <w:rsid w:val="0051381C"/>
    <w:rsid w:val="00514116"/>
    <w:rsid w:val="005153FE"/>
    <w:rsid w:val="0052702A"/>
    <w:rsid w:val="00530165"/>
    <w:rsid w:val="00535129"/>
    <w:rsid w:val="005379F1"/>
    <w:rsid w:val="00540AA8"/>
    <w:rsid w:val="00541F96"/>
    <w:rsid w:val="00542C13"/>
    <w:rsid w:val="00543AC5"/>
    <w:rsid w:val="00545CBA"/>
    <w:rsid w:val="00546229"/>
    <w:rsid w:val="00546406"/>
    <w:rsid w:val="00550E30"/>
    <w:rsid w:val="00551A87"/>
    <w:rsid w:val="00551C0C"/>
    <w:rsid w:val="00554132"/>
    <w:rsid w:val="0055488E"/>
    <w:rsid w:val="00554FF2"/>
    <w:rsid w:val="0055541A"/>
    <w:rsid w:val="00556447"/>
    <w:rsid w:val="005621AA"/>
    <w:rsid w:val="005628BD"/>
    <w:rsid w:val="00563C76"/>
    <w:rsid w:val="00564C50"/>
    <w:rsid w:val="005668E5"/>
    <w:rsid w:val="00566CC1"/>
    <w:rsid w:val="00567284"/>
    <w:rsid w:val="00570705"/>
    <w:rsid w:val="00571B6C"/>
    <w:rsid w:val="005729DA"/>
    <w:rsid w:val="00574D60"/>
    <w:rsid w:val="005819FD"/>
    <w:rsid w:val="00581D48"/>
    <w:rsid w:val="00583F73"/>
    <w:rsid w:val="005846F6"/>
    <w:rsid w:val="0058594A"/>
    <w:rsid w:val="0059177F"/>
    <w:rsid w:val="00592AEE"/>
    <w:rsid w:val="00592EA1"/>
    <w:rsid w:val="00593014"/>
    <w:rsid w:val="0059455E"/>
    <w:rsid w:val="0059464C"/>
    <w:rsid w:val="00595D4E"/>
    <w:rsid w:val="005A1D09"/>
    <w:rsid w:val="005A50CF"/>
    <w:rsid w:val="005A6A99"/>
    <w:rsid w:val="005B0920"/>
    <w:rsid w:val="005B1FA4"/>
    <w:rsid w:val="005B2CFA"/>
    <w:rsid w:val="005B3EB0"/>
    <w:rsid w:val="005B4FEC"/>
    <w:rsid w:val="005B543A"/>
    <w:rsid w:val="005B5660"/>
    <w:rsid w:val="005B59CF"/>
    <w:rsid w:val="005B6DD9"/>
    <w:rsid w:val="005C02E0"/>
    <w:rsid w:val="005C04FC"/>
    <w:rsid w:val="005C0873"/>
    <w:rsid w:val="005C19CA"/>
    <w:rsid w:val="005C2E57"/>
    <w:rsid w:val="005C5072"/>
    <w:rsid w:val="005D1EB0"/>
    <w:rsid w:val="005D3662"/>
    <w:rsid w:val="005D514A"/>
    <w:rsid w:val="005D5928"/>
    <w:rsid w:val="005D592A"/>
    <w:rsid w:val="005D6191"/>
    <w:rsid w:val="005D6E7E"/>
    <w:rsid w:val="005D7939"/>
    <w:rsid w:val="005E0426"/>
    <w:rsid w:val="005E0D26"/>
    <w:rsid w:val="005E3374"/>
    <w:rsid w:val="005E3E96"/>
    <w:rsid w:val="005E5956"/>
    <w:rsid w:val="005E5BC9"/>
    <w:rsid w:val="005F12E8"/>
    <w:rsid w:val="005F21B2"/>
    <w:rsid w:val="005F4FB5"/>
    <w:rsid w:val="005F6138"/>
    <w:rsid w:val="005F713B"/>
    <w:rsid w:val="005F7E81"/>
    <w:rsid w:val="00601454"/>
    <w:rsid w:val="00602ADC"/>
    <w:rsid w:val="00603D6E"/>
    <w:rsid w:val="00604BB9"/>
    <w:rsid w:val="00606801"/>
    <w:rsid w:val="00607C2B"/>
    <w:rsid w:val="00607DBD"/>
    <w:rsid w:val="00610591"/>
    <w:rsid w:val="00611DD7"/>
    <w:rsid w:val="00613D08"/>
    <w:rsid w:val="0061555B"/>
    <w:rsid w:val="00617CB2"/>
    <w:rsid w:val="00620DF9"/>
    <w:rsid w:val="00621317"/>
    <w:rsid w:val="00623308"/>
    <w:rsid w:val="006248CD"/>
    <w:rsid w:val="00624A63"/>
    <w:rsid w:val="00625B3C"/>
    <w:rsid w:val="0062699B"/>
    <w:rsid w:val="00630498"/>
    <w:rsid w:val="006313FE"/>
    <w:rsid w:val="006314E1"/>
    <w:rsid w:val="006328C3"/>
    <w:rsid w:val="00632F5E"/>
    <w:rsid w:val="00633E7F"/>
    <w:rsid w:val="0063717C"/>
    <w:rsid w:val="00640929"/>
    <w:rsid w:val="00641386"/>
    <w:rsid w:val="00641C5C"/>
    <w:rsid w:val="00642D37"/>
    <w:rsid w:val="00642E46"/>
    <w:rsid w:val="00644D4D"/>
    <w:rsid w:val="00645213"/>
    <w:rsid w:val="006474F9"/>
    <w:rsid w:val="0065129A"/>
    <w:rsid w:val="00651AEC"/>
    <w:rsid w:val="00651D9C"/>
    <w:rsid w:val="00652D9B"/>
    <w:rsid w:val="00653B1E"/>
    <w:rsid w:val="00653EDC"/>
    <w:rsid w:val="00654E70"/>
    <w:rsid w:val="00655591"/>
    <w:rsid w:val="006562F6"/>
    <w:rsid w:val="00660A2F"/>
    <w:rsid w:val="00660B6E"/>
    <w:rsid w:val="0066166E"/>
    <w:rsid w:val="006627B1"/>
    <w:rsid w:val="00663022"/>
    <w:rsid w:val="0066351A"/>
    <w:rsid w:val="00665C44"/>
    <w:rsid w:val="00665DDA"/>
    <w:rsid w:val="006703FE"/>
    <w:rsid w:val="00670F02"/>
    <w:rsid w:val="0067102D"/>
    <w:rsid w:val="0067266B"/>
    <w:rsid w:val="00673F4C"/>
    <w:rsid w:val="006742EA"/>
    <w:rsid w:val="00674913"/>
    <w:rsid w:val="00674E39"/>
    <w:rsid w:val="00675C82"/>
    <w:rsid w:val="00677267"/>
    <w:rsid w:val="0068138E"/>
    <w:rsid w:val="00684780"/>
    <w:rsid w:val="00685E2A"/>
    <w:rsid w:val="00686E1A"/>
    <w:rsid w:val="0069003D"/>
    <w:rsid w:val="0069003F"/>
    <w:rsid w:val="00692E94"/>
    <w:rsid w:val="006969B9"/>
    <w:rsid w:val="006A0F09"/>
    <w:rsid w:val="006A1AEA"/>
    <w:rsid w:val="006A2176"/>
    <w:rsid w:val="006A3A0A"/>
    <w:rsid w:val="006A5EA4"/>
    <w:rsid w:val="006A6DE3"/>
    <w:rsid w:val="006A7851"/>
    <w:rsid w:val="006A7EA8"/>
    <w:rsid w:val="006B0ACE"/>
    <w:rsid w:val="006B2BDD"/>
    <w:rsid w:val="006C02A5"/>
    <w:rsid w:val="006C0447"/>
    <w:rsid w:val="006C203E"/>
    <w:rsid w:val="006C38A4"/>
    <w:rsid w:val="006C49FD"/>
    <w:rsid w:val="006C4B97"/>
    <w:rsid w:val="006C50CD"/>
    <w:rsid w:val="006C6454"/>
    <w:rsid w:val="006C7AC8"/>
    <w:rsid w:val="006D149C"/>
    <w:rsid w:val="006D1EA3"/>
    <w:rsid w:val="006D3857"/>
    <w:rsid w:val="006D4925"/>
    <w:rsid w:val="006D569A"/>
    <w:rsid w:val="006D6219"/>
    <w:rsid w:val="006E31D8"/>
    <w:rsid w:val="006E6A2A"/>
    <w:rsid w:val="006E7EF6"/>
    <w:rsid w:val="006F0484"/>
    <w:rsid w:val="006F080C"/>
    <w:rsid w:val="006F1359"/>
    <w:rsid w:val="006F1E58"/>
    <w:rsid w:val="006F23CB"/>
    <w:rsid w:val="006F48E3"/>
    <w:rsid w:val="006F52E3"/>
    <w:rsid w:val="006F7338"/>
    <w:rsid w:val="006F74A2"/>
    <w:rsid w:val="00700211"/>
    <w:rsid w:val="007011FA"/>
    <w:rsid w:val="00703268"/>
    <w:rsid w:val="0070466B"/>
    <w:rsid w:val="00704C41"/>
    <w:rsid w:val="00705B6C"/>
    <w:rsid w:val="0071126F"/>
    <w:rsid w:val="00713696"/>
    <w:rsid w:val="00716716"/>
    <w:rsid w:val="007174FB"/>
    <w:rsid w:val="0072193C"/>
    <w:rsid w:val="00722195"/>
    <w:rsid w:val="00722DF3"/>
    <w:rsid w:val="0072337C"/>
    <w:rsid w:val="00725DC9"/>
    <w:rsid w:val="00733F45"/>
    <w:rsid w:val="007353B7"/>
    <w:rsid w:val="007401A6"/>
    <w:rsid w:val="007411E7"/>
    <w:rsid w:val="007421F7"/>
    <w:rsid w:val="00743992"/>
    <w:rsid w:val="00744643"/>
    <w:rsid w:val="00746E50"/>
    <w:rsid w:val="00753B62"/>
    <w:rsid w:val="00756541"/>
    <w:rsid w:val="007577C1"/>
    <w:rsid w:val="00762951"/>
    <w:rsid w:val="00762D59"/>
    <w:rsid w:val="00764E4E"/>
    <w:rsid w:val="00767AB0"/>
    <w:rsid w:val="00767CFD"/>
    <w:rsid w:val="00767F64"/>
    <w:rsid w:val="00770243"/>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68B2"/>
    <w:rsid w:val="007969D1"/>
    <w:rsid w:val="00797651"/>
    <w:rsid w:val="007A1C3A"/>
    <w:rsid w:val="007A70CF"/>
    <w:rsid w:val="007A7856"/>
    <w:rsid w:val="007B045B"/>
    <w:rsid w:val="007B0AAD"/>
    <w:rsid w:val="007B0F2F"/>
    <w:rsid w:val="007B225A"/>
    <w:rsid w:val="007B3428"/>
    <w:rsid w:val="007B3443"/>
    <w:rsid w:val="007B6913"/>
    <w:rsid w:val="007B74D2"/>
    <w:rsid w:val="007B7CB6"/>
    <w:rsid w:val="007C0A55"/>
    <w:rsid w:val="007C406F"/>
    <w:rsid w:val="007C41F5"/>
    <w:rsid w:val="007C44FF"/>
    <w:rsid w:val="007D0291"/>
    <w:rsid w:val="007D117D"/>
    <w:rsid w:val="007D50B2"/>
    <w:rsid w:val="007E1202"/>
    <w:rsid w:val="007E1648"/>
    <w:rsid w:val="007E1CF4"/>
    <w:rsid w:val="007E4F5C"/>
    <w:rsid w:val="007E7979"/>
    <w:rsid w:val="007F0B9C"/>
    <w:rsid w:val="007F107A"/>
    <w:rsid w:val="007F12DF"/>
    <w:rsid w:val="007F25BD"/>
    <w:rsid w:val="007F47CF"/>
    <w:rsid w:val="007F5054"/>
    <w:rsid w:val="00801505"/>
    <w:rsid w:val="008041DD"/>
    <w:rsid w:val="0080452C"/>
    <w:rsid w:val="00805924"/>
    <w:rsid w:val="008079BF"/>
    <w:rsid w:val="00807B60"/>
    <w:rsid w:val="00807C11"/>
    <w:rsid w:val="008105F4"/>
    <w:rsid w:val="008119D8"/>
    <w:rsid w:val="00811E93"/>
    <w:rsid w:val="008125CE"/>
    <w:rsid w:val="008146E6"/>
    <w:rsid w:val="00814C5F"/>
    <w:rsid w:val="008251A9"/>
    <w:rsid w:val="008332E6"/>
    <w:rsid w:val="0083409E"/>
    <w:rsid w:val="008347C5"/>
    <w:rsid w:val="008353DC"/>
    <w:rsid w:val="00835DF3"/>
    <w:rsid w:val="00840C50"/>
    <w:rsid w:val="00842221"/>
    <w:rsid w:val="00843C4D"/>
    <w:rsid w:val="008455D2"/>
    <w:rsid w:val="0085191E"/>
    <w:rsid w:val="0085280D"/>
    <w:rsid w:val="00852862"/>
    <w:rsid w:val="00852DEC"/>
    <w:rsid w:val="00854C4A"/>
    <w:rsid w:val="00855939"/>
    <w:rsid w:val="00855A48"/>
    <w:rsid w:val="00857098"/>
    <w:rsid w:val="00857D9B"/>
    <w:rsid w:val="00860824"/>
    <w:rsid w:val="0086088F"/>
    <w:rsid w:val="00860F09"/>
    <w:rsid w:val="00862247"/>
    <w:rsid w:val="0086374F"/>
    <w:rsid w:val="0086458C"/>
    <w:rsid w:val="00865982"/>
    <w:rsid w:val="0086733F"/>
    <w:rsid w:val="008677F8"/>
    <w:rsid w:val="0087311C"/>
    <w:rsid w:val="0087312B"/>
    <w:rsid w:val="00877623"/>
    <w:rsid w:val="00880FE3"/>
    <w:rsid w:val="00882998"/>
    <w:rsid w:val="00885AF3"/>
    <w:rsid w:val="008861DB"/>
    <w:rsid w:val="00887BC0"/>
    <w:rsid w:val="00890E4E"/>
    <w:rsid w:val="0089125A"/>
    <w:rsid w:val="00892CEA"/>
    <w:rsid w:val="00893FA5"/>
    <w:rsid w:val="00895ED3"/>
    <w:rsid w:val="00896A7D"/>
    <w:rsid w:val="00896D80"/>
    <w:rsid w:val="00896F45"/>
    <w:rsid w:val="008975C2"/>
    <w:rsid w:val="00897F0A"/>
    <w:rsid w:val="008A29C6"/>
    <w:rsid w:val="008A3724"/>
    <w:rsid w:val="008A37A0"/>
    <w:rsid w:val="008A3D86"/>
    <w:rsid w:val="008A4369"/>
    <w:rsid w:val="008A66DA"/>
    <w:rsid w:val="008A6A41"/>
    <w:rsid w:val="008A7137"/>
    <w:rsid w:val="008A73A6"/>
    <w:rsid w:val="008A752D"/>
    <w:rsid w:val="008B108E"/>
    <w:rsid w:val="008B2163"/>
    <w:rsid w:val="008B3CAF"/>
    <w:rsid w:val="008B4109"/>
    <w:rsid w:val="008B44D1"/>
    <w:rsid w:val="008B58D3"/>
    <w:rsid w:val="008B666D"/>
    <w:rsid w:val="008C4D65"/>
    <w:rsid w:val="008C5808"/>
    <w:rsid w:val="008C6277"/>
    <w:rsid w:val="008C686F"/>
    <w:rsid w:val="008C69E6"/>
    <w:rsid w:val="008C791C"/>
    <w:rsid w:val="008C79E3"/>
    <w:rsid w:val="008C7A2C"/>
    <w:rsid w:val="008D23FE"/>
    <w:rsid w:val="008D6A30"/>
    <w:rsid w:val="008D7E6C"/>
    <w:rsid w:val="008D7F8E"/>
    <w:rsid w:val="008E1CF1"/>
    <w:rsid w:val="008E4864"/>
    <w:rsid w:val="008E4EC9"/>
    <w:rsid w:val="008E5280"/>
    <w:rsid w:val="008F194F"/>
    <w:rsid w:val="008F23BA"/>
    <w:rsid w:val="008F2868"/>
    <w:rsid w:val="008F707F"/>
    <w:rsid w:val="008F7AF0"/>
    <w:rsid w:val="00907630"/>
    <w:rsid w:val="00907746"/>
    <w:rsid w:val="00907C21"/>
    <w:rsid w:val="00912290"/>
    <w:rsid w:val="009179C7"/>
    <w:rsid w:val="00922713"/>
    <w:rsid w:val="0092514C"/>
    <w:rsid w:val="00925743"/>
    <w:rsid w:val="00926249"/>
    <w:rsid w:val="009267BE"/>
    <w:rsid w:val="00927B12"/>
    <w:rsid w:val="00927DD5"/>
    <w:rsid w:val="00933314"/>
    <w:rsid w:val="00935873"/>
    <w:rsid w:val="00935C78"/>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283C"/>
    <w:rsid w:val="00953FE9"/>
    <w:rsid w:val="00967314"/>
    <w:rsid w:val="00967401"/>
    <w:rsid w:val="00967C83"/>
    <w:rsid w:val="009700D9"/>
    <w:rsid w:val="00975B60"/>
    <w:rsid w:val="009773DF"/>
    <w:rsid w:val="00977777"/>
    <w:rsid w:val="00983412"/>
    <w:rsid w:val="00983BF7"/>
    <w:rsid w:val="00985E9D"/>
    <w:rsid w:val="00987CD9"/>
    <w:rsid w:val="0099036A"/>
    <w:rsid w:val="00990981"/>
    <w:rsid w:val="00991648"/>
    <w:rsid w:val="00992245"/>
    <w:rsid w:val="009A2431"/>
    <w:rsid w:val="009A3D9F"/>
    <w:rsid w:val="009A707D"/>
    <w:rsid w:val="009A79B7"/>
    <w:rsid w:val="009B0EFA"/>
    <w:rsid w:val="009B1069"/>
    <w:rsid w:val="009B1625"/>
    <w:rsid w:val="009B35A4"/>
    <w:rsid w:val="009B414D"/>
    <w:rsid w:val="009B6E50"/>
    <w:rsid w:val="009C19F3"/>
    <w:rsid w:val="009C1C67"/>
    <w:rsid w:val="009C5B82"/>
    <w:rsid w:val="009C787A"/>
    <w:rsid w:val="009C7BAB"/>
    <w:rsid w:val="009D1570"/>
    <w:rsid w:val="009D2E15"/>
    <w:rsid w:val="009D3D00"/>
    <w:rsid w:val="009D433B"/>
    <w:rsid w:val="009D45FF"/>
    <w:rsid w:val="009E0A2C"/>
    <w:rsid w:val="009E1660"/>
    <w:rsid w:val="009E1A47"/>
    <w:rsid w:val="009E2FE7"/>
    <w:rsid w:val="009E4DFE"/>
    <w:rsid w:val="009F1B63"/>
    <w:rsid w:val="009F42EE"/>
    <w:rsid w:val="009F6A61"/>
    <w:rsid w:val="00A01A63"/>
    <w:rsid w:val="00A03706"/>
    <w:rsid w:val="00A03D5B"/>
    <w:rsid w:val="00A05EE7"/>
    <w:rsid w:val="00A10A72"/>
    <w:rsid w:val="00A1115B"/>
    <w:rsid w:val="00A1204A"/>
    <w:rsid w:val="00A12080"/>
    <w:rsid w:val="00A152FF"/>
    <w:rsid w:val="00A16314"/>
    <w:rsid w:val="00A216CB"/>
    <w:rsid w:val="00A21917"/>
    <w:rsid w:val="00A220C3"/>
    <w:rsid w:val="00A22A2E"/>
    <w:rsid w:val="00A22BFF"/>
    <w:rsid w:val="00A232D8"/>
    <w:rsid w:val="00A2404E"/>
    <w:rsid w:val="00A26387"/>
    <w:rsid w:val="00A26689"/>
    <w:rsid w:val="00A31713"/>
    <w:rsid w:val="00A3251B"/>
    <w:rsid w:val="00A33E65"/>
    <w:rsid w:val="00A344DB"/>
    <w:rsid w:val="00A34BCB"/>
    <w:rsid w:val="00A3634C"/>
    <w:rsid w:val="00A36DA0"/>
    <w:rsid w:val="00A36F84"/>
    <w:rsid w:val="00A40684"/>
    <w:rsid w:val="00A411AF"/>
    <w:rsid w:val="00A41A0E"/>
    <w:rsid w:val="00A439C6"/>
    <w:rsid w:val="00A44164"/>
    <w:rsid w:val="00A47B8F"/>
    <w:rsid w:val="00A50223"/>
    <w:rsid w:val="00A50A42"/>
    <w:rsid w:val="00A524D8"/>
    <w:rsid w:val="00A52DC2"/>
    <w:rsid w:val="00A53673"/>
    <w:rsid w:val="00A543BD"/>
    <w:rsid w:val="00A54BC9"/>
    <w:rsid w:val="00A56F8A"/>
    <w:rsid w:val="00A57C25"/>
    <w:rsid w:val="00A6655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A1721"/>
    <w:rsid w:val="00AA1DCD"/>
    <w:rsid w:val="00AA373A"/>
    <w:rsid w:val="00AA5413"/>
    <w:rsid w:val="00AA732E"/>
    <w:rsid w:val="00AA7617"/>
    <w:rsid w:val="00AB2BBF"/>
    <w:rsid w:val="00AB5BDE"/>
    <w:rsid w:val="00AB645B"/>
    <w:rsid w:val="00AC00D7"/>
    <w:rsid w:val="00AC00DD"/>
    <w:rsid w:val="00AC0732"/>
    <w:rsid w:val="00AC08AE"/>
    <w:rsid w:val="00AC0F0D"/>
    <w:rsid w:val="00AC132D"/>
    <w:rsid w:val="00AC2E3A"/>
    <w:rsid w:val="00AC3B0A"/>
    <w:rsid w:val="00AC4733"/>
    <w:rsid w:val="00AC5236"/>
    <w:rsid w:val="00AC548F"/>
    <w:rsid w:val="00AC54B8"/>
    <w:rsid w:val="00AD0753"/>
    <w:rsid w:val="00AD43D3"/>
    <w:rsid w:val="00AD5279"/>
    <w:rsid w:val="00AD5DCE"/>
    <w:rsid w:val="00AD6842"/>
    <w:rsid w:val="00AD6FB9"/>
    <w:rsid w:val="00AD7588"/>
    <w:rsid w:val="00AE08E3"/>
    <w:rsid w:val="00AE128D"/>
    <w:rsid w:val="00AE1488"/>
    <w:rsid w:val="00AE1950"/>
    <w:rsid w:val="00AE1B03"/>
    <w:rsid w:val="00AE25F4"/>
    <w:rsid w:val="00AE405E"/>
    <w:rsid w:val="00AF1FEB"/>
    <w:rsid w:val="00AF4F6F"/>
    <w:rsid w:val="00B01C55"/>
    <w:rsid w:val="00B02B5E"/>
    <w:rsid w:val="00B0592E"/>
    <w:rsid w:val="00B07113"/>
    <w:rsid w:val="00B075B3"/>
    <w:rsid w:val="00B10D5F"/>
    <w:rsid w:val="00B125C2"/>
    <w:rsid w:val="00B1688C"/>
    <w:rsid w:val="00B175C3"/>
    <w:rsid w:val="00B2009D"/>
    <w:rsid w:val="00B2177E"/>
    <w:rsid w:val="00B21E8C"/>
    <w:rsid w:val="00B2248F"/>
    <w:rsid w:val="00B24146"/>
    <w:rsid w:val="00B24AAA"/>
    <w:rsid w:val="00B25CE3"/>
    <w:rsid w:val="00B262BF"/>
    <w:rsid w:val="00B266E6"/>
    <w:rsid w:val="00B27187"/>
    <w:rsid w:val="00B3031F"/>
    <w:rsid w:val="00B30673"/>
    <w:rsid w:val="00B30C4E"/>
    <w:rsid w:val="00B31809"/>
    <w:rsid w:val="00B323C1"/>
    <w:rsid w:val="00B326CD"/>
    <w:rsid w:val="00B32834"/>
    <w:rsid w:val="00B33330"/>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3310"/>
    <w:rsid w:val="00B63BFD"/>
    <w:rsid w:val="00B65389"/>
    <w:rsid w:val="00B6597B"/>
    <w:rsid w:val="00B6620F"/>
    <w:rsid w:val="00B66D88"/>
    <w:rsid w:val="00B67F6B"/>
    <w:rsid w:val="00B67F98"/>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5329"/>
    <w:rsid w:val="00B96591"/>
    <w:rsid w:val="00B969DE"/>
    <w:rsid w:val="00B97D6F"/>
    <w:rsid w:val="00BA0BB5"/>
    <w:rsid w:val="00BA27DC"/>
    <w:rsid w:val="00BA2DF8"/>
    <w:rsid w:val="00BA30DE"/>
    <w:rsid w:val="00BA3AC8"/>
    <w:rsid w:val="00BA3E0A"/>
    <w:rsid w:val="00BA4043"/>
    <w:rsid w:val="00BA5D6D"/>
    <w:rsid w:val="00BA6545"/>
    <w:rsid w:val="00BB0C65"/>
    <w:rsid w:val="00BB52F0"/>
    <w:rsid w:val="00BB5446"/>
    <w:rsid w:val="00BB5B0C"/>
    <w:rsid w:val="00BB62A4"/>
    <w:rsid w:val="00BB6BA7"/>
    <w:rsid w:val="00BC371E"/>
    <w:rsid w:val="00BC3A1E"/>
    <w:rsid w:val="00BC5690"/>
    <w:rsid w:val="00BC68FA"/>
    <w:rsid w:val="00BC77D9"/>
    <w:rsid w:val="00BD138D"/>
    <w:rsid w:val="00BD273D"/>
    <w:rsid w:val="00BD28CC"/>
    <w:rsid w:val="00BD3161"/>
    <w:rsid w:val="00BE1424"/>
    <w:rsid w:val="00BE17A4"/>
    <w:rsid w:val="00BE266D"/>
    <w:rsid w:val="00BE6073"/>
    <w:rsid w:val="00BE657A"/>
    <w:rsid w:val="00BF36E1"/>
    <w:rsid w:val="00BF57C4"/>
    <w:rsid w:val="00BF5CAF"/>
    <w:rsid w:val="00BF656E"/>
    <w:rsid w:val="00C03FB7"/>
    <w:rsid w:val="00C04796"/>
    <w:rsid w:val="00C057E6"/>
    <w:rsid w:val="00C11E98"/>
    <w:rsid w:val="00C123F2"/>
    <w:rsid w:val="00C15A8A"/>
    <w:rsid w:val="00C16987"/>
    <w:rsid w:val="00C16CAA"/>
    <w:rsid w:val="00C16EDA"/>
    <w:rsid w:val="00C22034"/>
    <w:rsid w:val="00C2648E"/>
    <w:rsid w:val="00C26D02"/>
    <w:rsid w:val="00C2777A"/>
    <w:rsid w:val="00C319D0"/>
    <w:rsid w:val="00C31F46"/>
    <w:rsid w:val="00C333A5"/>
    <w:rsid w:val="00C334F9"/>
    <w:rsid w:val="00C34053"/>
    <w:rsid w:val="00C3430E"/>
    <w:rsid w:val="00C34358"/>
    <w:rsid w:val="00C34E4D"/>
    <w:rsid w:val="00C40113"/>
    <w:rsid w:val="00C41C0C"/>
    <w:rsid w:val="00C44513"/>
    <w:rsid w:val="00C46773"/>
    <w:rsid w:val="00C467D2"/>
    <w:rsid w:val="00C5075D"/>
    <w:rsid w:val="00C50EBE"/>
    <w:rsid w:val="00C521E6"/>
    <w:rsid w:val="00C56E47"/>
    <w:rsid w:val="00C57F87"/>
    <w:rsid w:val="00C6089B"/>
    <w:rsid w:val="00C61940"/>
    <w:rsid w:val="00C6457F"/>
    <w:rsid w:val="00C65F24"/>
    <w:rsid w:val="00C671DF"/>
    <w:rsid w:val="00C6751D"/>
    <w:rsid w:val="00C6767B"/>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4270"/>
    <w:rsid w:val="00C94BE9"/>
    <w:rsid w:val="00C971CB"/>
    <w:rsid w:val="00CA101C"/>
    <w:rsid w:val="00CA2812"/>
    <w:rsid w:val="00CA5E1E"/>
    <w:rsid w:val="00CA61B9"/>
    <w:rsid w:val="00CA6973"/>
    <w:rsid w:val="00CB66D6"/>
    <w:rsid w:val="00CB6838"/>
    <w:rsid w:val="00CB6DB2"/>
    <w:rsid w:val="00CC0D3F"/>
    <w:rsid w:val="00CC12A9"/>
    <w:rsid w:val="00CC12B2"/>
    <w:rsid w:val="00CC3C71"/>
    <w:rsid w:val="00CC50C2"/>
    <w:rsid w:val="00CC7A55"/>
    <w:rsid w:val="00CC7D3F"/>
    <w:rsid w:val="00CD2FD2"/>
    <w:rsid w:val="00CD3E50"/>
    <w:rsid w:val="00CD5582"/>
    <w:rsid w:val="00CD7576"/>
    <w:rsid w:val="00CE111A"/>
    <w:rsid w:val="00CE4367"/>
    <w:rsid w:val="00CE5871"/>
    <w:rsid w:val="00CE67AC"/>
    <w:rsid w:val="00CF1BAD"/>
    <w:rsid w:val="00CF459F"/>
    <w:rsid w:val="00D017C8"/>
    <w:rsid w:val="00D02A71"/>
    <w:rsid w:val="00D03376"/>
    <w:rsid w:val="00D0503D"/>
    <w:rsid w:val="00D05D75"/>
    <w:rsid w:val="00D0728C"/>
    <w:rsid w:val="00D07899"/>
    <w:rsid w:val="00D13784"/>
    <w:rsid w:val="00D16388"/>
    <w:rsid w:val="00D17AFD"/>
    <w:rsid w:val="00D22A9E"/>
    <w:rsid w:val="00D23EC7"/>
    <w:rsid w:val="00D25AAA"/>
    <w:rsid w:val="00D27253"/>
    <w:rsid w:val="00D27B17"/>
    <w:rsid w:val="00D30048"/>
    <w:rsid w:val="00D30B36"/>
    <w:rsid w:val="00D32169"/>
    <w:rsid w:val="00D325C0"/>
    <w:rsid w:val="00D333CC"/>
    <w:rsid w:val="00D34A40"/>
    <w:rsid w:val="00D36BD5"/>
    <w:rsid w:val="00D37E81"/>
    <w:rsid w:val="00D40341"/>
    <w:rsid w:val="00D40B67"/>
    <w:rsid w:val="00D42869"/>
    <w:rsid w:val="00D42F81"/>
    <w:rsid w:val="00D438D0"/>
    <w:rsid w:val="00D47BB5"/>
    <w:rsid w:val="00D554AB"/>
    <w:rsid w:val="00D56841"/>
    <w:rsid w:val="00D611B6"/>
    <w:rsid w:val="00D6277B"/>
    <w:rsid w:val="00D63127"/>
    <w:rsid w:val="00D63DB4"/>
    <w:rsid w:val="00D661DB"/>
    <w:rsid w:val="00D71F45"/>
    <w:rsid w:val="00D74831"/>
    <w:rsid w:val="00D76B2B"/>
    <w:rsid w:val="00D80904"/>
    <w:rsid w:val="00D8194A"/>
    <w:rsid w:val="00D828F6"/>
    <w:rsid w:val="00D854E4"/>
    <w:rsid w:val="00D85EC0"/>
    <w:rsid w:val="00D86F59"/>
    <w:rsid w:val="00D87152"/>
    <w:rsid w:val="00D90FBC"/>
    <w:rsid w:val="00D91B97"/>
    <w:rsid w:val="00D97227"/>
    <w:rsid w:val="00D97723"/>
    <w:rsid w:val="00DB27EE"/>
    <w:rsid w:val="00DB300F"/>
    <w:rsid w:val="00DB6A3E"/>
    <w:rsid w:val="00DC0EC3"/>
    <w:rsid w:val="00DC0F65"/>
    <w:rsid w:val="00DC1048"/>
    <w:rsid w:val="00DC237F"/>
    <w:rsid w:val="00DC2CA0"/>
    <w:rsid w:val="00DC2D08"/>
    <w:rsid w:val="00DC3F93"/>
    <w:rsid w:val="00DC45CF"/>
    <w:rsid w:val="00DC4E72"/>
    <w:rsid w:val="00DC50F4"/>
    <w:rsid w:val="00DC656A"/>
    <w:rsid w:val="00DC7131"/>
    <w:rsid w:val="00DD2D4F"/>
    <w:rsid w:val="00DD3C7B"/>
    <w:rsid w:val="00DD6356"/>
    <w:rsid w:val="00DE01DB"/>
    <w:rsid w:val="00DE581F"/>
    <w:rsid w:val="00DE66A3"/>
    <w:rsid w:val="00DE6E79"/>
    <w:rsid w:val="00DF039A"/>
    <w:rsid w:val="00DF06E0"/>
    <w:rsid w:val="00DF0D55"/>
    <w:rsid w:val="00DF18BA"/>
    <w:rsid w:val="00DF2301"/>
    <w:rsid w:val="00DF490F"/>
    <w:rsid w:val="00E0314A"/>
    <w:rsid w:val="00E07B73"/>
    <w:rsid w:val="00E10ABD"/>
    <w:rsid w:val="00E117BE"/>
    <w:rsid w:val="00E13A77"/>
    <w:rsid w:val="00E1578E"/>
    <w:rsid w:val="00E15966"/>
    <w:rsid w:val="00E15CBE"/>
    <w:rsid w:val="00E20FDD"/>
    <w:rsid w:val="00E22645"/>
    <w:rsid w:val="00E23AA0"/>
    <w:rsid w:val="00E31982"/>
    <w:rsid w:val="00E33F76"/>
    <w:rsid w:val="00E3428A"/>
    <w:rsid w:val="00E37A09"/>
    <w:rsid w:val="00E4007C"/>
    <w:rsid w:val="00E4318A"/>
    <w:rsid w:val="00E438F0"/>
    <w:rsid w:val="00E44BA8"/>
    <w:rsid w:val="00E44F2E"/>
    <w:rsid w:val="00E457B5"/>
    <w:rsid w:val="00E50580"/>
    <w:rsid w:val="00E5193F"/>
    <w:rsid w:val="00E52078"/>
    <w:rsid w:val="00E52940"/>
    <w:rsid w:val="00E52BB4"/>
    <w:rsid w:val="00E541D7"/>
    <w:rsid w:val="00E542DA"/>
    <w:rsid w:val="00E5507C"/>
    <w:rsid w:val="00E56712"/>
    <w:rsid w:val="00E579A9"/>
    <w:rsid w:val="00E57F04"/>
    <w:rsid w:val="00E605A7"/>
    <w:rsid w:val="00E613CC"/>
    <w:rsid w:val="00E624F9"/>
    <w:rsid w:val="00E705F0"/>
    <w:rsid w:val="00E70B0A"/>
    <w:rsid w:val="00E73D09"/>
    <w:rsid w:val="00E75E31"/>
    <w:rsid w:val="00E774AF"/>
    <w:rsid w:val="00E77787"/>
    <w:rsid w:val="00E77D87"/>
    <w:rsid w:val="00E80159"/>
    <w:rsid w:val="00E80312"/>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5EC"/>
    <w:rsid w:val="00EB2878"/>
    <w:rsid w:val="00EB51FE"/>
    <w:rsid w:val="00EB5A15"/>
    <w:rsid w:val="00EB61A8"/>
    <w:rsid w:val="00EB76C8"/>
    <w:rsid w:val="00EB7708"/>
    <w:rsid w:val="00EC289D"/>
    <w:rsid w:val="00EC41E0"/>
    <w:rsid w:val="00EC4317"/>
    <w:rsid w:val="00EC505C"/>
    <w:rsid w:val="00EC5520"/>
    <w:rsid w:val="00EC56F0"/>
    <w:rsid w:val="00EC7812"/>
    <w:rsid w:val="00ED19E6"/>
    <w:rsid w:val="00ED1CD1"/>
    <w:rsid w:val="00ED41AF"/>
    <w:rsid w:val="00ED4592"/>
    <w:rsid w:val="00ED74FD"/>
    <w:rsid w:val="00ED7A8A"/>
    <w:rsid w:val="00EE4C55"/>
    <w:rsid w:val="00EF1C85"/>
    <w:rsid w:val="00EF3011"/>
    <w:rsid w:val="00EF3C4E"/>
    <w:rsid w:val="00EF3F81"/>
    <w:rsid w:val="00EF5BF2"/>
    <w:rsid w:val="00EF5E91"/>
    <w:rsid w:val="00EF75F0"/>
    <w:rsid w:val="00F0020D"/>
    <w:rsid w:val="00F02ABF"/>
    <w:rsid w:val="00F037BD"/>
    <w:rsid w:val="00F06094"/>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737"/>
    <w:rsid w:val="00F44819"/>
    <w:rsid w:val="00F45324"/>
    <w:rsid w:val="00F4621C"/>
    <w:rsid w:val="00F472D4"/>
    <w:rsid w:val="00F51E7E"/>
    <w:rsid w:val="00F52C63"/>
    <w:rsid w:val="00F545E4"/>
    <w:rsid w:val="00F54A65"/>
    <w:rsid w:val="00F61642"/>
    <w:rsid w:val="00F70D80"/>
    <w:rsid w:val="00F728D3"/>
    <w:rsid w:val="00F7341A"/>
    <w:rsid w:val="00F80200"/>
    <w:rsid w:val="00F80747"/>
    <w:rsid w:val="00F81575"/>
    <w:rsid w:val="00F81B18"/>
    <w:rsid w:val="00F872E6"/>
    <w:rsid w:val="00F903F5"/>
    <w:rsid w:val="00F9247A"/>
    <w:rsid w:val="00F92739"/>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D0366"/>
    <w:rsid w:val="00FD118A"/>
    <w:rsid w:val="00FD3356"/>
    <w:rsid w:val="00FE1D7F"/>
    <w:rsid w:val="00FE2329"/>
    <w:rsid w:val="00FE3003"/>
    <w:rsid w:val="00FE4E25"/>
    <w:rsid w:val="00FF090C"/>
    <w:rsid w:val="00FF105A"/>
    <w:rsid w:val="00FF4889"/>
    <w:rsid w:val="00FF6844"/>
    <w:rsid w:val="00FF7A40"/>
    <w:rsid w:val="03C000E5"/>
    <w:rsid w:val="198C4B68"/>
    <w:rsid w:val="1CF58695"/>
    <w:rsid w:val="1FAF3FAB"/>
    <w:rsid w:val="20EA5A31"/>
    <w:rsid w:val="2FFF6778"/>
    <w:rsid w:val="3586DCBD"/>
    <w:rsid w:val="3BFF5242"/>
    <w:rsid w:val="3FED235E"/>
    <w:rsid w:val="3FF72BB6"/>
    <w:rsid w:val="4B276E09"/>
    <w:rsid w:val="4DBF9D77"/>
    <w:rsid w:val="5BCFFDEC"/>
    <w:rsid w:val="5FDE1395"/>
    <w:rsid w:val="61FFA08B"/>
    <w:rsid w:val="665D542F"/>
    <w:rsid w:val="6EFBF201"/>
    <w:rsid w:val="6F7FB353"/>
    <w:rsid w:val="6FFFD905"/>
    <w:rsid w:val="7B5D0D6E"/>
    <w:rsid w:val="7E7C4FA8"/>
    <w:rsid w:val="7FCFD9B0"/>
    <w:rsid w:val="7FFF9930"/>
    <w:rsid w:val="91AF24C7"/>
    <w:rsid w:val="B54F4D54"/>
    <w:rsid w:val="B6B1915A"/>
    <w:rsid w:val="BDFFE674"/>
    <w:rsid w:val="BF5F8CC2"/>
    <w:rsid w:val="DEFF6B2C"/>
    <w:rsid w:val="DF7E9B11"/>
    <w:rsid w:val="DFFFDB23"/>
    <w:rsid w:val="E9F30F5E"/>
    <w:rsid w:val="EF97841C"/>
    <w:rsid w:val="EFB595AB"/>
    <w:rsid w:val="EFEF851F"/>
    <w:rsid w:val="F3D94D23"/>
    <w:rsid w:val="F7BD6630"/>
    <w:rsid w:val="FAFD6AC8"/>
    <w:rsid w:val="FE7DBD3A"/>
    <w:rsid w:val="FFDD5A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Date"/>
    <w:basedOn w:val="1"/>
    <w:next w:val="1"/>
    <w:link w:val="15"/>
    <w:qFormat/>
    <w:uiPriority w:val="0"/>
    <w:rPr>
      <w:rFonts w:ascii="仿宋_GB2312" w:eastAsia="仿宋_GB2312"/>
      <w:sz w:val="32"/>
    </w:rPr>
  </w:style>
  <w:style w:type="paragraph" w:styleId="4">
    <w:name w:val="Balloon Text"/>
    <w:basedOn w:val="1"/>
    <w:link w:val="19"/>
    <w:semiHidden/>
    <w:unhideWhenUsed/>
    <w:qFormat/>
    <w:uiPriority w:val="99"/>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8"/>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basedOn w:val="10"/>
    <w:semiHidden/>
    <w:unhideWhenUsed/>
    <w:qFormat/>
    <w:uiPriority w:val="99"/>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页脚 Char"/>
    <w:basedOn w:val="10"/>
    <w:link w:val="5"/>
    <w:qFormat/>
    <w:uiPriority w:val="0"/>
    <w:rPr>
      <w:rFonts w:ascii="Times New Roman" w:hAnsi="Times New Roman" w:eastAsia="宋体" w:cs="Times New Roman"/>
      <w:sz w:val="18"/>
      <w:szCs w:val="18"/>
    </w:rPr>
  </w:style>
  <w:style w:type="character" w:customStyle="1" w:styleId="15">
    <w:name w:val="日期 Char"/>
    <w:basedOn w:val="10"/>
    <w:link w:val="3"/>
    <w:qFormat/>
    <w:uiPriority w:val="0"/>
    <w:rPr>
      <w:rFonts w:ascii="仿宋_GB2312" w:hAnsi="Times New Roman" w:eastAsia="仿宋_GB2312" w:cs="Times New Roman"/>
      <w:sz w:val="32"/>
      <w:szCs w:val="24"/>
    </w:rPr>
  </w:style>
  <w:style w:type="character" w:customStyle="1" w:styleId="16">
    <w:name w:val="页眉 Char"/>
    <w:basedOn w:val="10"/>
    <w:link w:val="6"/>
    <w:qFormat/>
    <w:uiPriority w:val="99"/>
    <w:rPr>
      <w:rFonts w:ascii="Times New Roman" w:hAnsi="Times New Roman" w:eastAsia="宋体" w:cs="Times New Roman"/>
      <w:sz w:val="18"/>
      <w:szCs w:val="18"/>
    </w:rPr>
  </w:style>
  <w:style w:type="character" w:customStyle="1" w:styleId="17">
    <w:name w:val="批注文字 Char"/>
    <w:basedOn w:val="10"/>
    <w:link w:val="2"/>
    <w:semiHidden/>
    <w:qFormat/>
    <w:uiPriority w:val="99"/>
    <w:rPr>
      <w:rFonts w:ascii="Times New Roman" w:hAnsi="Times New Roman" w:eastAsia="宋体" w:cs="Times New Roman"/>
      <w:szCs w:val="24"/>
    </w:rPr>
  </w:style>
  <w:style w:type="character" w:customStyle="1" w:styleId="18">
    <w:name w:val="批注主题 Char"/>
    <w:basedOn w:val="17"/>
    <w:link w:val="7"/>
    <w:semiHidden/>
    <w:qFormat/>
    <w:uiPriority w:val="99"/>
    <w:rPr>
      <w:rFonts w:ascii="Times New Roman" w:hAnsi="Times New Roman" w:eastAsia="宋体" w:cs="Times New Roman"/>
      <w:b/>
      <w:bCs/>
      <w:szCs w:val="24"/>
    </w:rPr>
  </w:style>
  <w:style w:type="character" w:customStyle="1" w:styleId="19">
    <w:name w:val="批注框文本 Char"/>
    <w:basedOn w:val="10"/>
    <w:link w:val="4"/>
    <w:semiHidden/>
    <w:qFormat/>
    <w:uiPriority w:val="99"/>
    <w:rPr>
      <w:rFonts w:ascii="Times New Roman" w:hAnsi="Times New Roman" w:eastAsia="宋体" w:cs="Times New Roman"/>
      <w:sz w:val="18"/>
      <w:szCs w:val="18"/>
    </w:rPr>
  </w:style>
  <w:style w:type="paragraph" w:customStyle="1" w:styleId="20">
    <w:name w:val="列出段落2"/>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21</Pages>
  <Words>8536</Words>
  <Characters>8582</Characters>
  <Lines>3</Lines>
  <Paragraphs>1</Paragraphs>
  <TotalTime>0</TotalTime>
  <ScaleCrop>false</ScaleCrop>
  <LinksUpToDate>false</LinksUpToDate>
  <CharactersWithSpaces>8637</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2019-09-17T00:45:00Z</dcterms:created>
  <dc:creator>CN=李小鹏/OU=办公室/O=CZCE</dc:creator>
  <cp:lastModifiedBy>张雅杰</cp:lastModifiedBy>
  <dcterms:modified xsi:type="dcterms:W3CDTF">2025-06-27T16:02:12Z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1C8AD4F7963141B595A8FF0667D19E5F</vt:lpwstr>
  </property>
</Properties>
</file>