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 w:val="32"/>
          <w:lang w:val="en-US" w:eastAsia="zh-CN"/>
        </w:rPr>
      </w:pPr>
      <w:r>
        <w:rPr>
          <w:rFonts w:hint="eastAsia" w:ascii="Times New Roman" w:hAnsi="Times New Roman" w:eastAsia="黑体"/>
          <w:sz w:val="32"/>
        </w:rPr>
        <w:t>附件</w:t>
      </w:r>
      <w:r>
        <w:rPr>
          <w:rFonts w:hint="eastAsia" w:eastAsia="黑体"/>
          <w:sz w:val="32"/>
          <w:lang w:val="en-US" w:eastAsia="zh-CN"/>
        </w:rPr>
        <w:t>1</w:t>
      </w:r>
    </w:p>
    <w:p>
      <w:pPr>
        <w:jc w:val="center"/>
        <w:rPr>
          <w:rFonts w:hint="default" w:ascii="Times New Roman" w:hAnsi="Times New Roman" w:eastAsia="方正小标宋简体"/>
          <w:sz w:val="44"/>
          <w:lang w:val="en-US" w:eastAsia="zh-CN"/>
        </w:rPr>
      </w:pPr>
      <w:r>
        <w:rPr>
          <w:rFonts w:hint="eastAsia" w:ascii="Times New Roman" w:hAnsi="Times New Roman" w:eastAsia="方正小标宋简体"/>
          <w:sz w:val="44"/>
          <w:lang w:val="en-US" w:eastAsia="zh-CN"/>
        </w:rPr>
        <w:t>课题</w:t>
      </w:r>
      <w:r>
        <w:rPr>
          <w:rFonts w:hint="eastAsia" w:eastAsia="方正小标宋简体"/>
          <w:sz w:val="44"/>
          <w:lang w:val="en-US" w:eastAsia="zh-CN"/>
        </w:rPr>
        <w:t>说明</w:t>
      </w:r>
      <w:r>
        <w:rPr>
          <w:rFonts w:hint="eastAsia" w:ascii="Times New Roman" w:hAnsi="Times New Roman" w:eastAsia="方正小标宋简体"/>
          <w:sz w:val="44"/>
          <w:lang w:val="en-US" w:eastAsia="zh-CN"/>
        </w:rPr>
        <w:t>及联系方式</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化工期货对现货市场商贸流通作用的研究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一是结合统一大市场、贸易强国等国家战略和行业政策，梳理化工产业发展方向和重点改革领域。二是结合化工品商贸流通特点，分析当前内外部环境，总结行业面临的痛难点问题。三是结合PTA、甲醇等中间产品，总结期货市场服务国内、国际商贸流通及定价的典型案例。四是提炼期货市场服务商贸流通“双循环”路径和机理。五是对优化期货品种布局、深化期货品种对外开放等方面提出建议。</w:t>
      </w:r>
    </w:p>
    <w:p>
      <w:pPr>
        <w:ind w:firstLine="616" w:firstLineChars="200"/>
        <w:rPr>
          <w:rFonts w:ascii="Times New Roman" w:hAnsi="Times New Roman" w:eastAsia="仿宋" w:cs="Calibri"/>
          <w:color w:val="000000"/>
          <w:spacing w:val="-6"/>
          <w:sz w:val="32"/>
          <w:szCs w:val="22"/>
        </w:rPr>
      </w:pPr>
      <w:r>
        <w:rPr>
          <w:rFonts w:hint="eastAsia" w:ascii="Times New Roman" w:hAnsi="Times New Roman" w:eastAsia="仿宋" w:cs="Calibri"/>
          <w:color w:val="000000"/>
          <w:spacing w:val="-6"/>
          <w:sz w:val="32"/>
        </w:rPr>
        <w:t>研究周期：不超过7个月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20万元</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eastAsia" w:eastAsia="仿宋"/>
          <w:sz w:val="32"/>
          <w:lang w:val="en-US" w:eastAsia="zh-CN"/>
        </w:rPr>
        <w:t>0371-</w:t>
      </w:r>
      <w:r>
        <w:rPr>
          <w:rFonts w:hint="eastAsia" w:ascii="Times New Roman" w:hAnsi="Times New Roman" w:eastAsia="仿宋"/>
          <w:sz w:val="32"/>
          <w:lang w:val="en-US" w:eastAsia="zh-CN"/>
        </w:rPr>
        <w:t>65610912</w:t>
      </w:r>
      <w:r>
        <w:rPr>
          <w:rFonts w:hint="eastAsia" w:eastAsia="仿宋"/>
          <w:sz w:val="32"/>
          <w:lang w:val="en-US" w:eastAsia="zh-CN"/>
        </w:rPr>
        <w:t>；0371-65611957</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课题申请邮箱：nhwang@czce.com.cn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期货市场服务建材行业“十五五”高质量发展</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全面复盘已上市期货品种在“十四五”期间服务建材行业的实际情况，针对玻璃、纯碱等期货品种成功助力企业风险管理、稳定经营的优质案例，深入总结提炼其应用路径，形成可供推广的经验范式。对于期货功能未充分发挥的案例，总结现存的痛难点问题，通过优化产品布局、完善期货合约规则等方式加以改进。明确“十五五”期间建材行业发展的总体目标及期货发力方向，进而给出期货市场服务建材行业“十五五”高质量发展的具体政策建议。</w:t>
      </w:r>
    </w:p>
    <w:p>
      <w:pPr>
        <w:ind w:firstLine="616" w:firstLineChars="200"/>
        <w:rPr>
          <w:rFonts w:ascii="Times New Roman" w:hAnsi="Times New Roman" w:eastAsia="仿宋" w:cs="Calibri"/>
          <w:color w:val="000000"/>
          <w:spacing w:val="-6"/>
          <w:sz w:val="32"/>
          <w:szCs w:val="22"/>
        </w:rPr>
      </w:pPr>
      <w:r>
        <w:rPr>
          <w:rFonts w:hint="eastAsia" w:ascii="Times New Roman" w:hAnsi="Times New Roman" w:eastAsia="仿宋" w:cs="Calibri"/>
          <w:color w:val="000000"/>
          <w:spacing w:val="-6"/>
          <w:sz w:val="32"/>
        </w:rPr>
        <w:t>研究周期：不超过10个月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20万元</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eastAsia" w:eastAsia="仿宋"/>
          <w:sz w:val="32"/>
          <w:lang w:val="en-US" w:eastAsia="zh-CN"/>
        </w:rPr>
        <w:t>0371-</w:t>
      </w:r>
      <w:r>
        <w:rPr>
          <w:rFonts w:hint="eastAsia" w:ascii="Times New Roman" w:hAnsi="Times New Roman" w:eastAsia="仿宋"/>
          <w:sz w:val="32"/>
          <w:lang w:val="en-US" w:eastAsia="zh-CN"/>
        </w:rPr>
        <w:t>65610885</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课题申请邮箱：limy@czce.com.cn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新形势下农产品期现货市场联动发展研究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主要内容：对主要农产品期现货联动发展现状进行多层次研究，系统分析当前困扰主要农产品期现货市场联动发展的痛难点问题，提出促进农产品期现货市场联动发展的政策建议。</w:t>
      </w:r>
    </w:p>
    <w:p>
      <w:pPr>
        <w:ind w:firstLine="616" w:firstLineChars="200"/>
        <w:rPr>
          <w:rFonts w:ascii="Times New Roman" w:hAnsi="Times New Roman" w:eastAsia="仿宋" w:cs="Calibri"/>
          <w:color w:val="000000"/>
          <w:spacing w:val="-6"/>
          <w:sz w:val="32"/>
          <w:szCs w:val="22"/>
        </w:rPr>
      </w:pPr>
      <w:r>
        <w:rPr>
          <w:rFonts w:hint="eastAsia" w:ascii="Times New Roman" w:hAnsi="Times New Roman" w:eastAsia="仿宋" w:cs="Calibri"/>
          <w:color w:val="000000"/>
          <w:spacing w:val="-6"/>
          <w:sz w:val="32"/>
        </w:rPr>
        <w:t>研究周期：不超过6个月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20万元</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eastAsia" w:eastAsia="仿宋"/>
          <w:sz w:val="32"/>
          <w:lang w:val="en-US" w:eastAsia="zh-CN"/>
        </w:rPr>
        <w:t>0371-</w:t>
      </w:r>
      <w:r>
        <w:rPr>
          <w:rFonts w:hint="eastAsia" w:ascii="Times New Roman" w:hAnsi="Times New Roman" w:eastAsia="仿宋"/>
          <w:sz w:val="32"/>
          <w:lang w:val="en-US" w:eastAsia="zh-CN"/>
        </w:rPr>
        <w:t>65612776</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课题申请邮箱：cpliu@czce.com.cn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上市公司参与商品套保的有效性分析及产业培育建</w:t>
      </w:r>
    </w:p>
    <w:p>
      <w:pPr>
        <w:pStyle w:val="11"/>
        <w:numPr>
          <w:ilvl w:val="0"/>
          <w:numId w:val="0"/>
        </w:numPr>
        <w:tabs>
          <w:tab w:val="left" w:pos="1418"/>
        </w:tabs>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议</w:t>
      </w:r>
      <w:r>
        <w:rPr>
          <w:rFonts w:hint="eastAsia" w:eastAsia="楷体" w:cs="Calibri"/>
          <w:color w:val="000000"/>
          <w:spacing w:val="-6"/>
          <w:sz w:val="32"/>
          <w:lang w:eastAsia="zh-CN"/>
        </w:rPr>
        <w:t>——</w:t>
      </w:r>
      <w:r>
        <w:rPr>
          <w:rFonts w:hint="eastAsia" w:ascii="Times New Roman" w:hAnsi="Times New Roman" w:eastAsia="楷体" w:cs="Calibri"/>
          <w:color w:val="000000"/>
          <w:spacing w:val="-6"/>
          <w:sz w:val="32"/>
          <w:lang w:eastAsia="zh-CN"/>
        </w:rPr>
        <w:t>以盐化工和棉纺织行业为例</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以盐化工和棉纺织行业为重点研究样本，调研相关上市公司参与期货衍生品情况及分析相关财务数据，结合上市公司和产业特点，由点及面研究商品期货作为风险管理工具的普适性逻辑及有效性，为促进交易所持续提升产业服务质效提</w:t>
      </w:r>
      <w:r>
        <w:rPr>
          <w:rFonts w:hint="eastAsia" w:ascii="Times New Roman" w:hAnsi="Times New Roman" w:eastAsia="仿宋"/>
          <w:sz w:val="32"/>
          <w:szCs w:val="32"/>
          <w:lang w:val="en-US" w:eastAsia="zh-CN"/>
        </w:rPr>
        <w:t>出相关</w:t>
      </w:r>
      <w:r>
        <w:rPr>
          <w:rFonts w:hint="eastAsia" w:ascii="Times New Roman" w:hAnsi="Times New Roman" w:eastAsia="仿宋"/>
          <w:sz w:val="32"/>
          <w:szCs w:val="32"/>
        </w:rPr>
        <w:t>建议。</w:t>
      </w:r>
    </w:p>
    <w:p>
      <w:pPr>
        <w:ind w:firstLine="616" w:firstLineChars="200"/>
        <w:rPr>
          <w:rFonts w:hint="default" w:ascii="Times New Roman" w:hAnsi="Times New Roman" w:eastAsia="仿宋" w:cs="Calibri"/>
          <w:color w:val="000000"/>
          <w:spacing w:val="-6"/>
          <w:sz w:val="32"/>
          <w:szCs w:val="22"/>
          <w:lang w:val="en-US" w:eastAsia="zh-CN"/>
        </w:rPr>
      </w:pPr>
      <w:r>
        <w:rPr>
          <w:rFonts w:hint="eastAsia" w:ascii="Times New Roman" w:hAnsi="Times New Roman" w:eastAsia="仿宋" w:cs="Calibri"/>
          <w:color w:val="000000"/>
          <w:spacing w:val="-6"/>
          <w:sz w:val="32"/>
        </w:rPr>
        <w:t>研究周期：</w:t>
      </w:r>
      <w:r>
        <w:rPr>
          <w:rFonts w:hint="eastAsia" w:ascii="Times New Roman" w:hAnsi="Times New Roman" w:eastAsia="仿宋" w:cs="Calibri"/>
          <w:color w:val="000000"/>
          <w:spacing w:val="-6"/>
          <w:sz w:val="32"/>
          <w:lang w:val="en-US" w:eastAsia="zh-CN"/>
        </w:rPr>
        <w:t>不超过12个月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15万元</w:t>
      </w:r>
    </w:p>
    <w:p>
      <w:pPr>
        <w:tabs>
          <w:tab w:val="left" w:pos="1560"/>
        </w:tabs>
        <w:ind w:firstLine="640" w:firstLineChars="200"/>
        <w:rPr>
          <w:rFonts w:hint="default"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default" w:ascii="Times New Roman" w:hAnsi="Times New Roman" w:eastAsia="仿宋" w:cs="Times New Roman"/>
          <w:sz w:val="32"/>
          <w:lang w:val="en-US" w:eastAsia="zh-CN"/>
        </w:rPr>
        <w:t>0371-65613968</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w:t>
      </w:r>
      <w:r>
        <w:rPr>
          <w:rFonts w:hint="default" w:ascii="Times New Roman" w:hAnsi="Times New Roman" w:eastAsia="仿宋" w:cs="Times New Roman"/>
          <w:sz w:val="32"/>
          <w:lang w:val="en-US" w:eastAsia="zh-CN"/>
        </w:rPr>
        <w:t>ypsun@czce.com.cn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信创环境下的高性能网络研究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一是基于现有交易系统和业务容量，从可靠性、可扩展性、安全性、容量、时延等方面评估现有交易网络架构，给出保障交易网络基础设施高可用性的意见和建议。二是按照优化的交易网络架构，从可靠性、性能、安全性、时延等方面评估三个不同品牌的网络设备，满足组播应用以及流量微突发的需求。三是研究多路径下传输实时交易和行情数据的可行性，保障数据的及时性和完整性，提高线路利用率。四是伴随着网络虚拟化的发展，研究高性能网络虚拟化的可行性及实现路径。</w:t>
      </w:r>
    </w:p>
    <w:p>
      <w:pPr>
        <w:ind w:firstLine="616" w:firstLineChars="200"/>
        <w:rPr>
          <w:rFonts w:hint="default" w:ascii="Times New Roman" w:hAnsi="Times New Roman" w:eastAsia="仿宋" w:cs="Calibri"/>
          <w:color w:val="000000"/>
          <w:spacing w:val="-6"/>
          <w:sz w:val="32"/>
          <w:szCs w:val="22"/>
          <w:lang w:val="en-US" w:eastAsia="zh-CN"/>
        </w:rPr>
      </w:pPr>
      <w:r>
        <w:rPr>
          <w:rFonts w:hint="eastAsia" w:ascii="Times New Roman" w:hAnsi="Times New Roman" w:eastAsia="仿宋" w:cs="Calibri"/>
          <w:color w:val="000000"/>
          <w:spacing w:val="-6"/>
          <w:sz w:val="32"/>
        </w:rPr>
        <w:t>研究周期：</w:t>
      </w:r>
      <w:r>
        <w:rPr>
          <w:rFonts w:hint="eastAsia" w:ascii="Times New Roman" w:hAnsi="Times New Roman" w:eastAsia="仿宋" w:cs="Calibri"/>
          <w:color w:val="000000"/>
          <w:spacing w:val="-6"/>
          <w:sz w:val="32"/>
          <w:lang w:val="en-US" w:eastAsia="zh-CN"/>
        </w:rPr>
        <w:t>不超过4个月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20万元</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eastAsia" w:eastAsia="仿宋"/>
          <w:sz w:val="32"/>
          <w:lang w:val="en-US" w:eastAsia="zh-CN"/>
        </w:rPr>
        <w:t>0371-65610732</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课题申请邮箱：yqwang@czce.com.cn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气温指数的应用场景研究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主要内容：系统梳理气温指数试点地区能源电力、农业产业等现货市场、产业结构特点，分析试点地区气温变化和天气风险管理需求潜力，做好气温指数应用场景试点方案设计和项目实施，总结试点项目效果、成功经验和需要改进的地方，提出相关建议。</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eastAsia" w:eastAsia="仿宋"/>
          <w:sz w:val="32"/>
          <w:lang w:val="en-US" w:eastAsia="zh-CN"/>
        </w:rPr>
        <w:t>0371-</w:t>
      </w:r>
      <w:r>
        <w:rPr>
          <w:rFonts w:hint="eastAsia" w:ascii="Times New Roman" w:hAnsi="Times New Roman" w:eastAsia="仿宋"/>
          <w:sz w:val="32"/>
          <w:lang w:val="en-US" w:eastAsia="zh-CN"/>
        </w:rPr>
        <w:t>65612852</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w:t>
      </w:r>
      <w:r>
        <w:rPr>
          <w:rFonts w:hint="eastAsia" w:eastAsia="仿宋"/>
          <w:sz w:val="32"/>
          <w:lang w:val="en-US" w:eastAsia="zh-CN"/>
        </w:rPr>
        <w:t>dingyi@</w:t>
      </w:r>
      <w:r>
        <w:rPr>
          <w:rFonts w:hint="default" w:ascii="Times New Roman" w:hAnsi="Times New Roman" w:eastAsia="仿宋" w:cs="Times New Roman"/>
          <w:sz w:val="32"/>
          <w:lang w:val="en-US" w:eastAsia="zh-CN"/>
        </w:rPr>
        <w:t>czce.com.cn</w:t>
      </w:r>
    </w:p>
    <w:p>
      <w:pPr>
        <w:ind w:firstLine="616" w:firstLineChars="200"/>
        <w:rPr>
          <w:rFonts w:hint="default" w:ascii="Times New Roman" w:hAnsi="Times New Roman" w:eastAsia="仿宋" w:cs="Calibri"/>
          <w:color w:val="000000"/>
          <w:spacing w:val="-6"/>
          <w:sz w:val="32"/>
          <w:szCs w:val="22"/>
          <w:lang w:val="en-US" w:eastAsia="zh-CN"/>
        </w:rPr>
      </w:pPr>
      <w:r>
        <w:rPr>
          <w:rFonts w:hint="eastAsia" w:ascii="Times New Roman" w:hAnsi="Times New Roman" w:eastAsia="仿宋" w:cs="Calibri"/>
          <w:color w:val="000000"/>
          <w:spacing w:val="-6"/>
          <w:sz w:val="32"/>
        </w:rPr>
        <w:t>研究周期：</w:t>
      </w:r>
      <w:r>
        <w:rPr>
          <w:rFonts w:hint="eastAsia" w:ascii="Times New Roman" w:hAnsi="Times New Roman" w:eastAsia="仿宋" w:cs="Calibri"/>
          <w:color w:val="000000"/>
          <w:spacing w:val="-6"/>
          <w:sz w:val="32"/>
          <w:lang w:val="en-US" w:eastAsia="zh-CN"/>
        </w:rPr>
        <w:t>不超过6个月</w:t>
      </w:r>
    </w:p>
    <w:p>
      <w:pPr>
        <w:ind w:firstLine="616" w:firstLineChars="200"/>
        <w:rPr>
          <w:rFonts w:hint="default"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10万元</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eastAsia="zh-CN"/>
        </w:rPr>
        <w:t>含权贸易交易模式的运作机制及效果研究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主要内容：系统梳理含权贸易的机制机理、主要模式与应用场景。从市场监管、市场培育等角度开展利弊分析，提升对含权贸易的认识，探索含权贸易未来发展方向，提出相关建议。</w:t>
      </w:r>
    </w:p>
    <w:p>
      <w:pPr>
        <w:ind w:firstLine="616" w:firstLineChars="200"/>
        <w:rPr>
          <w:rFonts w:hint="default" w:ascii="Times New Roman" w:hAnsi="Times New Roman" w:eastAsia="仿宋" w:cs="Calibri"/>
          <w:color w:val="000000"/>
          <w:spacing w:val="-6"/>
          <w:sz w:val="32"/>
          <w:szCs w:val="22"/>
          <w:lang w:val="en-US" w:eastAsia="zh-CN"/>
        </w:rPr>
      </w:pPr>
      <w:r>
        <w:rPr>
          <w:rFonts w:hint="eastAsia" w:ascii="Times New Roman" w:hAnsi="Times New Roman" w:eastAsia="仿宋" w:cs="Calibri"/>
          <w:color w:val="000000"/>
          <w:spacing w:val="-6"/>
          <w:sz w:val="32"/>
        </w:rPr>
        <w:t>研究周期：</w:t>
      </w:r>
      <w:r>
        <w:rPr>
          <w:rFonts w:hint="eastAsia" w:ascii="Times New Roman" w:hAnsi="Times New Roman" w:eastAsia="仿宋" w:cs="Calibri"/>
          <w:color w:val="000000"/>
          <w:spacing w:val="-6"/>
          <w:sz w:val="32"/>
          <w:lang w:val="en-US" w:eastAsia="zh-CN"/>
        </w:rPr>
        <w:t>不超过6个月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eastAsia" w:ascii="Times New Roman" w:hAnsi="Times New Roman" w:eastAsia="仿宋" w:cs="Calibri"/>
          <w:color w:val="000000"/>
          <w:spacing w:val="-6"/>
          <w:sz w:val="32"/>
          <w:lang w:val="en-US" w:eastAsia="zh-CN"/>
        </w:rPr>
        <w:t>10万元</w:t>
      </w:r>
    </w:p>
    <w:p>
      <w:pPr>
        <w:tabs>
          <w:tab w:val="left" w:pos="1560"/>
        </w:tabs>
        <w:ind w:firstLine="640" w:firstLineChars="200"/>
        <w:rPr>
          <w:rFonts w:hint="default"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default" w:ascii="Times New Roman" w:hAnsi="Times New Roman" w:eastAsia="仿宋" w:cs="Times New Roman"/>
          <w:sz w:val="32"/>
          <w:lang w:val="en-US" w:eastAsia="zh-CN"/>
        </w:rPr>
        <w:t>0371-65613295</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w:t>
      </w:r>
      <w:r>
        <w:rPr>
          <w:rFonts w:hint="default" w:ascii="Times New Roman" w:hAnsi="Times New Roman" w:eastAsia="仿宋" w:cs="Times New Roman"/>
          <w:sz w:val="32"/>
          <w:lang w:val="en-US" w:eastAsia="zh-CN"/>
        </w:rPr>
        <w:t>hlchen@zcefdi.com.cn</w:t>
      </w:r>
    </w:p>
    <w:p>
      <w:pPr>
        <w:pStyle w:val="11"/>
        <w:numPr>
          <w:ilvl w:val="0"/>
          <w:numId w:val="1"/>
        </w:numPr>
        <w:tabs>
          <w:tab w:val="left" w:pos="1418"/>
        </w:tabs>
        <w:ind w:left="420" w:firstLine="400" w:firstLineChars="0"/>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val="en-US" w:eastAsia="zh-CN"/>
        </w:rPr>
        <w:t>全球政治经济格局变化对我国大宗商品市场的影响</w:t>
      </w:r>
    </w:p>
    <w:p>
      <w:pPr>
        <w:pStyle w:val="11"/>
        <w:numPr>
          <w:ilvl w:val="0"/>
          <w:numId w:val="0"/>
        </w:numPr>
        <w:tabs>
          <w:tab w:val="left" w:pos="1418"/>
        </w:tabs>
        <w:outlineLvl w:val="0"/>
        <w:rPr>
          <w:rFonts w:hint="eastAsia" w:ascii="Times New Roman" w:hAnsi="Times New Roman" w:eastAsia="楷体" w:cs="Calibri"/>
          <w:color w:val="000000"/>
          <w:spacing w:val="-6"/>
          <w:sz w:val="32"/>
          <w:lang w:eastAsia="zh-CN"/>
        </w:rPr>
      </w:pPr>
      <w:r>
        <w:rPr>
          <w:rFonts w:hint="eastAsia" w:ascii="Times New Roman" w:hAnsi="Times New Roman" w:eastAsia="楷体" w:cs="Calibri"/>
          <w:color w:val="000000"/>
          <w:spacing w:val="-6"/>
          <w:sz w:val="32"/>
          <w:lang w:val="en-US" w:eastAsia="zh-CN"/>
        </w:rPr>
        <w:t>研究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主要内容：</w:t>
      </w:r>
      <w:r>
        <w:rPr>
          <w:rFonts w:hint="eastAsia" w:ascii="Times New Roman" w:hAnsi="Times New Roman" w:eastAsia="仿宋"/>
          <w:sz w:val="32"/>
          <w:szCs w:val="32"/>
          <w:lang w:val="en-US" w:eastAsia="zh-CN"/>
        </w:rPr>
        <w:t>在研究国际地缘政治和关税政策、国内经济形势和产业政策调整及结构性转型等多维度变化基础上，分析国内外政治经济格局趋势性变化对我国大宗商品市场产生的积极影响和不利因素，结合保障我国大宗商品市场供给安全、提升大宗商品国际定价影响力等目标提出对策建议</w:t>
      </w:r>
      <w:r>
        <w:rPr>
          <w:rFonts w:hint="eastAsia" w:ascii="Times New Roman" w:hAnsi="Times New Roman" w:eastAsia="仿宋"/>
          <w:sz w:val="32"/>
          <w:szCs w:val="32"/>
        </w:rPr>
        <w:t>。</w:t>
      </w:r>
    </w:p>
    <w:p>
      <w:pPr>
        <w:ind w:firstLine="616" w:firstLineChars="200"/>
        <w:rPr>
          <w:rFonts w:hint="default" w:ascii="Times New Roman" w:hAnsi="Times New Roman" w:eastAsia="仿宋" w:cs="Calibri"/>
          <w:color w:val="000000"/>
          <w:spacing w:val="-6"/>
          <w:sz w:val="32"/>
          <w:szCs w:val="22"/>
          <w:lang w:val="en-US" w:eastAsia="zh-CN"/>
        </w:rPr>
      </w:pPr>
      <w:r>
        <w:rPr>
          <w:rFonts w:hint="eastAsia" w:ascii="Times New Roman" w:hAnsi="Times New Roman" w:eastAsia="仿宋" w:cs="Calibri"/>
          <w:color w:val="000000"/>
          <w:spacing w:val="-6"/>
          <w:sz w:val="32"/>
        </w:rPr>
        <w:t>研究周期：</w:t>
      </w:r>
      <w:r>
        <w:rPr>
          <w:rFonts w:hint="eastAsia" w:ascii="Times New Roman" w:hAnsi="Times New Roman" w:eastAsia="仿宋" w:cs="Calibri"/>
          <w:color w:val="000000"/>
          <w:spacing w:val="-6"/>
          <w:sz w:val="32"/>
          <w:lang w:val="en-US" w:eastAsia="zh-CN"/>
        </w:rPr>
        <w:t>不超过</w:t>
      </w:r>
      <w:r>
        <w:rPr>
          <w:rFonts w:hint="default" w:ascii="Times New Roman" w:hAnsi="Times New Roman" w:eastAsia="仿宋" w:cs="Times New Roman"/>
          <w:color w:val="000000"/>
          <w:spacing w:val="-6"/>
          <w:sz w:val="32"/>
          <w:lang w:val="en-US" w:eastAsia="zh-CN"/>
        </w:rPr>
        <w:t>12</w:t>
      </w:r>
      <w:r>
        <w:rPr>
          <w:rFonts w:hint="eastAsia" w:ascii="Times New Roman" w:hAnsi="Times New Roman" w:eastAsia="仿宋" w:cs="Calibri"/>
          <w:color w:val="000000"/>
          <w:spacing w:val="-6"/>
          <w:sz w:val="32"/>
          <w:lang w:val="en-US" w:eastAsia="zh-CN"/>
        </w:rPr>
        <w:t>个月</w:t>
      </w:r>
    </w:p>
    <w:p>
      <w:pPr>
        <w:ind w:firstLine="616" w:firstLineChars="200"/>
        <w:rPr>
          <w:rFonts w:hint="eastAsia" w:ascii="Times New Roman" w:hAnsi="Times New Roman" w:eastAsia="仿宋" w:cs="Calibri"/>
          <w:color w:val="000000"/>
          <w:spacing w:val="-6"/>
          <w:sz w:val="32"/>
          <w:lang w:val="en-US" w:eastAsia="zh-CN"/>
        </w:rPr>
      </w:pPr>
      <w:r>
        <w:rPr>
          <w:rFonts w:hint="eastAsia" w:ascii="Times New Roman" w:hAnsi="Times New Roman" w:eastAsia="仿宋" w:cs="Calibri"/>
          <w:color w:val="000000"/>
          <w:spacing w:val="-6"/>
          <w:sz w:val="32"/>
        </w:rPr>
        <w:t>研究经费：</w:t>
      </w:r>
      <w:r>
        <w:rPr>
          <w:rFonts w:hint="default" w:ascii="Times New Roman" w:hAnsi="Times New Roman" w:eastAsia="仿宋" w:cs="Times New Roman"/>
          <w:color w:val="000000"/>
          <w:spacing w:val="-6"/>
          <w:sz w:val="32"/>
          <w:lang w:val="en-US" w:eastAsia="zh-CN"/>
        </w:rPr>
        <w:t>20</w:t>
      </w:r>
      <w:r>
        <w:rPr>
          <w:rFonts w:hint="eastAsia" w:ascii="Times New Roman" w:hAnsi="Times New Roman" w:eastAsia="仿宋" w:cs="Calibri"/>
          <w:color w:val="000000"/>
          <w:spacing w:val="-6"/>
          <w:sz w:val="32"/>
          <w:lang w:val="en-US" w:eastAsia="zh-CN"/>
        </w:rPr>
        <w:t>万元</w:t>
      </w:r>
    </w:p>
    <w:p>
      <w:pPr>
        <w:tabs>
          <w:tab w:val="left" w:pos="1560"/>
        </w:tabs>
        <w:ind w:firstLine="640" w:firstLineChars="200"/>
        <w:rPr>
          <w:rFonts w:hint="default" w:ascii="Times New Roman" w:hAnsi="Times New Roman" w:eastAsia="仿宋"/>
          <w:sz w:val="32"/>
          <w:lang w:val="en-US" w:eastAsia="zh-CN"/>
        </w:rPr>
      </w:pPr>
      <w:r>
        <w:rPr>
          <w:rFonts w:hint="eastAsia" w:ascii="Times New Roman" w:hAnsi="Times New Roman" w:eastAsia="仿宋"/>
          <w:sz w:val="32"/>
          <w:lang w:val="en-US" w:eastAsia="zh-CN"/>
        </w:rPr>
        <w:t>联系电话</w:t>
      </w:r>
      <w:r>
        <w:rPr>
          <w:rFonts w:hint="default" w:ascii="Times New Roman" w:hAnsi="Times New Roman" w:eastAsia="仿宋" w:cs="Times New Roman"/>
          <w:sz w:val="32"/>
          <w:lang w:val="en-US" w:eastAsia="zh-CN"/>
        </w:rPr>
        <w:t>：010-68</w:t>
      </w:r>
      <w:r>
        <w:rPr>
          <w:rFonts w:hint="eastAsia" w:eastAsia="仿宋" w:cs="Times New Roman"/>
          <w:sz w:val="32"/>
          <w:lang w:val="en-US" w:eastAsia="zh-CN"/>
        </w:rPr>
        <w:t>937460</w:t>
      </w:r>
    </w:p>
    <w:p>
      <w:pPr>
        <w:tabs>
          <w:tab w:val="left" w:pos="1560"/>
        </w:tabs>
        <w:ind w:firstLine="640" w:firstLineChars="200"/>
        <w:rPr>
          <w:rFonts w:hint="eastAsia" w:ascii="Times New Roman" w:hAnsi="Times New Roman" w:eastAsia="仿宋"/>
          <w:sz w:val="32"/>
          <w:lang w:val="en-US" w:eastAsia="zh-CN"/>
        </w:rPr>
      </w:pPr>
      <w:r>
        <w:rPr>
          <w:rFonts w:hint="eastAsia" w:ascii="Times New Roman" w:hAnsi="Times New Roman" w:eastAsia="仿宋"/>
          <w:sz w:val="32"/>
          <w:lang w:val="en-US" w:eastAsia="zh-CN"/>
        </w:rPr>
        <w:t>课题申请邮箱：</w:t>
      </w:r>
      <w:r>
        <w:rPr>
          <w:rFonts w:hint="default" w:ascii="Times New Roman" w:hAnsi="Times New Roman" w:eastAsia="仿宋" w:cs="Times New Roman"/>
          <w:sz w:val="32"/>
          <w:lang w:val="en-US" w:eastAsia="zh-CN"/>
        </w:rPr>
        <w:t>liu</w:t>
      </w:r>
      <w:r>
        <w:rPr>
          <w:rFonts w:hint="eastAsia" w:eastAsia="仿宋" w:cs="Times New Roman"/>
          <w:sz w:val="32"/>
          <w:lang w:val="en-US" w:eastAsia="zh-CN"/>
        </w:rPr>
        <w:t>hong</w:t>
      </w:r>
      <w:r>
        <w:rPr>
          <w:rFonts w:hint="default" w:ascii="Times New Roman" w:hAnsi="Times New Roman" w:eastAsia="仿宋" w:cs="Times New Roman"/>
          <w:sz w:val="32"/>
          <w:lang w:val="en-US" w:eastAsia="zh-CN"/>
        </w:rPr>
        <w:t>@zcefdi.com.cn</w:t>
      </w:r>
    </w:p>
    <w:p>
      <w:pPr>
        <w:rPr>
          <w:rFonts w:ascii="仿宋" w:hAnsi="仿宋" w:eastAsia="仿宋"/>
          <w:sz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9" o:spid="_x0000_s4099" o:spt="202" type="#_x0000_t202" style="position:absolute;left:0pt;margin-top:-8.2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F1FC6"/>
    <w:multiLevelType w:val="singleLevel"/>
    <w:tmpl w:val="DF2F1FC6"/>
    <w:lvl w:ilvl="0" w:tentative="0">
      <w:start w:val="1"/>
      <w:numFmt w:val="decimal"/>
      <w:suff w:val="nothing"/>
      <w:lvlText w:val="%1．"/>
      <w:lvlJc w:val="left"/>
      <w:pPr>
        <w:ind w:left="42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2325516"/>
    <w:rsid w:val="0BB36A92"/>
    <w:rsid w:val="0F5EC09E"/>
    <w:rsid w:val="0F8F4D43"/>
    <w:rsid w:val="1FE776E7"/>
    <w:rsid w:val="27FEF5C5"/>
    <w:rsid w:val="35EF9D07"/>
    <w:rsid w:val="37F7E04A"/>
    <w:rsid w:val="3AB42186"/>
    <w:rsid w:val="3CFAC5DF"/>
    <w:rsid w:val="3DDF437E"/>
    <w:rsid w:val="3FBD1FC6"/>
    <w:rsid w:val="3FF5038B"/>
    <w:rsid w:val="3FFE5896"/>
    <w:rsid w:val="4B3D0414"/>
    <w:rsid w:val="4DF79473"/>
    <w:rsid w:val="58B9EA87"/>
    <w:rsid w:val="5F7F50FA"/>
    <w:rsid w:val="5FDF5EB3"/>
    <w:rsid w:val="5FFFBE7D"/>
    <w:rsid w:val="677F5132"/>
    <w:rsid w:val="6DBBDC61"/>
    <w:rsid w:val="6EE76660"/>
    <w:rsid w:val="6F9FC1EA"/>
    <w:rsid w:val="70F38DC9"/>
    <w:rsid w:val="73FCC745"/>
    <w:rsid w:val="75C5ECB5"/>
    <w:rsid w:val="7726D67B"/>
    <w:rsid w:val="777B563F"/>
    <w:rsid w:val="77BD4E95"/>
    <w:rsid w:val="77FF1735"/>
    <w:rsid w:val="78031D0F"/>
    <w:rsid w:val="7A403981"/>
    <w:rsid w:val="7A6FB25F"/>
    <w:rsid w:val="7A7FB4A5"/>
    <w:rsid w:val="7BDA0768"/>
    <w:rsid w:val="7DEBEDE4"/>
    <w:rsid w:val="7E1EB634"/>
    <w:rsid w:val="7FBFFD3C"/>
    <w:rsid w:val="7FFD0AE7"/>
    <w:rsid w:val="8BF280DC"/>
    <w:rsid w:val="8FEFA041"/>
    <w:rsid w:val="A5FF1854"/>
    <w:rsid w:val="AB9AD9D9"/>
    <w:rsid w:val="ADDCC094"/>
    <w:rsid w:val="B1D405A4"/>
    <w:rsid w:val="B5BF2EF6"/>
    <w:rsid w:val="B5F06D16"/>
    <w:rsid w:val="B6DFF207"/>
    <w:rsid w:val="B7BDBB3E"/>
    <w:rsid w:val="BA5CDBF9"/>
    <w:rsid w:val="BBCFCEB6"/>
    <w:rsid w:val="BCF361AF"/>
    <w:rsid w:val="BEEF4530"/>
    <w:rsid w:val="BFDEA3DA"/>
    <w:rsid w:val="C67B1B8A"/>
    <w:rsid w:val="CEF97172"/>
    <w:rsid w:val="CFDFCF77"/>
    <w:rsid w:val="CFE78DB2"/>
    <w:rsid w:val="D7FF8AFD"/>
    <w:rsid w:val="DF6F45B3"/>
    <w:rsid w:val="DFFE81F0"/>
    <w:rsid w:val="DFFF25A9"/>
    <w:rsid w:val="E9430217"/>
    <w:rsid w:val="EB3F0EAD"/>
    <w:rsid w:val="EFECE58F"/>
    <w:rsid w:val="F0FF9345"/>
    <w:rsid w:val="F173AE23"/>
    <w:rsid w:val="F7BB7B09"/>
    <w:rsid w:val="FBDA301C"/>
    <w:rsid w:val="FBF76419"/>
    <w:rsid w:val="FC8F201C"/>
    <w:rsid w:val="FC929C28"/>
    <w:rsid w:val="FCD70EB5"/>
    <w:rsid w:val="FD3F0EBD"/>
    <w:rsid w:val="FE6F35CB"/>
    <w:rsid w:val="FEDE8E38"/>
    <w:rsid w:val="FEF3741C"/>
    <w:rsid w:val="FF3F75C3"/>
    <w:rsid w:val="FF6343E8"/>
    <w:rsid w:val="FF773DD4"/>
    <w:rsid w:val="FFB35C43"/>
    <w:rsid w:val="FFBE470F"/>
    <w:rsid w:val="FFCB5579"/>
    <w:rsid w:val="FFDE94BF"/>
    <w:rsid w:val="FFEB2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2348</Words>
  <Characters>2623</Characters>
  <Lines>2</Lines>
  <Paragraphs>1</Paragraphs>
  <TotalTime>3</TotalTime>
  <ScaleCrop>false</ScaleCrop>
  <LinksUpToDate>false</LinksUpToDate>
  <CharactersWithSpaces>2647</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2019-09-22T06:10:00Z</dcterms:created>
  <dc:creator>CN=李小鹏/OU=办公室/O=CZCE</dc:creator>
  <cp:lastModifiedBy>张雅杰</cp:lastModifiedBy>
  <dcterms:modified xsi:type="dcterms:W3CDTF">2025-06-05T14:56:50Z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93D190021F4C489193370253FE5863B0</vt:lpwstr>
  </property>
  <property fmtid="{D5CDD505-2E9C-101B-9397-08002B2CF9AE}" pid="4" name="DocID">
    <vt:lpwstr>332475482127</vt:lpwstr>
  </property>
</Properties>
</file>