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</w:t>
      </w:r>
      <w:r>
        <w:rPr>
          <w:rFonts w:hint="default" w:eastAsia="黑体"/>
          <w:sz w:val="32"/>
          <w:szCs w:val="32"/>
          <w:lang w:val="en-US"/>
        </w:rPr>
        <w:t xml:space="preserve">  </w:t>
      </w:r>
      <w:r>
        <w:rPr>
          <w:rFonts w:hint="eastAsia" w:eastAsia="黑体"/>
          <w:sz w:val="32"/>
          <w:szCs w:val="32"/>
        </w:rPr>
        <w:t>件</w:t>
      </w:r>
    </w:p>
    <w:p>
      <w:pPr>
        <w:widowControl/>
        <w:jc w:val="left"/>
        <w:rPr>
          <w:rFonts w:eastAsia="黑体"/>
          <w:sz w:val="18"/>
          <w:szCs w:val="18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2025</w:t>
      </w:r>
      <w:r>
        <w:rPr>
          <w:rFonts w:hint="eastAsia"/>
          <w:b/>
          <w:bCs/>
          <w:sz w:val="44"/>
          <w:szCs w:val="44"/>
        </w:rPr>
        <w:t>年劳动节期间交易保证金标准和涨跌停板幅度调整情况</w:t>
      </w:r>
    </w:p>
    <w:tbl>
      <w:tblPr>
        <w:tblStyle w:val="9"/>
        <w:tblW w:w="49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471"/>
        <w:gridCol w:w="2314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800" w:type="pct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</w:rPr>
              <w:t>品种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</w:rPr>
              <w:t>合约</w:t>
            </w:r>
          </w:p>
        </w:tc>
        <w:tc>
          <w:tcPr>
            <w:tcW w:w="1462" w:type="pct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</w:rPr>
              <w:t>调整前</w:t>
            </w:r>
          </w:p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</w:rPr>
              <w:t>（交易保证金标准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</w:rPr>
              <w:t>涨跌停板幅度）</w:t>
            </w:r>
          </w:p>
        </w:tc>
        <w:tc>
          <w:tcPr>
            <w:tcW w:w="1369" w:type="pct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4</w:t>
            </w: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29</w:t>
            </w: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</w:rPr>
              <w:t>日结算时起</w:t>
            </w:r>
          </w:p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</w:rPr>
              <w:t>（交易保证金标准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/</w:t>
            </w:r>
          </w:p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</w:rPr>
              <w:t>涨跌停板幅度）</w:t>
            </w:r>
          </w:p>
        </w:tc>
        <w:tc>
          <w:tcPr>
            <w:tcW w:w="1369" w:type="pct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5</w:t>
            </w: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6</w:t>
            </w: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</w:rPr>
              <w:t>日恢复交易</w:t>
            </w:r>
          </w:p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</w:rPr>
              <w:t>（交易保证金标准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/</w:t>
            </w:r>
          </w:p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24"/>
              </w:rPr>
              <w:t>涨跌停板幅度）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苹果</w:t>
            </w: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10%/9%（苹果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2</w:t>
            </w:r>
            <w:r>
              <w:rPr>
                <w:rFonts w:eastAsia="仿宋"/>
                <w:color w:val="000000"/>
                <w:kern w:val="0"/>
                <w:szCs w:val="21"/>
              </w:rPr>
              <w:t>505合约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为1</w:t>
            </w:r>
            <w:r>
              <w:rPr>
                <w:rFonts w:eastAsia="仿宋"/>
                <w:color w:val="000000"/>
                <w:kern w:val="0"/>
                <w:szCs w:val="21"/>
              </w:rPr>
              <w:t>3%/10%）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1</w:t>
            </w:r>
            <w:r>
              <w:rPr>
                <w:rFonts w:eastAsia="仿宋"/>
                <w:color w:val="000000"/>
                <w:kern w:val="0"/>
                <w:szCs w:val="21"/>
              </w:rPr>
              <w:t>2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%</w:t>
            </w:r>
            <w:r>
              <w:rPr>
                <w:rFonts w:eastAsia="仿宋"/>
                <w:color w:val="000000"/>
                <w:kern w:val="0"/>
                <w:szCs w:val="21"/>
              </w:rPr>
              <w:t>/10%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（苹果2</w:t>
            </w:r>
            <w:r>
              <w:rPr>
                <w:rFonts w:eastAsia="仿宋"/>
                <w:color w:val="000000"/>
                <w:kern w:val="0"/>
                <w:szCs w:val="21"/>
              </w:rPr>
              <w:t>505合约保证金为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1</w:t>
            </w:r>
            <w:r>
              <w:rPr>
                <w:rFonts w:eastAsia="仿宋"/>
                <w:color w:val="000000"/>
                <w:kern w:val="0"/>
                <w:szCs w:val="21"/>
              </w:rPr>
              <w:t>3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%）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恢复至调整前水平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玻璃</w:t>
            </w: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10%/9%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（玻璃2</w:t>
            </w:r>
            <w:r>
              <w:rPr>
                <w:rFonts w:eastAsia="仿宋"/>
                <w:color w:val="000000"/>
                <w:kern w:val="0"/>
                <w:szCs w:val="21"/>
              </w:rPr>
              <w:t>505合约为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1</w:t>
            </w:r>
            <w:r>
              <w:rPr>
                <w:rFonts w:eastAsia="仿宋"/>
                <w:color w:val="000000"/>
                <w:kern w:val="0"/>
                <w:szCs w:val="21"/>
              </w:rPr>
              <w:t>2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%</w:t>
            </w:r>
            <w:r>
              <w:rPr>
                <w:rFonts w:eastAsia="仿宋"/>
                <w:color w:val="000000"/>
                <w:kern w:val="0"/>
                <w:szCs w:val="21"/>
              </w:rPr>
              <w:t>/10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%）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1</w:t>
            </w:r>
            <w:r>
              <w:rPr>
                <w:rFonts w:eastAsia="仿宋"/>
                <w:color w:val="000000"/>
                <w:kern w:val="0"/>
                <w:szCs w:val="21"/>
              </w:rPr>
              <w:t>2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%</w:t>
            </w:r>
            <w:r>
              <w:rPr>
                <w:rFonts w:eastAsia="仿宋"/>
                <w:color w:val="000000"/>
                <w:kern w:val="0"/>
                <w:szCs w:val="21"/>
              </w:rPr>
              <w:t>/10%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恢复至调整前水平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纯碱</w:t>
            </w: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10%/9%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1</w:t>
            </w:r>
            <w:r>
              <w:rPr>
                <w:rFonts w:eastAsia="仿宋"/>
                <w:color w:val="000000"/>
                <w:kern w:val="0"/>
                <w:szCs w:val="21"/>
              </w:rPr>
              <w:t>2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%</w:t>
            </w:r>
            <w:r>
              <w:rPr>
                <w:rFonts w:eastAsia="仿宋"/>
                <w:color w:val="000000"/>
                <w:kern w:val="0"/>
                <w:szCs w:val="21"/>
              </w:rPr>
              <w:t>/10%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9%</w:t>
            </w:r>
            <w:r>
              <w:rPr>
                <w:rFonts w:eastAsia="仿宋"/>
                <w:color w:val="000000"/>
                <w:kern w:val="0"/>
                <w:szCs w:val="21"/>
              </w:rPr>
              <w:t>/8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菜粕</w:t>
            </w: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7%/6%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（菜粕2</w:t>
            </w:r>
            <w:r>
              <w:rPr>
                <w:rFonts w:eastAsia="仿宋"/>
                <w:color w:val="000000"/>
                <w:kern w:val="0"/>
                <w:szCs w:val="21"/>
              </w:rPr>
              <w:t>505合约板幅为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8%，菜粕2</w:t>
            </w:r>
            <w:r>
              <w:rPr>
                <w:rFonts w:eastAsia="仿宋"/>
                <w:color w:val="000000"/>
                <w:kern w:val="0"/>
                <w:szCs w:val="21"/>
              </w:rPr>
              <w:t>507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、2508、2509、2511、2601及2</w:t>
            </w:r>
            <w:r>
              <w:rPr>
                <w:rFonts w:eastAsia="仿宋"/>
                <w:color w:val="000000"/>
                <w:kern w:val="0"/>
                <w:szCs w:val="21"/>
              </w:rPr>
              <w:t>603合约为10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%</w:t>
            </w:r>
            <w:r>
              <w:rPr>
                <w:rFonts w:eastAsia="仿宋"/>
                <w:color w:val="000000"/>
                <w:kern w:val="0"/>
                <w:szCs w:val="21"/>
              </w:rPr>
              <w:t>/8%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12%/10%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恢复至调整前水平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菜油</w:t>
            </w: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7%/6%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（菜油2</w:t>
            </w:r>
            <w:r>
              <w:rPr>
                <w:rFonts w:eastAsia="仿宋"/>
                <w:color w:val="000000"/>
                <w:kern w:val="0"/>
                <w:szCs w:val="21"/>
              </w:rPr>
              <w:t>505合约板幅为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8%，菜油2</w:t>
            </w:r>
            <w:r>
              <w:rPr>
                <w:rFonts w:eastAsia="仿宋"/>
                <w:color w:val="000000"/>
                <w:kern w:val="0"/>
                <w:szCs w:val="21"/>
              </w:rPr>
              <w:t>507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、2509、2511、2601及2</w:t>
            </w:r>
            <w:r>
              <w:rPr>
                <w:rFonts w:eastAsia="仿宋"/>
                <w:color w:val="000000"/>
                <w:kern w:val="0"/>
                <w:szCs w:val="21"/>
              </w:rPr>
              <w:t>603合约为9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%</w:t>
            </w:r>
            <w:r>
              <w:rPr>
                <w:rFonts w:eastAsia="仿宋"/>
                <w:color w:val="000000"/>
                <w:kern w:val="0"/>
                <w:szCs w:val="21"/>
              </w:rPr>
              <w:t>/8%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12%/10%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恢复至调整前水平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硅铁</w:t>
            </w: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9%/8%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1</w:t>
            </w:r>
            <w:r>
              <w:rPr>
                <w:rFonts w:eastAsia="仿宋"/>
                <w:color w:val="000000"/>
                <w:kern w:val="0"/>
                <w:szCs w:val="21"/>
              </w:rPr>
              <w:t>0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%</w:t>
            </w:r>
            <w:r>
              <w:rPr>
                <w:rFonts w:eastAsia="仿宋"/>
                <w:color w:val="000000"/>
                <w:kern w:val="0"/>
                <w:szCs w:val="21"/>
              </w:rPr>
              <w:t>/9%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eastAsia="仿宋"/>
                <w:color w:val="000000"/>
                <w:kern w:val="0"/>
                <w:szCs w:val="21"/>
              </w:rPr>
              <w:t>8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%</w:t>
            </w:r>
            <w:r>
              <w:rPr>
                <w:rFonts w:eastAsia="仿宋"/>
                <w:color w:val="000000"/>
                <w:kern w:val="0"/>
                <w:szCs w:val="21"/>
              </w:rPr>
              <w:t>/7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锰硅</w:t>
            </w: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9%/8%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1</w:t>
            </w:r>
            <w:r>
              <w:rPr>
                <w:rFonts w:eastAsia="仿宋"/>
                <w:color w:val="000000"/>
                <w:kern w:val="0"/>
                <w:szCs w:val="21"/>
              </w:rPr>
              <w:t>0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%</w:t>
            </w:r>
            <w:r>
              <w:rPr>
                <w:rFonts w:eastAsia="仿宋"/>
                <w:color w:val="000000"/>
                <w:kern w:val="0"/>
                <w:szCs w:val="21"/>
              </w:rPr>
              <w:t>/9%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恢复至调整前水平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花生</w:t>
            </w: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8%/7%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10%/9%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恢复至调整前水平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甲醇</w:t>
            </w: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8%/7%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10%/9%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恢复至调整前水平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尿素</w:t>
            </w: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8%/7%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10%/9%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恢复至调整前水平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烧碱</w:t>
            </w: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8%/7%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10%/9%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恢复至调整前水平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对二甲苯</w:t>
            </w: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8%/7%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（对二甲苯</w:t>
            </w:r>
            <w:r>
              <w:rPr>
                <w:rFonts w:eastAsia="仿宋"/>
                <w:color w:val="000000"/>
                <w:kern w:val="0"/>
                <w:szCs w:val="21"/>
              </w:rPr>
              <w:t>2505合约板幅为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8%，对二甲苯</w:t>
            </w:r>
            <w:r>
              <w:rPr>
                <w:rFonts w:eastAsia="仿宋"/>
                <w:color w:val="000000"/>
                <w:kern w:val="0"/>
                <w:szCs w:val="21"/>
              </w:rPr>
              <w:t>2506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、2507、2508及2</w:t>
            </w:r>
            <w:r>
              <w:rPr>
                <w:rFonts w:eastAsia="仿宋"/>
                <w:color w:val="000000"/>
                <w:kern w:val="0"/>
                <w:szCs w:val="21"/>
              </w:rPr>
              <w:t>509合约为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9%/</w:t>
            </w:r>
            <w:r>
              <w:rPr>
                <w:rFonts w:eastAsia="仿宋"/>
                <w:color w:val="000000"/>
                <w:kern w:val="0"/>
                <w:szCs w:val="21"/>
              </w:rPr>
              <w:t>8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%）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10%/9%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恢复至调整前水平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白糖</w:t>
            </w: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7%/6%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10%/9%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恢复至调整前水平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棉花</w:t>
            </w: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7%/6%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10%/9%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恢复至调整前水平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P</w:t>
            </w:r>
            <w:r>
              <w:rPr>
                <w:rFonts w:eastAsia="仿宋"/>
                <w:color w:val="000000"/>
                <w:kern w:val="0"/>
                <w:szCs w:val="21"/>
              </w:rPr>
              <w:t>TA</w:t>
            </w: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7%/6%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（P</w:t>
            </w:r>
            <w:r>
              <w:rPr>
                <w:rFonts w:eastAsia="仿宋"/>
                <w:color w:val="000000"/>
                <w:kern w:val="0"/>
                <w:szCs w:val="21"/>
              </w:rPr>
              <w:t>TA2505合约板幅为7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%，P</w:t>
            </w:r>
            <w:r>
              <w:rPr>
                <w:rFonts w:eastAsia="仿宋"/>
                <w:color w:val="000000"/>
                <w:kern w:val="0"/>
                <w:szCs w:val="21"/>
              </w:rPr>
              <w:t>TA2506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、2507、2508及2</w:t>
            </w:r>
            <w:r>
              <w:rPr>
                <w:rFonts w:eastAsia="仿宋"/>
                <w:color w:val="000000"/>
                <w:kern w:val="0"/>
                <w:szCs w:val="21"/>
              </w:rPr>
              <w:t>509为8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%/</w:t>
            </w:r>
            <w:r>
              <w:rPr>
                <w:rFonts w:eastAsia="仿宋"/>
                <w:color w:val="000000"/>
                <w:kern w:val="0"/>
                <w:szCs w:val="21"/>
              </w:rPr>
              <w:t>7</w:t>
            </w:r>
            <w:r>
              <w:rPr>
                <w:rFonts w:hint="eastAsia" w:eastAsia="仿宋"/>
                <w:color w:val="000000"/>
                <w:kern w:val="0"/>
                <w:szCs w:val="21"/>
              </w:rPr>
              <w:t>%）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10%/9%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恢复至调整前水平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短纤</w:t>
            </w: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7%/6%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9%/8%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恢复至调整前水平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瓶片</w:t>
            </w: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7%/6%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9%/8%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恢复至调整前水平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棉纱</w:t>
            </w:r>
          </w:p>
        </w:tc>
        <w:tc>
          <w:tcPr>
            <w:tcW w:w="14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5%/4%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7%/6%</w:t>
            </w:r>
          </w:p>
        </w:tc>
        <w:tc>
          <w:tcPr>
            <w:tcW w:w="1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仿宋"/>
                <w:color w:val="000000"/>
                <w:kern w:val="0"/>
                <w:szCs w:val="21"/>
              </w:rPr>
              <w:t>恢复至调整前水平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sz w:val="2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6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dit="trackedChanges"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0E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0247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113F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1D9B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21C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71914BB"/>
    <w:rsid w:val="0C0006AD"/>
    <w:rsid w:val="19FECC4C"/>
    <w:rsid w:val="252D8816"/>
    <w:rsid w:val="2BF5D5F0"/>
    <w:rsid w:val="2D2A393B"/>
    <w:rsid w:val="2FBDA7B1"/>
    <w:rsid w:val="33865F83"/>
    <w:rsid w:val="37335B48"/>
    <w:rsid w:val="37FF7874"/>
    <w:rsid w:val="3AA452E6"/>
    <w:rsid w:val="3B7F12F6"/>
    <w:rsid w:val="3CAB6066"/>
    <w:rsid w:val="3E7D6B85"/>
    <w:rsid w:val="3FF3BEA3"/>
    <w:rsid w:val="3FF71597"/>
    <w:rsid w:val="4432AB06"/>
    <w:rsid w:val="4D353BB5"/>
    <w:rsid w:val="52192FF5"/>
    <w:rsid w:val="53DAD1BB"/>
    <w:rsid w:val="54ED4193"/>
    <w:rsid w:val="57BD92EB"/>
    <w:rsid w:val="57E93B98"/>
    <w:rsid w:val="5CF30471"/>
    <w:rsid w:val="5E5A057F"/>
    <w:rsid w:val="5FADDF3F"/>
    <w:rsid w:val="65FF1CEA"/>
    <w:rsid w:val="67F445BF"/>
    <w:rsid w:val="6D79709B"/>
    <w:rsid w:val="6EF5B351"/>
    <w:rsid w:val="6F9E350D"/>
    <w:rsid w:val="71FDDAEF"/>
    <w:rsid w:val="72BF77F2"/>
    <w:rsid w:val="76DEB36F"/>
    <w:rsid w:val="77BBC6F2"/>
    <w:rsid w:val="78ED9D19"/>
    <w:rsid w:val="7A76D3C0"/>
    <w:rsid w:val="7DBEB977"/>
    <w:rsid w:val="7DF6CF05"/>
    <w:rsid w:val="7DFE599A"/>
    <w:rsid w:val="7DFF3885"/>
    <w:rsid w:val="7F5F771D"/>
    <w:rsid w:val="7F737DF6"/>
    <w:rsid w:val="7FE7B328"/>
    <w:rsid w:val="7FEDC93F"/>
    <w:rsid w:val="7FF62F9C"/>
    <w:rsid w:val="7FF692A4"/>
    <w:rsid w:val="7FF74675"/>
    <w:rsid w:val="7FF815F4"/>
    <w:rsid w:val="7FFE3828"/>
    <w:rsid w:val="7FFE4037"/>
    <w:rsid w:val="7FFEF960"/>
    <w:rsid w:val="8F7CF1EE"/>
    <w:rsid w:val="8FEE545E"/>
    <w:rsid w:val="96E7E99A"/>
    <w:rsid w:val="9DFE4D6F"/>
    <w:rsid w:val="AF1E9F25"/>
    <w:rsid w:val="BB8F438A"/>
    <w:rsid w:val="BD746F41"/>
    <w:rsid w:val="BDFFE5E5"/>
    <w:rsid w:val="C3BF5643"/>
    <w:rsid w:val="CB7E905E"/>
    <w:rsid w:val="CFBF09FB"/>
    <w:rsid w:val="D3FF5C60"/>
    <w:rsid w:val="DDBDCC33"/>
    <w:rsid w:val="DDBE8D32"/>
    <w:rsid w:val="DF9A62E8"/>
    <w:rsid w:val="DFEF347B"/>
    <w:rsid w:val="DFFF63F4"/>
    <w:rsid w:val="E47D5AED"/>
    <w:rsid w:val="E7575C9B"/>
    <w:rsid w:val="E76DCF4F"/>
    <w:rsid w:val="EDF6E07E"/>
    <w:rsid w:val="EE7ACF31"/>
    <w:rsid w:val="EFDA9B98"/>
    <w:rsid w:val="EFEB461C"/>
    <w:rsid w:val="F17CB553"/>
    <w:rsid w:val="F6772EA7"/>
    <w:rsid w:val="F6DDFC5B"/>
    <w:rsid w:val="FABFE6D7"/>
    <w:rsid w:val="FB3FCC65"/>
    <w:rsid w:val="FC5D7949"/>
    <w:rsid w:val="FD9F273D"/>
    <w:rsid w:val="FEDFC69E"/>
    <w:rsid w:val="FEEF8281"/>
    <w:rsid w:val="FF5FC67B"/>
    <w:rsid w:val="FF6DBF0C"/>
    <w:rsid w:val="FFBE9514"/>
    <w:rsid w:val="FFD350CC"/>
    <w:rsid w:val="FFF99ADB"/>
    <w:rsid w:val="FFFDF950"/>
    <w:rsid w:val="FFFF6A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5">
    <w:name w:val="footnote reference"/>
    <w:basedOn w:val="11"/>
    <w:unhideWhenUsed/>
    <w:qFormat/>
    <w:uiPriority w:val="99"/>
    <w:rPr>
      <w:vertAlign w:val="superscript"/>
    </w:rPr>
  </w:style>
  <w:style w:type="character" w:customStyle="1" w:styleId="16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table" w:customStyle="1" w:styleId="22">
    <w:name w:val="网格型2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1794</Words>
  <Characters>10227</Characters>
  <Lines>85</Lines>
  <Paragraphs>23</Paragraphs>
  <TotalTime>48</TotalTime>
  <ScaleCrop>false</ScaleCrop>
  <LinksUpToDate>false</LinksUpToDate>
  <CharactersWithSpaces>11998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2025-04-30T10:16:00Z</dcterms:created>
  <dc:creator>CN=李小鹏/OU=办公室/O=CZCE</dc:creator>
  <cp:lastModifiedBy>张雅杰</cp:lastModifiedBy>
  <dcterms:modified xsi:type="dcterms:W3CDTF">2025-04-24T17:05:00Z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362FF6D5EDB34C1783FC1EABE8F00D35</vt:lpwstr>
  </property>
</Properties>
</file>