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4</w:t>
      </w:r>
    </w:p>
    <w:p>
      <w:pPr>
        <w:pStyle w:val="6"/>
        <w:shd w:val="clear" w:color="auto" w:fill="FFFFFF"/>
        <w:adjustRightInd w:val="0"/>
        <w:spacing w:before="0" w:beforeAutospacing="0" w:after="0" w:afterAutospacing="0" w:line="360" w:lineRule="auto"/>
        <w:ind w:left="0" w:leftChars="0"/>
        <w:jc w:val="center"/>
        <w:rPr>
          <w:rFonts w:ascii="宋体" w:hAnsi="宋体" w:eastAsia="宋体"/>
          <w:b/>
          <w:sz w:val="44"/>
          <w:szCs w:val="44"/>
        </w:rPr>
      </w:pPr>
      <w:r>
        <w:rPr>
          <w:rFonts w:hint="eastAsia" w:ascii="宋体" w:hAnsi="宋体" w:eastAsia="宋体"/>
          <w:b/>
          <w:sz w:val="44"/>
          <w:szCs w:val="44"/>
        </w:rPr>
        <w:t>郑州商品交易所违规处理办法</w:t>
      </w:r>
    </w:p>
    <w:p>
      <w:pPr>
        <w:keepNext w:val="0"/>
        <w:keepLines w:val="0"/>
        <w:pageBreakBefore w:val="0"/>
        <w:widowControl w:val="0"/>
        <w:kinsoku/>
        <w:wordWrap/>
        <w:overflowPunct/>
        <w:topLinePunct w:val="0"/>
        <w:autoSpaceDE/>
        <w:autoSpaceDN/>
        <w:bidi w:val="0"/>
        <w:adjustRightInd/>
        <w:snapToGrid/>
        <w:spacing w:before="313" w:beforeLines="100"/>
        <w:textAlignment w:val="auto"/>
        <w:rPr>
          <w:rFonts w:hint="default" w:ascii="宋体" w:hAnsi="宋体" w:cs="宋体"/>
          <w:kern w:val="2"/>
          <w:sz w:val="24"/>
          <w:highlight w:val="none"/>
        </w:rPr>
      </w:pPr>
      <w:r>
        <w:rPr>
          <w:rFonts w:hint="eastAsia" w:ascii="宋体" w:hAnsi="宋体" w:cs="宋体"/>
          <w:kern w:val="2"/>
          <w:sz w:val="24"/>
          <w:highlight w:val="none"/>
        </w:rPr>
        <w:t>（202</w:t>
      </w:r>
      <w:r>
        <w:rPr>
          <w:rFonts w:hint="eastAsia" w:ascii="宋体" w:hAnsi="宋体" w:cs="宋体"/>
          <w:kern w:val="2"/>
          <w:sz w:val="24"/>
          <w:highlight w:val="none"/>
          <w:lang w:val="en-US" w:eastAsia="zh-CN"/>
        </w:rPr>
        <w:t>5</w:t>
      </w:r>
      <w:r>
        <w:rPr>
          <w:rFonts w:hint="eastAsia" w:ascii="宋体" w:hAnsi="宋体" w:cs="宋体"/>
          <w:kern w:val="2"/>
          <w:sz w:val="24"/>
          <w:highlight w:val="none"/>
        </w:rPr>
        <w:t>年</w:t>
      </w:r>
      <w:r>
        <w:rPr>
          <w:rFonts w:hint="eastAsia" w:ascii="宋体" w:hAnsi="宋体" w:cs="宋体"/>
          <w:kern w:val="2"/>
          <w:sz w:val="24"/>
          <w:highlight w:val="none"/>
          <w:lang w:val="en-US" w:eastAsia="zh-CN"/>
        </w:rPr>
        <w:t>1</w:t>
      </w:r>
      <w:r>
        <w:rPr>
          <w:rFonts w:hint="eastAsia" w:ascii="宋体" w:hAnsi="宋体" w:cs="宋体"/>
          <w:kern w:val="2"/>
          <w:sz w:val="24"/>
          <w:highlight w:val="none"/>
        </w:rPr>
        <w:t>月2日郑州商品交易所第七届理事会第二十</w:t>
      </w:r>
      <w:r>
        <w:rPr>
          <w:rFonts w:hint="eastAsia" w:ascii="宋体" w:hAnsi="宋体" w:cs="宋体"/>
          <w:kern w:val="2"/>
          <w:sz w:val="24"/>
          <w:highlight w:val="none"/>
          <w:lang w:eastAsia="zh-CN"/>
        </w:rPr>
        <w:t>二</w:t>
      </w:r>
      <w:r>
        <w:rPr>
          <w:rFonts w:hint="eastAsia" w:ascii="宋体" w:hAnsi="宋体" w:cs="宋体"/>
          <w:kern w:val="2"/>
          <w:sz w:val="24"/>
          <w:highlight w:val="none"/>
        </w:rPr>
        <w:t>次会议审议通过，自</w:t>
      </w:r>
      <w:r>
        <w:rPr>
          <w:rFonts w:hint="eastAsia" w:ascii="宋体" w:hAnsi="宋体" w:cs="宋体"/>
          <w:kern w:val="2"/>
          <w:sz w:val="24"/>
          <w:highlight w:val="none"/>
          <w:lang w:eastAsia="zh-CN"/>
        </w:rPr>
        <w:t>发布之日起</w:t>
      </w:r>
      <w:r>
        <w:rPr>
          <w:rFonts w:hint="eastAsia" w:ascii="宋体" w:hAnsi="宋体" w:cs="宋体"/>
          <w:kern w:val="2"/>
          <w:sz w:val="24"/>
          <w:highlight w:val="none"/>
        </w:rPr>
        <w:t>施行）</w:t>
      </w:r>
    </w:p>
    <w:p>
      <w:pPr>
        <w:pStyle w:val="6"/>
        <w:numPr>
          <w:ilvl w:val="0"/>
          <w:numId w:val="1"/>
        </w:numPr>
        <w:shd w:val="clear" w:color="auto" w:fill="FFFFFF"/>
        <w:adjustRightInd w:val="0"/>
        <w:spacing w:before="240" w:beforeAutospacing="0" w:after="240" w:afterAutospacing="0" w:line="360" w:lineRule="auto"/>
        <w:ind w:leftChars="0"/>
        <w:jc w:val="center"/>
        <w:rPr>
          <w:rFonts w:ascii="黑体" w:hAnsi="黑体" w:eastAsia="黑体"/>
          <w:sz w:val="32"/>
          <w:szCs w:val="32"/>
        </w:rPr>
      </w:pPr>
      <w:r>
        <w:rPr>
          <w:rFonts w:hint="eastAsia" w:ascii="黑体" w:hAnsi="黑体" w:eastAsia="黑体"/>
          <w:sz w:val="32"/>
          <w:szCs w:val="32"/>
        </w:rPr>
        <w:t>总 则</w:t>
      </w:r>
    </w:p>
    <w:p>
      <w:pPr>
        <w:pStyle w:val="6"/>
        <w:shd w:val="clear" w:color="auto" w:fill="FFFFFF"/>
        <w:adjustRightInd w:val="0"/>
        <w:spacing w:before="0" w:beforeAutospacing="0" w:after="0" w:afterAutospacing="0" w:line="360" w:lineRule="auto"/>
        <w:ind w:left="0" w:leftChars="0" w:firstLine="548" w:firstLineChars="196"/>
        <w:jc w:val="both"/>
        <w:rPr>
          <w:rFonts w:cs="Times New Roman"/>
          <w:color w:val="333333"/>
          <w:sz w:val="28"/>
          <w:szCs w:val="28"/>
          <w:highlight w:val="yellow"/>
        </w:rPr>
      </w:pPr>
      <w:r>
        <w:rPr>
          <w:rFonts w:hint="eastAsia" w:ascii="黑体" w:hAnsi="黑体" w:eastAsia="黑体"/>
          <w:sz w:val="28"/>
          <w:szCs w:val="28"/>
        </w:rPr>
        <w:t xml:space="preserve">第一条 </w:t>
      </w:r>
      <w:r>
        <w:rPr>
          <w:rFonts w:hint="eastAsia"/>
          <w:sz w:val="28"/>
          <w:szCs w:val="28"/>
        </w:rPr>
        <w:t>为了加强期货市场管理，规范期货交易行为，保障期货市场参与者的合法权益，根据《郑州商品交易所章程》《郑州商品交易所交易规则》的有关规定，制定本办法。</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第二条</w:t>
      </w:r>
      <w:r>
        <w:rPr>
          <w:rFonts w:hint="eastAsia" w:ascii="宋体" w:hAnsi="宋体" w:eastAsia="宋体"/>
          <w:sz w:val="28"/>
          <w:szCs w:val="28"/>
        </w:rPr>
        <w:t xml:space="preserve"> 本办法所称违规行为是指期货市场参与者及其工作人员违反郑州商品交易所（以下简称交易所）章程、业务</w:t>
      </w:r>
      <w:r>
        <w:rPr>
          <w:rFonts w:ascii="宋体" w:hAnsi="宋体" w:eastAsia="宋体"/>
          <w:sz w:val="28"/>
          <w:szCs w:val="28"/>
        </w:rPr>
        <w:t>规则</w:t>
      </w:r>
      <w:r>
        <w:rPr>
          <w:rFonts w:hint="eastAsia" w:ascii="宋体" w:hAnsi="宋体" w:eastAsia="宋体"/>
          <w:sz w:val="28"/>
          <w:szCs w:val="28"/>
        </w:rPr>
        <w:t>及其他有关规定的行为。</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前款所称期货市场参与者包括：</w:t>
      </w:r>
    </w:p>
    <w:p>
      <w:pPr>
        <w:spacing w:line="360" w:lineRule="auto"/>
        <w:ind w:firstLine="420" w:firstLineChars="150"/>
        <w:rPr>
          <w:rFonts w:ascii="宋体" w:hAnsi="宋体" w:eastAsia="宋体"/>
          <w:sz w:val="28"/>
          <w:szCs w:val="28"/>
        </w:rPr>
      </w:pPr>
      <w:r>
        <w:rPr>
          <w:rFonts w:hint="eastAsia" w:ascii="宋体" w:hAnsi="宋体" w:eastAsia="宋体"/>
          <w:sz w:val="28"/>
          <w:szCs w:val="28"/>
        </w:rPr>
        <w:t>（一）会员；</w:t>
      </w:r>
    </w:p>
    <w:p>
      <w:pPr>
        <w:spacing w:line="360" w:lineRule="auto"/>
        <w:ind w:firstLine="420" w:firstLineChars="150"/>
        <w:rPr>
          <w:rFonts w:ascii="宋体" w:hAnsi="宋体" w:eastAsia="宋体"/>
          <w:sz w:val="28"/>
          <w:szCs w:val="28"/>
        </w:rPr>
      </w:pPr>
      <w:r>
        <w:rPr>
          <w:rFonts w:hint="eastAsia" w:ascii="宋体" w:hAnsi="宋体" w:eastAsia="宋体"/>
          <w:sz w:val="28"/>
          <w:szCs w:val="28"/>
        </w:rPr>
        <w:t>（二）境外经纪机构；</w:t>
      </w:r>
    </w:p>
    <w:p>
      <w:pPr>
        <w:spacing w:line="360" w:lineRule="auto"/>
        <w:ind w:firstLine="420" w:firstLineChars="150"/>
        <w:rPr>
          <w:rFonts w:ascii="宋体" w:hAnsi="宋体" w:eastAsia="宋体"/>
          <w:sz w:val="28"/>
          <w:szCs w:val="28"/>
        </w:rPr>
      </w:pPr>
      <w:r>
        <w:rPr>
          <w:rFonts w:hint="eastAsia" w:ascii="宋体" w:hAnsi="宋体" w:eastAsia="宋体"/>
          <w:sz w:val="28"/>
          <w:szCs w:val="28"/>
        </w:rPr>
        <w:t>（三）做市商；</w:t>
      </w:r>
    </w:p>
    <w:p>
      <w:pPr>
        <w:spacing w:line="360" w:lineRule="auto"/>
        <w:ind w:firstLine="420" w:firstLineChars="150"/>
        <w:rPr>
          <w:rFonts w:ascii="宋体" w:hAnsi="宋体" w:eastAsia="宋体"/>
          <w:sz w:val="28"/>
          <w:szCs w:val="28"/>
        </w:rPr>
      </w:pPr>
      <w:r>
        <w:rPr>
          <w:rFonts w:hint="eastAsia" w:ascii="宋体" w:hAnsi="宋体" w:eastAsia="宋体"/>
          <w:sz w:val="28"/>
          <w:szCs w:val="28"/>
        </w:rPr>
        <w:t>（四）客户；</w:t>
      </w:r>
    </w:p>
    <w:p>
      <w:pPr>
        <w:spacing w:line="360" w:lineRule="auto"/>
        <w:ind w:firstLine="420" w:firstLineChars="150"/>
        <w:rPr>
          <w:rFonts w:ascii="宋体" w:hAnsi="宋体" w:eastAsia="宋体"/>
          <w:sz w:val="28"/>
          <w:szCs w:val="28"/>
        </w:rPr>
      </w:pPr>
      <w:r>
        <w:rPr>
          <w:rFonts w:hint="eastAsia" w:ascii="宋体" w:hAnsi="宋体" w:eastAsia="宋体"/>
          <w:sz w:val="28"/>
          <w:szCs w:val="28"/>
        </w:rPr>
        <w:t>（五）交割仓库、车（船）板交割服务机构；</w:t>
      </w:r>
    </w:p>
    <w:p>
      <w:pPr>
        <w:spacing w:line="360" w:lineRule="auto"/>
        <w:ind w:firstLine="420" w:firstLineChars="150"/>
        <w:rPr>
          <w:rFonts w:ascii="宋体" w:hAnsi="宋体" w:eastAsia="宋体"/>
          <w:sz w:val="28"/>
          <w:szCs w:val="28"/>
        </w:rPr>
      </w:pPr>
      <w:r>
        <w:rPr>
          <w:rFonts w:hint="eastAsia" w:ascii="宋体" w:hAnsi="宋体" w:eastAsia="宋体"/>
          <w:sz w:val="28"/>
          <w:szCs w:val="28"/>
        </w:rPr>
        <w:t>（六）期货保证金存管银行（以下简称存管银行）；</w:t>
      </w:r>
    </w:p>
    <w:p>
      <w:pPr>
        <w:spacing w:line="360" w:lineRule="auto"/>
        <w:ind w:firstLine="420" w:firstLineChars="150"/>
        <w:rPr>
          <w:rFonts w:ascii="宋体" w:hAnsi="宋体" w:eastAsia="宋体"/>
          <w:sz w:val="28"/>
          <w:szCs w:val="28"/>
        </w:rPr>
      </w:pPr>
      <w:r>
        <w:rPr>
          <w:rFonts w:hint="eastAsia" w:ascii="宋体" w:hAnsi="宋体" w:eastAsia="宋体"/>
          <w:sz w:val="28"/>
          <w:szCs w:val="28"/>
        </w:rPr>
        <w:t>（七）指定检验机构；</w:t>
      </w:r>
    </w:p>
    <w:p>
      <w:pPr>
        <w:spacing w:line="360" w:lineRule="auto"/>
        <w:ind w:firstLine="420" w:firstLineChars="150"/>
        <w:rPr>
          <w:rFonts w:ascii="宋体" w:hAnsi="宋体" w:eastAsia="宋体"/>
          <w:sz w:val="28"/>
          <w:szCs w:val="28"/>
        </w:rPr>
      </w:pPr>
      <w:r>
        <w:rPr>
          <w:rFonts w:hint="eastAsia" w:ascii="宋体" w:hAnsi="宋体" w:eastAsia="宋体"/>
          <w:sz w:val="28"/>
          <w:szCs w:val="28"/>
        </w:rPr>
        <w:t>（八）信息技术服务机构；</w:t>
      </w:r>
    </w:p>
    <w:p>
      <w:pPr>
        <w:spacing w:line="360" w:lineRule="auto"/>
        <w:ind w:firstLine="420" w:firstLineChars="150"/>
        <w:rPr>
          <w:rFonts w:ascii="宋体" w:hAnsi="宋体" w:eastAsia="宋体"/>
          <w:color w:val="333333"/>
          <w:sz w:val="28"/>
          <w:szCs w:val="28"/>
        </w:rPr>
      </w:pPr>
      <w:r>
        <w:rPr>
          <w:rFonts w:hint="eastAsia" w:ascii="宋体" w:hAnsi="宋体" w:eastAsia="宋体"/>
          <w:sz w:val="28"/>
          <w:szCs w:val="28"/>
        </w:rPr>
        <w:t>（九）交易所认定的期货市场其他参与者。</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第三条</w:t>
      </w:r>
      <w:r>
        <w:rPr>
          <w:rFonts w:hint="eastAsia" w:ascii="宋体" w:hAnsi="宋体" w:eastAsia="宋体"/>
          <w:sz w:val="28"/>
          <w:szCs w:val="28"/>
        </w:rPr>
        <w:t xml:space="preserve"> 交易所根据公平、公正的原则</w:t>
      </w:r>
      <w:r>
        <w:rPr>
          <w:rFonts w:ascii="宋体" w:hAnsi="宋体" w:eastAsia="宋体"/>
          <w:sz w:val="28"/>
          <w:szCs w:val="28"/>
        </w:rPr>
        <w:t>,以事实为依据,对违规行为进行调查、认定和</w:t>
      </w:r>
      <w:r>
        <w:rPr>
          <w:rFonts w:hint="eastAsia" w:ascii="宋体" w:hAnsi="宋体" w:eastAsia="宋体"/>
          <w:sz w:val="28"/>
          <w:szCs w:val="28"/>
        </w:rPr>
        <w:t>处理。</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 xml:space="preserve">第四条 </w:t>
      </w:r>
      <w:r>
        <w:rPr>
          <w:rFonts w:hint="eastAsia" w:ascii="宋体" w:hAnsi="宋体" w:eastAsia="宋体"/>
          <w:sz w:val="28"/>
          <w:szCs w:val="28"/>
        </w:rPr>
        <w:t>期货市场参与者的违规行为已经受到行政机关或者司法机关处罚的，交易所可以从轻、减轻或者免予处理。</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第五条</w:t>
      </w:r>
      <w:r>
        <w:rPr>
          <w:rFonts w:hint="eastAsia" w:ascii="宋体" w:hAnsi="宋体" w:eastAsia="宋体"/>
          <w:sz w:val="28"/>
          <w:szCs w:val="28"/>
        </w:rPr>
        <w:t xml:space="preserve"> 从事交易所期货交易相关业务活动适用本办法。</w:t>
      </w:r>
    </w:p>
    <w:p>
      <w:pPr>
        <w:pStyle w:val="14"/>
        <w:numPr>
          <w:ilvl w:val="0"/>
          <w:numId w:val="1"/>
        </w:numPr>
        <w:spacing w:before="240" w:after="240" w:line="360" w:lineRule="auto"/>
        <w:ind w:firstLineChars="0"/>
        <w:jc w:val="center"/>
        <w:rPr>
          <w:rFonts w:ascii="黑体" w:hAnsi="黑体" w:eastAsia="黑体"/>
          <w:sz w:val="32"/>
          <w:szCs w:val="32"/>
        </w:rPr>
      </w:pPr>
      <w:r>
        <w:rPr>
          <w:rFonts w:hint="eastAsia" w:ascii="黑体" w:hAnsi="黑体" w:eastAsia="黑体"/>
          <w:sz w:val="32"/>
          <w:szCs w:val="32"/>
        </w:rPr>
        <w:t>稽查</w:t>
      </w:r>
    </w:p>
    <w:p>
      <w:pPr>
        <w:tabs>
          <w:tab w:val="left" w:pos="737"/>
        </w:tabs>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 xml:space="preserve">第六条 </w:t>
      </w:r>
      <w:r>
        <w:rPr>
          <w:rFonts w:hint="eastAsia" w:ascii="宋体" w:hAnsi="宋体" w:eastAsia="宋体"/>
          <w:sz w:val="28"/>
          <w:szCs w:val="28"/>
        </w:rPr>
        <w:t>稽查是指交易所根据业务</w:t>
      </w:r>
      <w:r>
        <w:rPr>
          <w:rFonts w:ascii="宋体" w:hAnsi="宋体" w:eastAsia="宋体"/>
          <w:sz w:val="28"/>
          <w:szCs w:val="28"/>
        </w:rPr>
        <w:t>规则</w:t>
      </w:r>
      <w:r>
        <w:rPr>
          <w:rFonts w:hint="eastAsia" w:ascii="宋体" w:hAnsi="宋体" w:eastAsia="宋体"/>
          <w:sz w:val="28"/>
          <w:szCs w:val="28"/>
        </w:rPr>
        <w:t>及其他有关规定，对期货</w:t>
      </w:r>
      <w:bookmarkStart w:id="44" w:name="_GoBack"/>
      <w:bookmarkEnd w:id="44"/>
      <w:r>
        <w:rPr>
          <w:rFonts w:hint="eastAsia" w:ascii="宋体" w:hAnsi="宋体" w:eastAsia="宋体"/>
          <w:sz w:val="28"/>
          <w:szCs w:val="28"/>
        </w:rPr>
        <w:t>市场参与者的业务活动进行的检查和调查。</w:t>
      </w:r>
    </w:p>
    <w:p>
      <w:pPr>
        <w:tabs>
          <w:tab w:val="left" w:pos="737"/>
        </w:tabs>
        <w:spacing w:line="360" w:lineRule="auto"/>
        <w:ind w:firstLine="560" w:firstLineChars="200"/>
        <w:rPr>
          <w:rFonts w:ascii="宋体" w:hAnsi="宋体" w:eastAsia="宋体"/>
          <w:sz w:val="28"/>
          <w:szCs w:val="28"/>
        </w:rPr>
      </w:pPr>
      <w:r>
        <w:rPr>
          <w:rFonts w:hint="eastAsia" w:ascii="宋体" w:hAnsi="宋体" w:eastAsia="宋体"/>
          <w:sz w:val="28"/>
          <w:szCs w:val="28"/>
        </w:rPr>
        <w:t>稽查可以通过现场或者非现场方式进行。</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第七条</w:t>
      </w:r>
      <w:r>
        <w:rPr>
          <w:rFonts w:hint="eastAsia" w:ascii="宋体" w:hAnsi="宋体" w:eastAsia="宋体"/>
          <w:sz w:val="28"/>
          <w:szCs w:val="28"/>
        </w:rPr>
        <w:t xml:space="preserve"> 交易所进行稽查时，可以行使下列职权：</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（一）查阅、复制与期货交易有关的信息、资料；</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（二）要求期货市场参与者提供年报、第三方审计报告等；</w:t>
      </w:r>
      <w:r>
        <w:rPr>
          <w:rFonts w:ascii="宋体" w:hAnsi="宋体" w:eastAsia="宋体"/>
          <w:sz w:val="28"/>
          <w:szCs w:val="28"/>
        </w:rPr>
        <w:t>要求境外</w:t>
      </w:r>
      <w:r>
        <w:rPr>
          <w:rFonts w:hint="eastAsia" w:ascii="宋体" w:hAnsi="宋体" w:eastAsia="宋体"/>
          <w:sz w:val="28"/>
          <w:szCs w:val="28"/>
        </w:rPr>
        <w:t>经纪</w:t>
      </w:r>
      <w:r>
        <w:rPr>
          <w:rFonts w:ascii="宋体" w:hAnsi="宋体" w:eastAsia="宋体"/>
          <w:sz w:val="28"/>
          <w:szCs w:val="28"/>
        </w:rPr>
        <w:t>机构或者境外客户提供境外监管机构出具的监管报告；</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（三）对期货市场参与者进行调查、取证、约谈等；</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（四）要求期货市场参与者申报、陈述、解释、说明有关情况；</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（五）查询期货市场参与者期货业务相关的银行账户；</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（六）检查期货市场参与者期货业务相关的交易、结算及财务等技术系统；</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（七）制止、纠正、处理违规行为；</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（八）法律、法规、规章及交易所章程、业务规则规定的其他职权。</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第八条</w:t>
      </w:r>
      <w:r>
        <w:rPr>
          <w:rFonts w:hint="eastAsia" w:ascii="宋体" w:hAnsi="宋体" w:eastAsia="宋体"/>
          <w:sz w:val="28"/>
          <w:szCs w:val="28"/>
        </w:rPr>
        <w:t xml:space="preserve"> 期货市场参与者应当自觉接受交易所的监督管理，配合交易所稽查工作。</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第九条</w:t>
      </w:r>
      <w:r>
        <w:rPr>
          <w:rFonts w:ascii="宋体" w:hAnsi="宋体" w:eastAsia="宋体"/>
          <w:sz w:val="28"/>
          <w:szCs w:val="28"/>
        </w:rPr>
        <w:t xml:space="preserve"> 交易所可以根据</w:t>
      </w:r>
      <w:r>
        <w:rPr>
          <w:rFonts w:hint="eastAsia" w:ascii="宋体" w:hAnsi="宋体" w:eastAsia="宋体"/>
          <w:sz w:val="28"/>
          <w:szCs w:val="28"/>
        </w:rPr>
        <w:t>业务规则以及其他有关规定，对</w:t>
      </w:r>
      <w:r>
        <w:rPr>
          <w:rFonts w:ascii="宋体" w:hAnsi="宋体" w:eastAsia="宋体"/>
          <w:sz w:val="28"/>
          <w:szCs w:val="28"/>
        </w:rPr>
        <w:t>期货市场</w:t>
      </w:r>
      <w:r>
        <w:rPr>
          <w:rFonts w:hint="eastAsia" w:ascii="宋体" w:hAnsi="宋体" w:eastAsia="宋体"/>
          <w:sz w:val="28"/>
          <w:szCs w:val="28"/>
        </w:rPr>
        <w:t>参</w:t>
      </w:r>
      <w:r>
        <w:rPr>
          <w:rFonts w:ascii="宋体" w:hAnsi="宋体" w:eastAsia="宋体"/>
          <w:sz w:val="28"/>
          <w:szCs w:val="28"/>
        </w:rPr>
        <w:t>与者的业务活动进行定期和不定期的</w:t>
      </w:r>
      <w:r>
        <w:rPr>
          <w:rFonts w:hint="eastAsia" w:ascii="宋体" w:hAnsi="宋体" w:eastAsia="宋体"/>
          <w:sz w:val="28"/>
          <w:szCs w:val="28"/>
        </w:rPr>
        <w:t>检查。</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第十条</w:t>
      </w:r>
      <w:r>
        <w:rPr>
          <w:rFonts w:hint="eastAsia" w:ascii="宋体" w:hAnsi="宋体" w:eastAsia="宋体"/>
          <w:b/>
          <w:sz w:val="28"/>
          <w:szCs w:val="28"/>
        </w:rPr>
        <w:t xml:space="preserve"> </w:t>
      </w:r>
      <w:r>
        <w:rPr>
          <w:rFonts w:hint="eastAsia" w:ascii="宋体" w:hAnsi="宋体" w:eastAsia="宋体"/>
          <w:sz w:val="28"/>
          <w:szCs w:val="28"/>
        </w:rPr>
        <w:t>交易所建立投诉、举报机制。投诉、举报人应当身份真实、明确；投诉、举报人不愿公开其身份的，交易所应当为其保密。</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 xml:space="preserve">第十一条 </w:t>
      </w:r>
      <w:r>
        <w:rPr>
          <w:rFonts w:hint="eastAsia" w:ascii="宋体" w:hAnsi="宋体" w:eastAsia="宋体"/>
          <w:sz w:val="28"/>
          <w:szCs w:val="28"/>
        </w:rPr>
        <w:t>对日常监管工作中发现的、投诉举报的、期货监管部门及司法机关等单位移交的或者其他途径获得的违规线索，交易所应当进行调查，认为涉嫌违规需要予以纪律处分的，应当进行立案并告知当事人；认为涉嫌违规，但情节显著轻微、未对期货市场造成不良影响的，可以采取列入重点监管名单、口头警示、出具书面警示函、监管谈话、要求提交书面承诺等自律管理措施。</w:t>
      </w:r>
    </w:p>
    <w:p>
      <w:pPr>
        <w:spacing w:line="360" w:lineRule="auto"/>
        <w:ind w:firstLine="560" w:firstLineChars="200"/>
        <w:rPr>
          <w:rFonts w:ascii="宋体" w:hAnsi="宋体" w:eastAsia="宋体"/>
          <w:bCs/>
          <w:sz w:val="28"/>
          <w:szCs w:val="28"/>
        </w:rPr>
      </w:pPr>
      <w:r>
        <w:rPr>
          <w:rFonts w:hint="eastAsia" w:ascii="黑体" w:hAnsi="黑体" w:eastAsia="黑体" w:cs="宋体"/>
          <w:kern w:val="0"/>
          <w:sz w:val="28"/>
          <w:szCs w:val="28"/>
        </w:rPr>
        <w:t>第十二条</w:t>
      </w:r>
      <w:r>
        <w:rPr>
          <w:rFonts w:hint="eastAsia" w:ascii="宋体" w:hAnsi="宋体" w:eastAsia="宋体"/>
          <w:b/>
          <w:sz w:val="28"/>
          <w:szCs w:val="28"/>
        </w:rPr>
        <w:t xml:space="preserve"> </w:t>
      </w:r>
      <w:r>
        <w:rPr>
          <w:rFonts w:hint="eastAsia" w:ascii="宋体" w:hAnsi="宋体" w:eastAsia="宋体"/>
          <w:sz w:val="28"/>
          <w:szCs w:val="28"/>
        </w:rPr>
        <w:t>对已经立案的违规案件，交易所应当指定专人负责调查。调查取证应当由两名以上调查人员参加，并出示本人工作证或者交易所的证明文件。</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第十三条</w:t>
      </w:r>
      <w:r>
        <w:rPr>
          <w:rFonts w:hint="eastAsia" w:ascii="宋体" w:hAnsi="宋体" w:eastAsia="宋体"/>
          <w:sz w:val="28"/>
          <w:szCs w:val="28"/>
        </w:rPr>
        <w:t xml:space="preserve"> 调查人员认为自己与本案有利害关系或者其他可能影响案件公正处理的，应当申请回避。</w:t>
      </w:r>
    </w:p>
    <w:p>
      <w:pPr>
        <w:spacing w:line="360" w:lineRule="auto"/>
        <w:ind w:firstLine="560" w:firstLineChars="200"/>
        <w:rPr>
          <w:rFonts w:ascii="宋体" w:hAnsi="宋体" w:eastAsia="宋体"/>
          <w:sz w:val="28"/>
          <w:szCs w:val="28"/>
        </w:rPr>
      </w:pPr>
      <w:r>
        <w:rPr>
          <w:rFonts w:hint="eastAsia" w:ascii="宋体" w:hAnsi="宋体" w:eastAsia="宋体"/>
          <w:sz w:val="28"/>
          <w:szCs w:val="28"/>
        </w:rPr>
        <w:t>被调查人员认为调查人员与本案有关、可能影响公正办案的，有权申请有关人员回避。</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交易所认为调查人员应当回避的，指令其回避。</w:t>
      </w:r>
    </w:p>
    <w:p>
      <w:pPr>
        <w:spacing w:line="360" w:lineRule="auto"/>
        <w:ind w:firstLine="560" w:firstLineChars="200"/>
        <w:rPr>
          <w:rFonts w:ascii="宋体" w:hAnsi="宋体" w:eastAsia="宋体"/>
          <w:sz w:val="28"/>
          <w:szCs w:val="28"/>
        </w:rPr>
      </w:pPr>
      <w:r>
        <w:rPr>
          <w:rFonts w:hint="eastAsia" w:ascii="宋体" w:hAnsi="宋体" w:eastAsia="宋体"/>
          <w:sz w:val="28"/>
          <w:szCs w:val="28"/>
        </w:rPr>
        <w:t>调查人员的回避由交易所稽查部门负责人决定。稽查部门负责人的回避由交易所总经理决定。</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 xml:space="preserve">第十四条 </w:t>
      </w:r>
      <w:r>
        <w:rPr>
          <w:rFonts w:hint="eastAsia" w:ascii="宋体" w:hAnsi="宋体" w:eastAsia="宋体"/>
          <w:sz w:val="28"/>
          <w:szCs w:val="28"/>
        </w:rPr>
        <w:t>证据包括书证、物证、当事人陈述、证人证言、调查笔录、鉴定意见、视听资料、电子数据等能够证明案件真实情况的一切材料。</w:t>
      </w:r>
    </w:p>
    <w:p>
      <w:pPr>
        <w:spacing w:line="360" w:lineRule="auto"/>
        <w:ind w:firstLine="560" w:firstLineChars="200"/>
        <w:rPr>
          <w:rFonts w:ascii="宋体" w:hAnsi="宋体" w:eastAsia="宋体"/>
          <w:sz w:val="28"/>
          <w:szCs w:val="28"/>
        </w:rPr>
      </w:pPr>
      <w:r>
        <w:rPr>
          <w:rFonts w:hint="eastAsia" w:ascii="宋体" w:hAnsi="宋体" w:eastAsia="宋体"/>
          <w:sz w:val="28"/>
          <w:szCs w:val="28"/>
        </w:rPr>
        <w:t>证据应当经过调查核实才能作为定案的根据。</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第十五条</w:t>
      </w:r>
      <w:r>
        <w:rPr>
          <w:rFonts w:hint="eastAsia" w:ascii="宋体" w:hAnsi="宋体" w:eastAsia="宋体"/>
          <w:sz w:val="28"/>
          <w:szCs w:val="28"/>
        </w:rPr>
        <w:t xml:space="preserve"> 询问被调查人应当制作调查笔录。调查笔录应当交被调查人核对，核对无误后，被调查人和调查人员应当在笔录上签名。被调查人拒绝签名的，调查人员应当注明原因。</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书证、物证、视听资料和电子数据等证据的提取应当制作提取笔录，注明提取的时间和地点等，并由提供人签名或者盖章确认。</w:t>
      </w:r>
    </w:p>
    <w:p>
      <w:pPr>
        <w:spacing w:line="360" w:lineRule="auto"/>
        <w:ind w:firstLine="560" w:firstLineChars="200"/>
        <w:rPr>
          <w:rFonts w:ascii="宋体" w:hAnsi="宋体" w:eastAsia="宋体"/>
          <w:sz w:val="28"/>
          <w:szCs w:val="28"/>
        </w:rPr>
      </w:pPr>
      <w:r>
        <w:rPr>
          <w:rFonts w:hint="eastAsia" w:ascii="宋体" w:hAnsi="宋体" w:eastAsia="宋体"/>
          <w:sz w:val="28"/>
          <w:szCs w:val="28"/>
        </w:rPr>
        <w:t>鉴定意见应当由中国证监会或者交易所认定的有权鉴定单位做出，并由鉴定单位和鉴定人盖章签字。</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第十六条</w:t>
      </w:r>
      <w:r>
        <w:rPr>
          <w:rFonts w:hint="eastAsia" w:ascii="宋体" w:hAnsi="宋体" w:eastAsia="宋体"/>
          <w:sz w:val="28"/>
          <w:szCs w:val="28"/>
        </w:rPr>
        <w:t xml:space="preserve"> 调查人员在检查和调查过程中应当严格遵守保密制度，不得滥用职权。</w:t>
      </w:r>
    </w:p>
    <w:p>
      <w:pPr>
        <w:spacing w:line="360" w:lineRule="auto"/>
        <w:ind w:firstLine="560" w:firstLineChars="200"/>
        <w:rPr>
          <w:rFonts w:ascii="宋体" w:hAnsi="宋体" w:eastAsia="宋体"/>
          <w:sz w:val="28"/>
          <w:szCs w:val="28"/>
        </w:rPr>
      </w:pPr>
      <w:r>
        <w:rPr>
          <w:rFonts w:hint="eastAsia" w:ascii="宋体" w:hAnsi="宋体" w:eastAsia="宋体"/>
          <w:sz w:val="28"/>
          <w:szCs w:val="28"/>
        </w:rPr>
        <w:t>期货市场参与者在接受交易所检查和调查过程中，应当严格履行保密义务。</w:t>
      </w:r>
    </w:p>
    <w:p>
      <w:pPr>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 xml:space="preserve">第十七条 </w:t>
      </w:r>
      <w:r>
        <w:rPr>
          <w:rFonts w:hint="eastAsia" w:ascii="宋体" w:hAnsi="宋体" w:eastAsia="宋体"/>
          <w:sz w:val="28"/>
          <w:szCs w:val="28"/>
        </w:rPr>
        <w:t>期货市场参与者涉嫌违法违规，经交易所立案调查的，在作出处理决定之前，为防止违规行为后果进一步扩大，确保违规案件处理决定的执行，交易所可以采取下列限制性措施：</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（一）暂停开通新的交易编码；</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（二）限制出金；</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（三）限制入金；</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（四）限制交割仓库或者车（船）板交割服务机构的交割业务、存管银行的存管业务或者信息技术服务机构的信息技术服务业务；</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（五）降低持仓限额、套期保值持仓额度或者标准仓单持有限量；</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（六）限制开仓；</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（七）提高保证金标准；</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（八）限期平仓；</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（九）强行平仓。</w:t>
      </w:r>
    </w:p>
    <w:p>
      <w:pPr>
        <w:spacing w:line="360" w:lineRule="auto"/>
        <w:ind w:firstLine="560" w:firstLineChars="200"/>
        <w:rPr>
          <w:rFonts w:ascii="宋体" w:hAnsi="宋体" w:eastAsia="宋体" w:cs="Calibri"/>
          <w:sz w:val="28"/>
          <w:szCs w:val="28"/>
        </w:rPr>
      </w:pPr>
      <w:r>
        <w:rPr>
          <w:rFonts w:hint="eastAsia" w:ascii="宋体" w:hAnsi="宋体" w:eastAsia="宋体" w:cs="Calibri"/>
          <w:sz w:val="28"/>
          <w:szCs w:val="28"/>
        </w:rPr>
        <w:t>交易所采取前款第七项至第九项措施后，应当及时报告中国证监会。</w:t>
      </w:r>
    </w:p>
    <w:p>
      <w:pPr>
        <w:spacing w:line="360" w:lineRule="auto"/>
        <w:ind w:firstLine="560" w:firstLineChars="200"/>
        <w:rPr>
          <w:rFonts w:ascii="宋体" w:hAnsi="宋体" w:eastAsia="宋体" w:cs="Calibri"/>
          <w:sz w:val="28"/>
          <w:szCs w:val="28"/>
        </w:rPr>
      </w:pPr>
      <w:r>
        <w:rPr>
          <w:rFonts w:hint="eastAsia" w:ascii="宋体" w:hAnsi="宋体" w:eastAsia="宋体" w:cs="Calibri"/>
          <w:sz w:val="28"/>
          <w:szCs w:val="28"/>
        </w:rPr>
        <w:t>交易所采取限制性措施的，应当以书面、录音电话等可记录的方式通知处置对象，并说明采取限制性措施的依据。</w:t>
      </w:r>
    </w:p>
    <w:p>
      <w:pPr>
        <w:pStyle w:val="14"/>
        <w:numPr>
          <w:ilvl w:val="0"/>
          <w:numId w:val="1"/>
        </w:numPr>
        <w:spacing w:before="240" w:after="240" w:line="360" w:lineRule="auto"/>
        <w:ind w:firstLineChars="0"/>
        <w:jc w:val="center"/>
        <w:rPr>
          <w:rFonts w:ascii="黑体" w:hAnsi="黑体" w:eastAsia="黑体" w:cs="Calibri"/>
          <w:sz w:val="32"/>
          <w:szCs w:val="32"/>
        </w:rPr>
      </w:pPr>
      <w:r>
        <w:rPr>
          <w:rFonts w:hint="eastAsia" w:ascii="黑体" w:hAnsi="黑体" w:eastAsia="黑体" w:cs="Calibri"/>
          <w:sz w:val="32"/>
          <w:szCs w:val="32"/>
        </w:rPr>
        <w:t>违规处理</w:t>
      </w:r>
    </w:p>
    <w:p>
      <w:pPr>
        <w:tabs>
          <w:tab w:val="left" w:pos="653"/>
        </w:tabs>
        <w:adjustRightInd w:val="0"/>
        <w:spacing w:line="360" w:lineRule="auto"/>
        <w:ind w:firstLine="560" w:firstLineChars="200"/>
        <w:rPr>
          <w:rFonts w:ascii="宋体" w:hAnsi="宋体" w:eastAsia="宋体"/>
          <w:color w:val="333333"/>
          <w:sz w:val="28"/>
          <w:szCs w:val="28"/>
        </w:rPr>
      </w:pPr>
      <w:r>
        <w:rPr>
          <w:rFonts w:hint="eastAsia" w:ascii="黑体" w:hAnsi="黑体" w:eastAsia="黑体" w:cs="宋体"/>
          <w:kern w:val="0"/>
          <w:sz w:val="28"/>
          <w:szCs w:val="28"/>
        </w:rPr>
        <w:t xml:space="preserve">第十八条 </w:t>
      </w:r>
      <w:r>
        <w:rPr>
          <w:rFonts w:hint="eastAsia" w:ascii="宋体" w:hAnsi="宋体" w:eastAsia="宋体"/>
          <w:color w:val="333333"/>
          <w:sz w:val="28"/>
          <w:szCs w:val="28"/>
        </w:rPr>
        <w:t>有多种违规行为的，分别定性，数罚并用。多次违规的，从重或者加重处理。</w:t>
      </w:r>
    </w:p>
    <w:p>
      <w:pPr>
        <w:tabs>
          <w:tab w:val="left" w:pos="653"/>
        </w:tabs>
        <w:adjustRightInd w:val="0"/>
        <w:spacing w:line="360" w:lineRule="auto"/>
        <w:ind w:firstLine="560" w:firstLineChars="200"/>
        <w:rPr>
          <w:rFonts w:ascii="宋体" w:hAnsi="宋体" w:eastAsia="宋体"/>
          <w:sz w:val="28"/>
          <w:szCs w:val="28"/>
        </w:rPr>
      </w:pPr>
      <w:r>
        <w:rPr>
          <w:rFonts w:hint="eastAsia" w:ascii="宋体" w:hAnsi="宋体" w:eastAsia="宋体"/>
          <w:sz w:val="28"/>
          <w:szCs w:val="28"/>
        </w:rPr>
        <w:t>单位实施本办法规定违规行为的，交易所可以对直接负责的主管人员和其他直接责任人员依照相关规定进行处理。</w:t>
      </w:r>
    </w:p>
    <w:p>
      <w:pPr>
        <w:tabs>
          <w:tab w:val="left" w:pos="653"/>
        </w:tabs>
        <w:adjustRightInd w:val="0"/>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第十九条</w:t>
      </w:r>
      <w:r>
        <w:rPr>
          <w:rFonts w:hint="eastAsia" w:ascii="宋体" w:hAnsi="宋体" w:eastAsia="宋体"/>
          <w:sz w:val="28"/>
          <w:szCs w:val="28"/>
        </w:rPr>
        <w:t xml:space="preserve"> 期货公司会员具有下列违反经纪业务管理规定行为之一的</w:t>
      </w:r>
      <w:r>
        <w:rPr>
          <w:rFonts w:ascii="宋体" w:hAnsi="宋体" w:eastAsia="宋体"/>
          <w:sz w:val="28"/>
          <w:szCs w:val="28"/>
        </w:rPr>
        <w:t>,责令改正，没收违规所得</w:t>
      </w:r>
      <w:r>
        <w:rPr>
          <w:rFonts w:hint="eastAsia" w:ascii="宋体" w:hAnsi="宋体" w:eastAsia="宋体"/>
          <w:sz w:val="28"/>
          <w:szCs w:val="28"/>
        </w:rPr>
        <w:t>，交易所可以根据情节轻重给予警告、通报批评、公开谴责、强行平仓、暂停开仓交易</w:t>
      </w:r>
      <w:r>
        <w:rPr>
          <w:rFonts w:ascii="宋体" w:hAnsi="宋体" w:eastAsia="宋体"/>
          <w:sz w:val="28"/>
          <w:szCs w:val="28"/>
        </w:rPr>
        <w:t>12个月以下</w:t>
      </w:r>
      <w:r>
        <w:rPr>
          <w:rFonts w:hint="eastAsia" w:ascii="宋体" w:hAnsi="宋体" w:eastAsia="宋体"/>
          <w:sz w:val="28"/>
          <w:szCs w:val="28"/>
        </w:rPr>
        <w:t>、暂停部分期货或者期权业务、取消会员资格、宣布为“市场禁止进入者”的纪律处分；没有违规所得或者违规所得不满</w:t>
      </w:r>
      <w:r>
        <w:rPr>
          <w:rFonts w:ascii="宋体" w:hAnsi="宋体" w:eastAsia="宋体"/>
          <w:sz w:val="28"/>
          <w:szCs w:val="28"/>
        </w:rPr>
        <w:t>10</w:t>
      </w:r>
      <w:r>
        <w:rPr>
          <w:rFonts w:hint="eastAsia" w:ascii="宋体" w:hAnsi="宋体" w:eastAsia="宋体"/>
          <w:sz w:val="28"/>
          <w:szCs w:val="28"/>
        </w:rPr>
        <w:t>万元的，可以并处</w:t>
      </w:r>
      <w:r>
        <w:rPr>
          <w:rFonts w:ascii="宋体" w:hAnsi="宋体" w:eastAsia="宋体"/>
          <w:sz w:val="28"/>
          <w:szCs w:val="28"/>
        </w:rPr>
        <w:t>50</w:t>
      </w:r>
      <w:r>
        <w:rPr>
          <w:rFonts w:hint="eastAsia" w:ascii="宋体" w:hAnsi="宋体" w:eastAsia="宋体"/>
          <w:sz w:val="28"/>
          <w:szCs w:val="28"/>
        </w:rPr>
        <w:t>万元以下的罚款；违规所得</w:t>
      </w:r>
      <w:r>
        <w:rPr>
          <w:rFonts w:ascii="宋体" w:hAnsi="宋体" w:eastAsia="宋体"/>
          <w:sz w:val="28"/>
          <w:szCs w:val="28"/>
        </w:rPr>
        <w:t>10</w:t>
      </w:r>
      <w:r>
        <w:rPr>
          <w:rFonts w:hint="eastAsia" w:ascii="宋体" w:hAnsi="宋体" w:eastAsia="宋体"/>
          <w:sz w:val="28"/>
          <w:szCs w:val="28"/>
        </w:rPr>
        <w:t>万元以上的，可以并处违规所得</w:t>
      </w:r>
      <w:r>
        <w:rPr>
          <w:rFonts w:ascii="宋体" w:hAnsi="宋体" w:eastAsia="宋体"/>
          <w:sz w:val="28"/>
          <w:szCs w:val="28"/>
        </w:rPr>
        <w:t>1</w:t>
      </w:r>
      <w:r>
        <w:rPr>
          <w:rFonts w:hint="eastAsia" w:ascii="宋体" w:hAnsi="宋体" w:eastAsia="宋体"/>
          <w:sz w:val="28"/>
          <w:szCs w:val="28"/>
        </w:rPr>
        <w:t>倍以上</w:t>
      </w:r>
      <w:r>
        <w:rPr>
          <w:rFonts w:ascii="宋体" w:hAnsi="宋体" w:eastAsia="宋体"/>
          <w:sz w:val="28"/>
          <w:szCs w:val="28"/>
        </w:rPr>
        <w:t>5</w:t>
      </w:r>
      <w:r>
        <w:rPr>
          <w:rFonts w:hint="eastAsia" w:ascii="宋体" w:hAnsi="宋体" w:eastAsia="宋体"/>
          <w:sz w:val="28"/>
          <w:szCs w:val="28"/>
        </w:rPr>
        <w:t>倍以下的罚款：</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（一）为未履行开户手续或者未按规定履行开户手续的客户进行期货交易的；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（二）违反交易编码管理制度的；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（三）未按规定履行审核义务，为不符合开户条件的客户办理开户手续的；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（四）未按规定履行交易者适当性管理义务的；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（五）未如实向客户说明期货交易的风险或者不签署风险声明书的；</w:t>
      </w:r>
    </w:p>
    <w:p>
      <w:pPr>
        <w:spacing w:line="360" w:lineRule="auto"/>
        <w:ind w:firstLine="560" w:firstLineChars="200"/>
        <w:rPr>
          <w:rFonts w:ascii="宋体" w:hAnsi="宋体" w:eastAsia="宋体"/>
          <w:color w:val="000000"/>
          <w:sz w:val="28"/>
          <w:szCs w:val="28"/>
        </w:rPr>
      </w:pPr>
      <w:r>
        <w:rPr>
          <w:rFonts w:hint="eastAsia" w:ascii="宋体" w:hAnsi="宋体" w:eastAsia="宋体"/>
          <w:color w:val="000000"/>
          <w:sz w:val="28"/>
          <w:szCs w:val="28"/>
        </w:rPr>
        <w:t>（六）向客户作获利保证或者与客户私下约定分享盈利或者共担风险损失的</w:t>
      </w:r>
      <w:r>
        <w:rPr>
          <w:rFonts w:ascii="宋体" w:hAnsi="宋体" w:eastAsia="宋体"/>
          <w:color w:val="000000"/>
          <w:sz w:val="28"/>
          <w:szCs w:val="28"/>
        </w:rPr>
        <w:t>；</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（七）</w:t>
      </w:r>
      <w:r>
        <w:rPr>
          <w:rFonts w:ascii="宋体" w:hAnsi="宋体" w:eastAsia="宋体"/>
          <w:sz w:val="28"/>
          <w:szCs w:val="28"/>
        </w:rPr>
        <w:t>未按规定</w:t>
      </w:r>
      <w:r>
        <w:rPr>
          <w:rFonts w:hint="eastAsia" w:ascii="宋体" w:hAnsi="宋体" w:eastAsia="宋体"/>
          <w:sz w:val="28"/>
          <w:szCs w:val="28"/>
        </w:rPr>
        <w:t>为自己或者他人交易的；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（八）未按客户的委托事项进行交易，故意阻止、延误或者改变客户下单指令，诱导、强制客户进行交易的；</w:t>
      </w:r>
    </w:p>
    <w:p>
      <w:pPr>
        <w:spacing w:line="360" w:lineRule="auto"/>
        <w:ind w:firstLine="560" w:firstLineChars="200"/>
        <w:rPr>
          <w:rFonts w:ascii="宋体" w:hAnsi="宋体" w:eastAsia="宋体"/>
          <w:sz w:val="28"/>
          <w:szCs w:val="28"/>
        </w:rPr>
      </w:pPr>
      <w:bookmarkStart w:id="0" w:name="OLE_LINK26"/>
      <w:bookmarkStart w:id="1" w:name="OLE_LINK27"/>
      <w:bookmarkStart w:id="2" w:name="OLE_LINK25"/>
      <w:r>
        <w:rPr>
          <w:rFonts w:hint="eastAsia" w:ascii="宋体" w:hAnsi="宋体" w:eastAsia="宋体"/>
          <w:sz w:val="28"/>
          <w:szCs w:val="28"/>
        </w:rPr>
        <w:t>（九）</w:t>
      </w:r>
      <w:bookmarkEnd w:id="0"/>
      <w:bookmarkEnd w:id="1"/>
      <w:bookmarkEnd w:id="2"/>
      <w:bookmarkStart w:id="3" w:name="OLE_LINK29"/>
      <w:bookmarkStart w:id="4" w:name="OLE_LINK28"/>
      <w:r>
        <w:rPr>
          <w:rFonts w:hint="eastAsia" w:ascii="宋体" w:hAnsi="宋体" w:eastAsia="宋体"/>
          <w:sz w:val="28"/>
          <w:szCs w:val="28"/>
        </w:rPr>
        <w:t>未将客户指令下达至交易所，私下对冲的；</w:t>
      </w:r>
      <w:bookmarkEnd w:id="3"/>
      <w:bookmarkEnd w:id="4"/>
    </w:p>
    <w:p>
      <w:pPr>
        <w:spacing w:line="360" w:lineRule="auto"/>
        <w:ind w:firstLine="560" w:firstLineChars="200"/>
        <w:rPr>
          <w:rFonts w:ascii="宋体" w:hAnsi="宋体" w:eastAsia="宋体"/>
          <w:sz w:val="28"/>
          <w:szCs w:val="28"/>
        </w:rPr>
      </w:pPr>
      <w:r>
        <w:rPr>
          <w:rFonts w:hint="eastAsia" w:ascii="宋体" w:hAnsi="宋体" w:eastAsia="宋体"/>
          <w:sz w:val="28"/>
          <w:szCs w:val="28"/>
        </w:rPr>
        <w:t>（十）未将自有资金与客户资金分户存放的；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（十一）无正当理由拖延客户出入金的；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（十二）允许客户在保证金或者权利金不足时开仓交易，或者在期权买方客户资金不足时接受客户行权申请的；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（十三）挪用或者擅自允许他人挪用客户资金或者套用不同账户资金的；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（十四）故意制造或者散布虚假的或者容易使人误解的信息进行误导的；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（十五）泄露客户委托事项或者其他交易秘密的；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（十六）未按规定向客户提供有关成交结果、资金结算报表的；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（十七）违反中国证监会和交易所对经纪业务管理规定的其他行为。</w:t>
      </w:r>
    </w:p>
    <w:p>
      <w:pPr>
        <w:tabs>
          <w:tab w:val="left" w:pos="954"/>
        </w:tabs>
        <w:spacing w:line="360" w:lineRule="auto"/>
        <w:ind w:firstLine="560" w:firstLineChars="200"/>
        <w:rPr>
          <w:rFonts w:ascii="宋体" w:hAnsi="宋体" w:eastAsia="宋体"/>
          <w:sz w:val="28"/>
          <w:szCs w:val="28"/>
        </w:rPr>
      </w:pPr>
      <w:r>
        <w:rPr>
          <w:rFonts w:hint="eastAsia" w:ascii="黑体" w:hAnsi="黑体" w:eastAsia="黑体" w:cs="宋体"/>
          <w:kern w:val="0"/>
          <w:sz w:val="28"/>
          <w:szCs w:val="28"/>
        </w:rPr>
        <w:t>第二十条</w:t>
      </w:r>
      <w:r>
        <w:rPr>
          <w:rFonts w:hint="eastAsia" w:ascii="宋体" w:hAnsi="宋体" w:eastAsia="宋体"/>
          <w:sz w:val="28"/>
          <w:szCs w:val="28"/>
        </w:rPr>
        <w:t xml:space="preserve"> 会员具有下列行为之一的</w:t>
      </w:r>
      <w:r>
        <w:rPr>
          <w:rFonts w:ascii="宋体" w:hAnsi="宋体" w:eastAsia="宋体"/>
          <w:sz w:val="28"/>
          <w:szCs w:val="28"/>
        </w:rPr>
        <w:t>,责令改正，</w:t>
      </w:r>
      <w:r>
        <w:rPr>
          <w:rFonts w:hint="eastAsia" w:ascii="宋体" w:hAnsi="宋体" w:eastAsia="宋体"/>
          <w:sz w:val="28"/>
          <w:szCs w:val="28"/>
        </w:rPr>
        <w:t>交易所可以根据情节轻重给予警告、通报批评、公开谴责、暂停开仓交易</w:t>
      </w:r>
      <w:r>
        <w:rPr>
          <w:rFonts w:ascii="宋体" w:hAnsi="宋体" w:eastAsia="宋体"/>
          <w:sz w:val="28"/>
          <w:szCs w:val="28"/>
        </w:rPr>
        <w:t>12个月以下</w:t>
      </w:r>
      <w:r>
        <w:rPr>
          <w:rFonts w:hint="eastAsia" w:ascii="宋体" w:hAnsi="宋体" w:eastAsia="宋体"/>
          <w:sz w:val="28"/>
          <w:szCs w:val="28"/>
        </w:rPr>
        <w:t>、暂停部分期货</w:t>
      </w:r>
      <w:r>
        <w:rPr>
          <w:rFonts w:ascii="宋体" w:hAnsi="宋体" w:eastAsia="宋体"/>
          <w:sz w:val="28"/>
          <w:szCs w:val="28"/>
        </w:rPr>
        <w:t>或者期权</w:t>
      </w:r>
      <w:r>
        <w:rPr>
          <w:rFonts w:hint="eastAsia" w:ascii="宋体" w:hAnsi="宋体" w:eastAsia="宋体"/>
          <w:sz w:val="28"/>
          <w:szCs w:val="28"/>
        </w:rPr>
        <w:t>业务、取消会员资格的纪律处分：</w:t>
      </w:r>
    </w:p>
    <w:p>
      <w:pPr>
        <w:tabs>
          <w:tab w:val="left" w:pos="954"/>
        </w:tabs>
        <w:spacing w:line="360" w:lineRule="auto"/>
        <w:ind w:firstLine="560" w:firstLineChars="200"/>
        <w:rPr>
          <w:rFonts w:ascii="宋体" w:hAnsi="宋体" w:eastAsia="宋体"/>
          <w:sz w:val="28"/>
          <w:szCs w:val="28"/>
        </w:rPr>
      </w:pPr>
      <w:r>
        <w:rPr>
          <w:rFonts w:hint="eastAsia" w:ascii="宋体" w:hAnsi="宋体" w:eastAsia="宋体"/>
          <w:sz w:val="28"/>
          <w:szCs w:val="28"/>
        </w:rPr>
        <w:t>（一）未按交易所规定履行报告义务的；</w:t>
      </w:r>
    </w:p>
    <w:p>
      <w:pPr>
        <w:tabs>
          <w:tab w:val="left" w:pos="954"/>
        </w:tabs>
        <w:spacing w:line="360" w:lineRule="auto"/>
        <w:ind w:firstLine="560" w:firstLineChars="200"/>
        <w:rPr>
          <w:rFonts w:ascii="宋体" w:hAnsi="宋体" w:eastAsia="宋体"/>
          <w:sz w:val="28"/>
          <w:szCs w:val="28"/>
        </w:rPr>
      </w:pPr>
      <w:r>
        <w:rPr>
          <w:rFonts w:hint="eastAsia" w:ascii="宋体" w:hAnsi="宋体" w:eastAsia="宋体"/>
          <w:sz w:val="28"/>
          <w:szCs w:val="28"/>
        </w:rPr>
        <w:t>（二）未按规定的期限要求向交易所报送财务报表等有关材料的；</w:t>
      </w:r>
    </w:p>
    <w:p>
      <w:pPr>
        <w:tabs>
          <w:tab w:val="left" w:pos="954"/>
        </w:tabs>
        <w:spacing w:line="360" w:lineRule="auto"/>
        <w:ind w:firstLine="560" w:firstLineChars="200"/>
        <w:rPr>
          <w:rFonts w:ascii="宋体" w:hAnsi="宋体" w:eastAsia="宋体"/>
          <w:sz w:val="28"/>
          <w:szCs w:val="28"/>
        </w:rPr>
      </w:pPr>
      <w:r>
        <w:rPr>
          <w:rFonts w:hint="eastAsia" w:ascii="宋体" w:hAnsi="宋体" w:eastAsia="宋体"/>
          <w:sz w:val="28"/>
          <w:szCs w:val="28"/>
        </w:rPr>
        <w:t>（三）未按大户报告制度向交易所履行申报义务</w:t>
      </w:r>
      <w:r>
        <w:rPr>
          <w:rFonts w:ascii="宋体" w:hAnsi="宋体" w:eastAsia="宋体"/>
          <w:sz w:val="28"/>
          <w:szCs w:val="28"/>
        </w:rPr>
        <w:t>,或</w:t>
      </w:r>
      <w:r>
        <w:rPr>
          <w:rFonts w:hint="eastAsia" w:ascii="宋体" w:hAnsi="宋体" w:eastAsia="宋体"/>
          <w:sz w:val="28"/>
          <w:szCs w:val="28"/>
        </w:rPr>
        <w:t>者作虚假报告、隐瞒不报的；</w:t>
      </w:r>
    </w:p>
    <w:p>
      <w:pPr>
        <w:tabs>
          <w:tab w:val="left" w:pos="954"/>
        </w:tabs>
        <w:spacing w:line="360" w:lineRule="auto"/>
        <w:ind w:firstLine="560" w:firstLineChars="200"/>
        <w:rPr>
          <w:rFonts w:ascii="宋体" w:hAnsi="宋体" w:eastAsia="宋体"/>
          <w:sz w:val="28"/>
          <w:szCs w:val="28"/>
        </w:rPr>
      </w:pPr>
      <w:r>
        <w:rPr>
          <w:rFonts w:hint="eastAsia" w:ascii="宋体" w:hAnsi="宋体" w:eastAsia="宋体"/>
          <w:sz w:val="28"/>
          <w:szCs w:val="28"/>
        </w:rPr>
        <w:t>（四）未协助交易所对其客户采取限制性措施、纪律处分或者其他自律管理措施的；</w:t>
      </w:r>
    </w:p>
    <w:p>
      <w:pPr>
        <w:tabs>
          <w:tab w:val="left" w:pos="954"/>
        </w:tabs>
        <w:spacing w:line="360" w:lineRule="auto"/>
        <w:ind w:firstLine="560" w:firstLineChars="200"/>
        <w:rPr>
          <w:rFonts w:ascii="宋体" w:hAnsi="宋体" w:eastAsia="宋体"/>
          <w:sz w:val="28"/>
          <w:szCs w:val="28"/>
        </w:rPr>
      </w:pPr>
      <w:r>
        <w:rPr>
          <w:rFonts w:hint="eastAsia" w:ascii="宋体" w:hAnsi="宋体" w:eastAsia="宋体"/>
          <w:sz w:val="28"/>
          <w:szCs w:val="28"/>
        </w:rPr>
        <w:t>（五）未按交易所规定及时缴纳年会费等有关费用的；</w:t>
      </w:r>
    </w:p>
    <w:p>
      <w:pPr>
        <w:tabs>
          <w:tab w:val="left" w:pos="954"/>
        </w:tabs>
        <w:spacing w:line="360" w:lineRule="auto"/>
        <w:ind w:firstLine="560" w:firstLineChars="200"/>
        <w:rPr>
          <w:rFonts w:ascii="宋体" w:hAnsi="宋体" w:eastAsia="宋体"/>
          <w:sz w:val="28"/>
          <w:szCs w:val="28"/>
        </w:rPr>
      </w:pPr>
      <w:r>
        <w:rPr>
          <w:rFonts w:hint="eastAsia" w:ascii="宋体" w:hAnsi="宋体" w:eastAsia="宋体"/>
          <w:sz w:val="28"/>
          <w:szCs w:val="28"/>
        </w:rPr>
        <w:t>（六）未按规定保管有关交易、结算、交割、财务、会计等资料的；</w:t>
      </w:r>
    </w:p>
    <w:p>
      <w:pPr>
        <w:tabs>
          <w:tab w:val="left" w:pos="954"/>
        </w:tabs>
        <w:spacing w:line="360" w:lineRule="auto"/>
        <w:ind w:firstLine="560" w:firstLineChars="200"/>
        <w:rPr>
          <w:rFonts w:ascii="宋体" w:hAnsi="宋体" w:eastAsia="宋体"/>
          <w:sz w:val="28"/>
          <w:szCs w:val="28"/>
        </w:rPr>
      </w:pPr>
      <w:r>
        <w:rPr>
          <w:rFonts w:hint="eastAsia" w:ascii="宋体" w:hAnsi="宋体" w:eastAsia="宋体"/>
          <w:sz w:val="28"/>
          <w:szCs w:val="28"/>
        </w:rPr>
        <w:t>（七）伪造、变造、买卖各种凭证或者审批文件的；</w:t>
      </w:r>
    </w:p>
    <w:p>
      <w:pPr>
        <w:tabs>
          <w:tab w:val="left" w:pos="954"/>
        </w:tabs>
        <w:spacing w:line="360" w:lineRule="auto"/>
        <w:ind w:firstLine="560" w:firstLineChars="200"/>
        <w:rPr>
          <w:rFonts w:ascii="宋体" w:hAnsi="宋体" w:eastAsia="宋体"/>
          <w:dstrike/>
          <w:sz w:val="28"/>
          <w:szCs w:val="28"/>
        </w:rPr>
      </w:pPr>
      <w:r>
        <w:rPr>
          <w:rFonts w:hint="eastAsia" w:ascii="宋体" w:hAnsi="宋体" w:eastAsia="宋体"/>
          <w:sz w:val="28"/>
          <w:szCs w:val="28"/>
        </w:rPr>
        <w:t>（八）私下转让或者处分会员资格或者交易席位的；</w:t>
      </w:r>
    </w:p>
    <w:p>
      <w:pPr>
        <w:tabs>
          <w:tab w:val="left" w:pos="954"/>
        </w:tabs>
        <w:spacing w:line="360" w:lineRule="auto"/>
        <w:ind w:firstLine="560" w:firstLineChars="200"/>
        <w:rPr>
          <w:rFonts w:ascii="宋体" w:hAnsi="宋体" w:eastAsia="宋体"/>
          <w:sz w:val="28"/>
          <w:szCs w:val="28"/>
        </w:rPr>
      </w:pPr>
      <w:r>
        <w:rPr>
          <w:rFonts w:hint="eastAsia" w:ascii="宋体" w:hAnsi="宋体" w:eastAsia="宋体"/>
          <w:sz w:val="28"/>
          <w:szCs w:val="28"/>
        </w:rPr>
        <w:t>（九）通过期货交易从事洗钱、恶意换汇等非法活动的；</w:t>
      </w:r>
    </w:p>
    <w:p>
      <w:pPr>
        <w:spacing w:line="360" w:lineRule="auto"/>
        <w:ind w:firstLine="560" w:firstLineChars="200"/>
        <w:rPr>
          <w:rFonts w:ascii="宋体" w:hAnsi="宋体" w:eastAsia="宋体"/>
          <w:sz w:val="28"/>
          <w:szCs w:val="28"/>
          <w:highlight w:val="cyan"/>
        </w:rPr>
      </w:pPr>
      <w:r>
        <w:rPr>
          <w:rFonts w:hint="eastAsia" w:ascii="宋体" w:hAnsi="宋体" w:eastAsia="宋体"/>
          <w:sz w:val="28"/>
          <w:szCs w:val="28"/>
        </w:rPr>
        <w:t>（十）未按规定履行客户交易终端信息采集及接入认证义务的；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（十一）违反交易所应急交易厅管理规定的；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（十二）未按规定履行客户管理义务的；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（十三）未按规定履行境外经纪机构备案义务的；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（十四）违反国家法律、法规、规章和违反交易所章程及有关规定的其他行为。</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第二十一条</w:t>
      </w:r>
      <w:r>
        <w:rPr>
          <w:rFonts w:hint="eastAsia" w:ascii="宋体" w:hAnsi="宋体" w:eastAsia="宋体"/>
          <w:b/>
          <w:sz w:val="28"/>
          <w:szCs w:val="28"/>
        </w:rPr>
        <w:t xml:space="preserve"> </w:t>
      </w:r>
      <w:r>
        <w:rPr>
          <w:rFonts w:hint="eastAsia" w:ascii="宋体" w:hAnsi="宋体" w:eastAsia="宋体"/>
          <w:sz w:val="28"/>
          <w:szCs w:val="28"/>
        </w:rPr>
        <w:t>会员无正当理由未在规定期限内执行强行平仓的，交易所可以根据情节轻重给予警告、通报批评、公开谴责、暂停开仓交易</w:t>
      </w:r>
      <w:r>
        <w:rPr>
          <w:rFonts w:ascii="宋体" w:hAnsi="宋体" w:eastAsia="宋体"/>
          <w:sz w:val="28"/>
          <w:szCs w:val="28"/>
        </w:rPr>
        <w:t>12个月以下</w:t>
      </w:r>
      <w:r>
        <w:rPr>
          <w:rFonts w:hint="eastAsia" w:ascii="宋体" w:hAnsi="宋体" w:eastAsia="宋体"/>
          <w:sz w:val="28"/>
          <w:szCs w:val="28"/>
        </w:rPr>
        <w:t>、</w:t>
      </w:r>
      <w:r>
        <w:rPr>
          <w:rFonts w:ascii="宋体" w:hAnsi="宋体" w:eastAsia="宋体"/>
          <w:sz w:val="28"/>
          <w:szCs w:val="28"/>
        </w:rPr>
        <w:t>暂停部分期货或者期权业务的纪律处分，可</w:t>
      </w:r>
      <w:r>
        <w:rPr>
          <w:rFonts w:hint="eastAsia" w:ascii="宋体" w:hAnsi="宋体" w:eastAsia="宋体"/>
          <w:sz w:val="28"/>
          <w:szCs w:val="28"/>
        </w:rPr>
        <w:t>以并处5</w:t>
      </w:r>
      <w:r>
        <w:rPr>
          <w:rFonts w:ascii="宋体" w:hAnsi="宋体" w:eastAsia="宋体"/>
          <w:sz w:val="28"/>
          <w:szCs w:val="28"/>
        </w:rPr>
        <w:t>0万元以下的罚款。</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第二十二条</w:t>
      </w:r>
      <w:r>
        <w:rPr>
          <w:rFonts w:ascii="宋体" w:hAnsi="宋体" w:eastAsia="宋体"/>
          <w:sz w:val="28"/>
          <w:szCs w:val="28"/>
        </w:rPr>
        <w:t xml:space="preserve"> 会员具有下列违反交易所结算管理规定行为之一的,责令改正,</w:t>
      </w:r>
      <w:r>
        <w:rPr>
          <w:rFonts w:hint="eastAsia" w:ascii="宋体" w:hAnsi="宋体" w:eastAsia="宋体"/>
          <w:sz w:val="28"/>
          <w:szCs w:val="28"/>
        </w:rPr>
        <w:t>交易所可以根据情节轻重给予警告、通报批评、公开谴责、暂停开仓交易</w:t>
      </w:r>
      <w:r>
        <w:rPr>
          <w:rFonts w:ascii="宋体" w:hAnsi="宋体" w:eastAsia="宋体"/>
          <w:sz w:val="28"/>
          <w:szCs w:val="28"/>
        </w:rPr>
        <w:t>12个月以下</w:t>
      </w:r>
      <w:r>
        <w:rPr>
          <w:rFonts w:hint="eastAsia" w:ascii="宋体" w:hAnsi="宋体" w:eastAsia="宋体"/>
          <w:sz w:val="28"/>
          <w:szCs w:val="28"/>
        </w:rPr>
        <w:t>、暂停部分期货</w:t>
      </w:r>
      <w:r>
        <w:rPr>
          <w:rFonts w:ascii="宋体" w:hAnsi="宋体" w:eastAsia="宋体"/>
          <w:sz w:val="28"/>
          <w:szCs w:val="28"/>
        </w:rPr>
        <w:t>或者期权</w:t>
      </w:r>
      <w:r>
        <w:rPr>
          <w:rFonts w:hint="eastAsia" w:ascii="宋体" w:hAnsi="宋体" w:eastAsia="宋体"/>
          <w:sz w:val="28"/>
          <w:szCs w:val="28"/>
        </w:rPr>
        <w:t>业务、取消会员资格</w:t>
      </w:r>
      <w:r>
        <w:rPr>
          <w:rFonts w:ascii="宋体" w:hAnsi="宋体" w:eastAsia="宋体"/>
          <w:sz w:val="28"/>
          <w:szCs w:val="28"/>
        </w:rPr>
        <w:t>的纪律处分,可</w:t>
      </w:r>
      <w:r>
        <w:rPr>
          <w:rFonts w:hint="eastAsia" w:ascii="宋体" w:hAnsi="宋体" w:eastAsia="宋体"/>
          <w:sz w:val="28"/>
          <w:szCs w:val="28"/>
        </w:rPr>
        <w:t>以并处</w:t>
      </w:r>
      <w:r>
        <w:rPr>
          <w:rFonts w:ascii="宋体" w:hAnsi="宋体" w:eastAsia="宋体"/>
          <w:sz w:val="28"/>
          <w:szCs w:val="28"/>
        </w:rPr>
        <w:t>50万元</w:t>
      </w:r>
      <w:r>
        <w:rPr>
          <w:rFonts w:hint="eastAsia" w:ascii="宋体" w:hAnsi="宋体" w:eastAsia="宋体"/>
          <w:sz w:val="28"/>
          <w:szCs w:val="28"/>
        </w:rPr>
        <w:t>以下的罚款：</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（一）未按时足额缴纳保证金的；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（二）在结算报告书、交易月报表和其他结算文件资料中作不真实、不完整记载的；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（三）未按规定对保证金进行分账管理的；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（四）未按规定实行每日结算的；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（五）伪造、变造交易记录、会计报表、账册的；</w:t>
      </w:r>
    </w:p>
    <w:p>
      <w:pPr>
        <w:spacing w:line="360" w:lineRule="auto"/>
        <w:ind w:firstLine="560" w:firstLineChars="200"/>
        <w:rPr>
          <w:rFonts w:hint="eastAsia" w:ascii="宋体" w:hAnsi="宋体" w:eastAsia="宋体"/>
          <w:sz w:val="28"/>
          <w:szCs w:val="28"/>
        </w:rPr>
      </w:pPr>
      <w:r>
        <w:rPr>
          <w:rFonts w:hint="eastAsia" w:ascii="宋体" w:hAnsi="宋体" w:eastAsia="宋体"/>
          <w:sz w:val="28"/>
          <w:szCs w:val="28"/>
        </w:rPr>
        <w:t>（六）虚开发票以及其他伪造票证的；</w:t>
      </w:r>
    </w:p>
    <w:p>
      <w:pPr>
        <w:spacing w:line="360" w:lineRule="auto"/>
        <w:ind w:firstLine="560" w:firstLineChars="200"/>
        <w:rPr>
          <w:rFonts w:hint="eastAsia" w:ascii="宋体" w:hAnsi="宋体" w:eastAsia="宋体"/>
          <w:sz w:val="28"/>
          <w:szCs w:val="28"/>
        </w:rPr>
      </w:pPr>
      <w:r>
        <w:rPr>
          <w:rFonts w:hint="eastAsia" w:ascii="宋体" w:hAnsi="宋体" w:eastAsia="宋体"/>
          <w:sz w:val="28"/>
          <w:szCs w:val="28"/>
        </w:rPr>
        <w:t>（七）未规范使用交易所减收的交易手续费的；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w:t>
      </w:r>
      <w:r>
        <w:rPr>
          <w:rFonts w:hint="eastAsia" w:ascii="宋体" w:hAnsi="宋体"/>
          <w:sz w:val="28"/>
          <w:szCs w:val="28"/>
          <w:lang w:eastAsia="zh-CN"/>
        </w:rPr>
        <w:t>八</w:t>
      </w:r>
      <w:r>
        <w:rPr>
          <w:rFonts w:hint="eastAsia" w:ascii="宋体" w:hAnsi="宋体" w:eastAsia="宋体"/>
          <w:sz w:val="28"/>
          <w:szCs w:val="28"/>
        </w:rPr>
        <w:t>）违反交易所结算管理相关规定的其他行为。</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第二十三条 </w:t>
      </w:r>
      <w:r>
        <w:rPr>
          <w:rFonts w:hint="eastAsia" w:ascii="宋体" w:hAnsi="宋体" w:eastAsia="宋体"/>
          <w:sz w:val="28"/>
          <w:szCs w:val="28"/>
        </w:rPr>
        <w:t>境外经纪机构具有下列情形之一的，责令改正，交易所可以根据情节轻重给予警告、通报批评、公开谴责、取消境外经纪机构备案的纪律处分：</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（一）拒不配合交易所对客户违规调查的；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（二）未按规定履行交易者适当性管理义务的；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（三）违反交易所关于境外经纪机构的其他规定。</w:t>
      </w:r>
    </w:p>
    <w:p>
      <w:pPr>
        <w:spacing w:line="360" w:lineRule="auto"/>
        <w:ind w:firstLine="560" w:firstLineChars="200"/>
        <w:rPr>
          <w:rFonts w:ascii="宋体" w:hAnsi="宋体" w:eastAsia="宋体" w:cs="Times New Roman"/>
          <w:sz w:val="28"/>
          <w:szCs w:val="28"/>
        </w:rPr>
      </w:pPr>
      <w:r>
        <w:rPr>
          <w:rFonts w:hint="eastAsia" w:ascii="宋体" w:hAnsi="宋体" w:eastAsia="宋体" w:cs="Times New Roman"/>
          <w:sz w:val="28"/>
          <w:szCs w:val="28"/>
        </w:rPr>
        <w:t>境外经纪机构有上述情形之一且逾期未改正，或者涉嫌违法违规、出现重大风险，可能危及期货市场稳健运行、损害客户合法权益的，交易所可以要求期货公司会员暂停或者终止与该境外经纪机构的委托业务。</w:t>
      </w:r>
    </w:p>
    <w:p>
      <w:pPr>
        <w:spacing w:line="360" w:lineRule="auto"/>
        <w:ind w:firstLine="560" w:firstLineChars="200"/>
        <w:rPr>
          <w:rFonts w:ascii="宋体" w:hAnsi="宋体" w:eastAsia="宋体"/>
          <w:sz w:val="28"/>
          <w:szCs w:val="28"/>
        </w:rPr>
      </w:pPr>
      <w:r>
        <w:rPr>
          <w:rFonts w:hint="eastAsia" w:ascii="宋体" w:hAnsi="宋体" w:eastAsia="宋体" w:cs="Times New Roman"/>
          <w:sz w:val="28"/>
          <w:szCs w:val="28"/>
        </w:rPr>
        <w:t>境外经纪机构被暂停或者终止与期货公司会员的委托代理业务后，不得代理新增客户或者开新仓；客户要求移仓至其他机构的，应当配合完成。</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第二十四条</w:t>
      </w:r>
      <w:r>
        <w:rPr>
          <w:rFonts w:hint="eastAsia" w:ascii="宋体" w:hAnsi="宋体" w:eastAsia="宋体"/>
          <w:sz w:val="28"/>
          <w:szCs w:val="28"/>
        </w:rPr>
        <w:t xml:space="preserve"> 会员、境外经纪机构或者客户在套期保值申报过程中提供或者协助提供虚假材料，或者违反交易所套期保值其他管理规定的，责令改正，没收违规所得，交易所可以根据情节轻重给予警告、通报批评、公开谴责、调整或者取消套期保值持仓额度、暂停受理套期保值额度申请、暂停开仓交易</w:t>
      </w:r>
      <w:r>
        <w:rPr>
          <w:rFonts w:ascii="宋体" w:hAnsi="宋体" w:eastAsia="宋体"/>
          <w:sz w:val="28"/>
          <w:szCs w:val="28"/>
        </w:rPr>
        <w:t>12个月以下、</w:t>
      </w:r>
      <w:r>
        <w:rPr>
          <w:rFonts w:hint="eastAsia" w:ascii="宋体" w:hAnsi="宋体" w:eastAsia="宋体"/>
          <w:sz w:val="28"/>
          <w:szCs w:val="28"/>
        </w:rPr>
        <w:t>暂停部分期货或者期权业务、强行平仓、取消相应资格、宣布为“市场禁止进入者”的纪律处分，可以并处其获准的套期保值持仓总金额</w:t>
      </w:r>
      <w:r>
        <w:rPr>
          <w:rFonts w:ascii="宋体" w:hAnsi="宋体" w:eastAsia="宋体"/>
          <w:sz w:val="28"/>
          <w:szCs w:val="28"/>
        </w:rPr>
        <w:t>5%以下的罚款</w:t>
      </w:r>
      <w:r>
        <w:rPr>
          <w:rFonts w:hint="eastAsia" w:ascii="宋体" w:hAnsi="宋体" w:eastAsia="宋体"/>
          <w:sz w:val="28"/>
          <w:szCs w:val="28"/>
        </w:rPr>
        <w:t>。</w:t>
      </w:r>
    </w:p>
    <w:p>
      <w:pPr>
        <w:spacing w:line="360" w:lineRule="auto"/>
        <w:ind w:firstLine="560" w:firstLineChars="200"/>
        <w:rPr>
          <w:rFonts w:ascii="宋体" w:hAnsi="宋体" w:eastAsia="宋体"/>
          <w:sz w:val="28"/>
          <w:szCs w:val="28"/>
        </w:rPr>
      </w:pPr>
      <w:bookmarkStart w:id="5" w:name="OLE_LINK7"/>
      <w:bookmarkStart w:id="6" w:name="OLE_LINK8"/>
      <w:bookmarkStart w:id="7" w:name="OLE_LINK49"/>
      <w:bookmarkStart w:id="8" w:name="OLE_LINK48"/>
      <w:bookmarkStart w:id="9" w:name="OLE_LINK50"/>
      <w:r>
        <w:rPr>
          <w:rFonts w:hint="eastAsia" w:ascii="黑体" w:hAnsi="黑体" w:eastAsia="黑体"/>
          <w:sz w:val="28"/>
          <w:szCs w:val="28"/>
        </w:rPr>
        <w:t>第二十五条</w:t>
      </w:r>
      <w:bookmarkStart w:id="10" w:name="OLE_LINK72"/>
      <w:bookmarkStart w:id="11" w:name="OLE_LINK73"/>
      <w:bookmarkStart w:id="12" w:name="OLE_LINK71"/>
      <w:r>
        <w:rPr>
          <w:rFonts w:hint="eastAsia" w:ascii="宋体" w:hAnsi="宋体" w:eastAsia="宋体"/>
          <w:sz w:val="28"/>
          <w:szCs w:val="28"/>
        </w:rPr>
        <w:t xml:space="preserve"> 非期货公司会员、做市商或者客户等期货市场参与者具有下列违反交易所持仓管理规定行为之一的，责令改正，没收违规所得，交易所可以根据情节轻重给予强行平仓、警告、通报批评、公开谴责、暂停开仓交易</w:t>
      </w:r>
      <w:r>
        <w:rPr>
          <w:rFonts w:ascii="宋体" w:hAnsi="宋体" w:eastAsia="宋体"/>
          <w:sz w:val="28"/>
          <w:szCs w:val="28"/>
        </w:rPr>
        <w:t>12个月以下</w:t>
      </w:r>
      <w:r>
        <w:rPr>
          <w:rFonts w:hint="eastAsia" w:ascii="宋体" w:hAnsi="宋体" w:eastAsia="宋体"/>
          <w:sz w:val="28"/>
          <w:szCs w:val="28"/>
        </w:rPr>
        <w:t>、暂停部分期货或者期权业务、取消相应资格的纪律处分，可以并处其违规持仓总金额</w:t>
      </w:r>
      <w:r>
        <w:rPr>
          <w:rFonts w:ascii="宋体" w:hAnsi="宋体" w:eastAsia="宋体"/>
          <w:sz w:val="28"/>
          <w:szCs w:val="28"/>
        </w:rPr>
        <w:t>5%以下的罚款</w:t>
      </w:r>
      <w:r>
        <w:rPr>
          <w:rFonts w:hint="eastAsia" w:ascii="宋体" w:hAnsi="宋体" w:eastAsia="宋体"/>
          <w:sz w:val="28"/>
          <w:szCs w:val="28"/>
        </w:rPr>
        <w:t>：</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（一）利用分仓等不正当手段，规避交易所持仓限制的；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（二）持仓超限且被交易所强行平仓的，但因价格涨跌停板限制或者其他市场原因未能及时平仓的除外；</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（三）多次在交割月或者临近交割月合约持仓超限的；</w:t>
      </w:r>
    </w:p>
    <w:p>
      <w:pPr>
        <w:spacing w:line="360" w:lineRule="auto"/>
        <w:ind w:firstLine="557" w:firstLineChars="199"/>
        <w:rPr>
          <w:rFonts w:ascii="宋体" w:hAnsi="宋体" w:eastAsia="宋体"/>
          <w:sz w:val="28"/>
          <w:szCs w:val="28"/>
        </w:rPr>
      </w:pPr>
      <w:r>
        <w:rPr>
          <w:rFonts w:hint="eastAsia" w:ascii="宋体" w:hAnsi="宋体" w:eastAsia="宋体"/>
          <w:sz w:val="28"/>
          <w:szCs w:val="28"/>
        </w:rPr>
        <w:t>（四）违反交易所持仓管理规定的其他行为。</w:t>
      </w:r>
      <w:bookmarkEnd w:id="5"/>
      <w:bookmarkEnd w:id="6"/>
      <w:bookmarkEnd w:id="7"/>
      <w:bookmarkEnd w:id="8"/>
      <w:bookmarkEnd w:id="9"/>
      <w:bookmarkEnd w:id="10"/>
      <w:bookmarkEnd w:id="11"/>
      <w:bookmarkEnd w:id="12"/>
    </w:p>
    <w:p>
      <w:pPr>
        <w:spacing w:line="360" w:lineRule="auto"/>
        <w:ind w:firstLine="560" w:firstLineChars="200"/>
        <w:rPr>
          <w:rFonts w:ascii="宋体" w:hAnsi="宋体" w:eastAsia="宋体"/>
          <w:sz w:val="28"/>
          <w:szCs w:val="28"/>
        </w:rPr>
      </w:pPr>
      <w:r>
        <w:rPr>
          <w:rFonts w:hint="eastAsia" w:ascii="宋体" w:hAnsi="宋体" w:eastAsia="宋体"/>
          <w:sz w:val="28"/>
          <w:szCs w:val="28"/>
        </w:rPr>
        <w:t>期货公司会员或者境外经纪机构未及时、准确、完整地向客户传达交易所持仓管理规定的，交易所可以参照适用前款规定给予相应纪律处分。</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第二十六</w:t>
      </w:r>
      <w:r>
        <w:rPr>
          <w:rFonts w:ascii="黑体" w:hAnsi="黑体" w:eastAsia="黑体"/>
          <w:sz w:val="28"/>
          <w:szCs w:val="28"/>
        </w:rPr>
        <w:t>条</w:t>
      </w:r>
      <w:r>
        <w:rPr>
          <w:rFonts w:ascii="宋体" w:hAnsi="宋体" w:eastAsia="宋体"/>
          <w:sz w:val="28"/>
          <w:szCs w:val="28"/>
        </w:rPr>
        <w:t xml:space="preserve"> </w:t>
      </w:r>
      <w:r>
        <w:rPr>
          <w:rFonts w:hint="eastAsia" w:ascii="宋体" w:hAnsi="宋体" w:eastAsia="宋体"/>
          <w:sz w:val="28"/>
          <w:szCs w:val="28"/>
        </w:rPr>
        <w:t>非期货公司会员、做市商或者客户等期货市场参与者利用不正当手段规避交易所交易限额制度，超限交易的，责令改正，</w:t>
      </w:r>
      <w:r>
        <w:rPr>
          <w:rFonts w:ascii="宋体" w:hAnsi="宋体" w:eastAsia="宋体"/>
          <w:sz w:val="28"/>
          <w:szCs w:val="28"/>
        </w:rPr>
        <w:t>没收违规所得</w:t>
      </w:r>
      <w:r>
        <w:rPr>
          <w:rFonts w:hint="eastAsia" w:ascii="宋体" w:hAnsi="宋体" w:eastAsia="宋体"/>
          <w:sz w:val="28"/>
          <w:szCs w:val="28"/>
        </w:rPr>
        <w:t>，交易所可以根据情节轻重给予警告、通报批评、公开谴责、强行平仓、暂停开仓交易</w:t>
      </w:r>
      <w:r>
        <w:rPr>
          <w:rFonts w:ascii="宋体" w:hAnsi="宋体" w:eastAsia="宋体"/>
          <w:sz w:val="28"/>
          <w:szCs w:val="28"/>
        </w:rPr>
        <w:t>12个月以下、暂停部分期货或者期权业务</w:t>
      </w:r>
      <w:r>
        <w:rPr>
          <w:rFonts w:hint="eastAsia" w:ascii="宋体" w:hAnsi="宋体" w:eastAsia="宋体"/>
          <w:sz w:val="28"/>
          <w:szCs w:val="28"/>
        </w:rPr>
        <w:t>、</w:t>
      </w:r>
      <w:r>
        <w:rPr>
          <w:rFonts w:ascii="宋体" w:hAnsi="宋体" w:eastAsia="宋体"/>
          <w:sz w:val="28"/>
          <w:szCs w:val="28"/>
        </w:rPr>
        <w:t>取消相应资格的纪律处分，可以</w:t>
      </w:r>
      <w:r>
        <w:rPr>
          <w:rFonts w:hint="eastAsia" w:ascii="宋体" w:hAnsi="宋体" w:eastAsia="宋体"/>
          <w:sz w:val="28"/>
          <w:szCs w:val="28"/>
        </w:rPr>
        <w:t>并处</w:t>
      </w:r>
      <w:r>
        <w:rPr>
          <w:rFonts w:ascii="宋体" w:hAnsi="宋体" w:eastAsia="宋体"/>
          <w:sz w:val="28"/>
          <w:szCs w:val="28"/>
        </w:rPr>
        <w:t>50万元以下的罚款。</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第二十七条</w:t>
      </w:r>
      <w:r>
        <w:rPr>
          <w:rFonts w:hint="eastAsia" w:ascii="宋体" w:hAnsi="宋体" w:eastAsia="宋体"/>
          <w:sz w:val="28"/>
          <w:szCs w:val="28"/>
        </w:rPr>
        <w:t xml:space="preserve"> 非期货公司会员、客户等期货市场参与者具有下列违反交易所实际控制关系账户管理规定行为之一的，责令改正，交易所可以根据情节轻重给予警告、通报批评、公开谴责、暂停开仓交易</w:t>
      </w:r>
      <w:r>
        <w:rPr>
          <w:rFonts w:ascii="宋体" w:hAnsi="宋体" w:eastAsia="宋体"/>
          <w:sz w:val="28"/>
          <w:szCs w:val="28"/>
        </w:rPr>
        <w:t>12个月以下、暂停部分期货或者期权</w:t>
      </w:r>
      <w:r>
        <w:rPr>
          <w:rFonts w:hint="eastAsia" w:ascii="宋体" w:hAnsi="宋体" w:eastAsia="宋体"/>
          <w:sz w:val="28"/>
          <w:szCs w:val="28"/>
        </w:rPr>
        <w:t>业务、取消相应资格的纪律处分，可以并处50万元以下的罚款：</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（一）具有实际控制关系，但是拒不如实报备的；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（二）无正当理由拒不回复或者不如实回复交易所询问、调查，或者隐瞒事实真相、故意回避的；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（三）提供虚假材料申请解除实际控制关系的；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（四）违反交易所实际控制关系账户管理规定的其他行为。</w:t>
      </w:r>
    </w:p>
    <w:p>
      <w:pPr>
        <w:spacing w:line="360" w:lineRule="auto"/>
        <w:ind w:firstLine="551" w:firstLineChars="197"/>
        <w:rPr>
          <w:rFonts w:ascii="宋体" w:hAnsi="宋体" w:eastAsia="宋体"/>
          <w:dstrike/>
          <w:color w:val="333333"/>
          <w:sz w:val="28"/>
          <w:szCs w:val="28"/>
        </w:rPr>
      </w:pPr>
      <w:r>
        <w:rPr>
          <w:rFonts w:hint="eastAsia" w:ascii="宋体" w:hAnsi="宋体" w:eastAsia="宋体"/>
          <w:sz w:val="28"/>
          <w:szCs w:val="28"/>
        </w:rPr>
        <w:t>会员、境外经纪机构未履行对客户实际控制关系账户的管理职责，诱导或者协助客户提供虚假性材料、隐瞒事实真相的，交易所可以参照适用前款规定给予相应纪律处分。</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第二十八条</w:t>
      </w:r>
      <w:r>
        <w:rPr>
          <w:rFonts w:hint="eastAsia" w:ascii="宋体" w:hAnsi="宋体" w:eastAsia="宋体"/>
          <w:sz w:val="28"/>
          <w:szCs w:val="28"/>
        </w:rPr>
        <w:t xml:space="preserve"> 期货市场参与者具有下列违反交易所信息管理或者系统管理规定行为之一的，责令改正，</w:t>
      </w:r>
      <w:r>
        <w:rPr>
          <w:rFonts w:ascii="宋体" w:hAnsi="宋体" w:eastAsia="宋体"/>
          <w:kern w:val="0"/>
          <w:sz w:val="28"/>
          <w:szCs w:val="28"/>
        </w:rPr>
        <w:t>没收违规所得</w:t>
      </w:r>
      <w:r>
        <w:rPr>
          <w:rFonts w:hint="eastAsia" w:ascii="宋体" w:hAnsi="宋体" w:eastAsia="宋体"/>
          <w:kern w:val="0"/>
          <w:sz w:val="28"/>
          <w:szCs w:val="28"/>
        </w:rPr>
        <w:t>，</w:t>
      </w:r>
      <w:r>
        <w:rPr>
          <w:rFonts w:hint="eastAsia" w:ascii="宋体" w:hAnsi="宋体" w:eastAsia="宋体"/>
          <w:sz w:val="28"/>
          <w:szCs w:val="28"/>
        </w:rPr>
        <w:t>交易所可以根据情节轻重给予警告、通报批评、公开谴责、暂停开仓交易</w:t>
      </w:r>
      <w:r>
        <w:rPr>
          <w:rFonts w:ascii="宋体" w:hAnsi="宋体" w:eastAsia="宋体"/>
          <w:sz w:val="28"/>
          <w:szCs w:val="28"/>
        </w:rPr>
        <w:t>12个月以下、</w:t>
      </w:r>
      <w:r>
        <w:rPr>
          <w:rFonts w:hint="eastAsia" w:ascii="宋体" w:hAnsi="宋体" w:eastAsia="宋体"/>
          <w:sz w:val="28"/>
          <w:szCs w:val="28"/>
        </w:rPr>
        <w:t>暂停部分期货</w:t>
      </w:r>
      <w:r>
        <w:rPr>
          <w:rFonts w:ascii="宋体" w:hAnsi="宋体" w:eastAsia="宋体"/>
          <w:sz w:val="28"/>
          <w:szCs w:val="28"/>
        </w:rPr>
        <w:t>或者期权</w:t>
      </w:r>
      <w:r>
        <w:rPr>
          <w:rFonts w:hint="eastAsia" w:ascii="宋体" w:hAnsi="宋体" w:eastAsia="宋体"/>
          <w:sz w:val="28"/>
          <w:szCs w:val="28"/>
        </w:rPr>
        <w:t>业务、取消相应资格的纪律处分</w:t>
      </w:r>
      <w:r>
        <w:rPr>
          <w:rFonts w:ascii="宋体" w:hAnsi="宋体" w:eastAsia="宋体"/>
          <w:sz w:val="28"/>
          <w:szCs w:val="28"/>
        </w:rPr>
        <w:t>,可以并处</w:t>
      </w:r>
      <w:r>
        <w:rPr>
          <w:rFonts w:hint="eastAsia" w:ascii="宋体" w:hAnsi="宋体" w:eastAsia="宋体"/>
          <w:sz w:val="28"/>
          <w:szCs w:val="28"/>
        </w:rPr>
        <w:t>5</w:t>
      </w:r>
      <w:r>
        <w:rPr>
          <w:rFonts w:ascii="宋体" w:hAnsi="宋体" w:eastAsia="宋体"/>
          <w:sz w:val="28"/>
          <w:szCs w:val="28"/>
        </w:rPr>
        <w:t>0万元</w:t>
      </w:r>
      <w:r>
        <w:rPr>
          <w:rFonts w:hint="eastAsia" w:ascii="宋体" w:hAnsi="宋体" w:eastAsia="宋体"/>
          <w:sz w:val="28"/>
          <w:szCs w:val="28"/>
        </w:rPr>
        <w:t>以下的罚款：</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（一）未经交易所许可，擅自发布交易所信息的；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（二）破坏或者未按要求使用交易所交易、结算、交割及标准仓单管理等系统，影响系统正常运作的；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（三）违反交易所信息系统接入管理规定的；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（四）违反交易所信息管理或者系统管理规定的其他行为。</w:t>
      </w:r>
    </w:p>
    <w:p>
      <w:pPr>
        <w:adjustRightInd w:val="0"/>
        <w:spacing w:line="360" w:lineRule="auto"/>
        <w:ind w:firstLine="560" w:firstLineChars="200"/>
        <w:rPr>
          <w:rFonts w:ascii="宋体" w:hAnsi="宋体" w:eastAsia="宋体"/>
          <w:color w:val="333333"/>
          <w:sz w:val="28"/>
          <w:szCs w:val="28"/>
        </w:rPr>
      </w:pPr>
      <w:r>
        <w:rPr>
          <w:rFonts w:hint="eastAsia" w:ascii="黑体" w:hAnsi="黑体" w:eastAsia="黑体"/>
          <w:sz w:val="28"/>
          <w:szCs w:val="28"/>
        </w:rPr>
        <w:t>第二十九条</w:t>
      </w:r>
      <w:r>
        <w:rPr>
          <w:rFonts w:hint="eastAsia" w:ascii="宋体" w:hAnsi="宋体" w:eastAsia="宋体"/>
          <w:b/>
          <w:sz w:val="28"/>
          <w:szCs w:val="28"/>
        </w:rPr>
        <w:t xml:space="preserve"> </w:t>
      </w:r>
      <w:r>
        <w:rPr>
          <w:rFonts w:hint="eastAsia" w:ascii="宋体" w:hAnsi="宋体" w:eastAsia="宋体"/>
          <w:sz w:val="28"/>
          <w:szCs w:val="28"/>
        </w:rPr>
        <w:t>会员、境外经纪机构、客户参与标准仓单业务时，违反交易所规定的，责令改正，交易所可以根据情节轻重给予警告、通报批评、公开谴责、暂停从事标准仓单业务、取消相应资格的纪律处分，可以并处5</w:t>
      </w:r>
      <w:r>
        <w:rPr>
          <w:rFonts w:ascii="宋体" w:hAnsi="宋体" w:eastAsia="宋体"/>
          <w:sz w:val="28"/>
          <w:szCs w:val="28"/>
        </w:rPr>
        <w:t>0万元</w:t>
      </w:r>
      <w:r>
        <w:rPr>
          <w:rFonts w:hint="eastAsia" w:ascii="宋体" w:hAnsi="宋体" w:eastAsia="宋体"/>
          <w:sz w:val="28"/>
          <w:szCs w:val="28"/>
        </w:rPr>
        <w:t>以下的</w:t>
      </w:r>
      <w:r>
        <w:rPr>
          <w:rFonts w:ascii="宋体" w:hAnsi="宋体" w:eastAsia="宋体"/>
          <w:sz w:val="28"/>
          <w:szCs w:val="28"/>
        </w:rPr>
        <w:t>罚款。</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第三十条 </w:t>
      </w:r>
      <w:r>
        <w:rPr>
          <w:rFonts w:hint="eastAsia" w:ascii="宋体" w:hAnsi="宋体" w:eastAsia="宋体"/>
          <w:sz w:val="28"/>
          <w:szCs w:val="28"/>
        </w:rPr>
        <w:t>期货市场参与者具有以下违反交易所交易编码管理规定行为之一的，责令改正，没收违规所得，交易所可以根据情节轻重给予警告、通报批评、公开谴责、强行平仓、暂停开仓交易</w:t>
      </w:r>
      <w:r>
        <w:rPr>
          <w:rFonts w:ascii="宋体" w:hAnsi="宋体" w:eastAsia="宋体"/>
          <w:sz w:val="28"/>
          <w:szCs w:val="28"/>
        </w:rPr>
        <w:t>12</w:t>
      </w:r>
      <w:r>
        <w:rPr>
          <w:rFonts w:hint="eastAsia" w:ascii="宋体" w:hAnsi="宋体" w:eastAsia="宋体"/>
          <w:sz w:val="28"/>
          <w:szCs w:val="28"/>
        </w:rPr>
        <w:t>个月以下、暂停部分期货</w:t>
      </w:r>
      <w:r>
        <w:rPr>
          <w:rFonts w:ascii="宋体" w:hAnsi="宋体" w:eastAsia="宋体"/>
          <w:sz w:val="28"/>
          <w:szCs w:val="28"/>
        </w:rPr>
        <w:t>或者期权</w:t>
      </w:r>
      <w:r>
        <w:rPr>
          <w:rFonts w:hint="eastAsia" w:ascii="宋体" w:hAnsi="宋体" w:eastAsia="宋体"/>
          <w:sz w:val="28"/>
          <w:szCs w:val="28"/>
        </w:rPr>
        <w:t>业务、取消相应资格的纪律处分，可以并处</w:t>
      </w:r>
      <w:r>
        <w:rPr>
          <w:rFonts w:ascii="宋体" w:hAnsi="宋体" w:eastAsia="宋体"/>
          <w:sz w:val="28"/>
          <w:szCs w:val="28"/>
        </w:rPr>
        <w:t>50万元以下的罚款：</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（一）提供或者协助提供虚假开户资料开户的；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（二）做市商通过出租、出借、委托做市等方式将做市交易编码交由他人使用，或者使用做市交易编码从事与做市无关的其他交易的；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（三）使用他人做市交易编码，代替他人做市的；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（四）盗取、骗取或者借用他人交易编码，实施违规行为的；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（五）出借或者未妥善保管交易编码，导致交易编码被他人使用实施违规行为的；</w:t>
      </w:r>
    </w:p>
    <w:p>
      <w:pPr>
        <w:adjustRightInd w:val="0"/>
        <w:spacing w:line="360" w:lineRule="auto"/>
        <w:ind w:firstLine="560" w:firstLineChars="200"/>
        <w:rPr>
          <w:rFonts w:ascii="宋体" w:hAnsi="宋体" w:eastAsia="宋体"/>
          <w:sz w:val="28"/>
          <w:szCs w:val="28"/>
        </w:rPr>
      </w:pPr>
      <w:r>
        <w:rPr>
          <w:rFonts w:hint="eastAsia" w:ascii="宋体" w:hAnsi="宋体" w:eastAsia="宋体"/>
          <w:sz w:val="28"/>
          <w:szCs w:val="28"/>
        </w:rPr>
        <w:t>（六）违反交易所交易编码管理相关规定的其他行为。</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第三十一条</w:t>
      </w:r>
      <w:bookmarkStart w:id="13" w:name="OLE_LINK24"/>
      <w:bookmarkStart w:id="14" w:name="OLE_LINK22"/>
      <w:bookmarkStart w:id="15" w:name="OLE_LINK23"/>
      <w:r>
        <w:rPr>
          <w:rFonts w:hint="eastAsia" w:ascii="黑体" w:hAnsi="黑体" w:eastAsia="黑体"/>
          <w:sz w:val="28"/>
          <w:szCs w:val="28"/>
        </w:rPr>
        <w:t xml:space="preserve"> </w:t>
      </w:r>
      <w:r>
        <w:rPr>
          <w:rFonts w:hint="eastAsia" w:ascii="宋体" w:hAnsi="宋体" w:eastAsia="宋体"/>
          <w:sz w:val="28"/>
          <w:szCs w:val="28"/>
        </w:rPr>
        <w:t>期货市场参与者具有下列违反交易管理规定行为之一的</w:t>
      </w:r>
      <w:bookmarkEnd w:id="13"/>
      <w:bookmarkEnd w:id="14"/>
      <w:bookmarkEnd w:id="15"/>
      <w:r>
        <w:rPr>
          <w:rFonts w:ascii="宋体" w:hAnsi="宋体" w:eastAsia="宋体"/>
          <w:sz w:val="28"/>
          <w:szCs w:val="28"/>
        </w:rPr>
        <w:t>,责令改正，没收违规所得</w:t>
      </w:r>
      <w:r>
        <w:rPr>
          <w:rFonts w:hint="eastAsia" w:ascii="宋体" w:hAnsi="宋体" w:eastAsia="宋体"/>
          <w:sz w:val="28"/>
          <w:szCs w:val="28"/>
        </w:rPr>
        <w:t>，交易所可以根据情节轻重给予警告、通报批评、公开谴责、强行平仓、暂停开仓交易</w:t>
      </w:r>
      <w:r>
        <w:rPr>
          <w:rFonts w:ascii="宋体" w:hAnsi="宋体" w:eastAsia="宋体"/>
          <w:sz w:val="28"/>
          <w:szCs w:val="28"/>
        </w:rPr>
        <w:t>12个月以下、</w:t>
      </w:r>
      <w:r>
        <w:rPr>
          <w:rFonts w:hint="eastAsia" w:ascii="宋体" w:hAnsi="宋体" w:eastAsia="宋体"/>
          <w:sz w:val="28"/>
          <w:szCs w:val="28"/>
        </w:rPr>
        <w:t>暂停部分期货</w:t>
      </w:r>
      <w:r>
        <w:rPr>
          <w:rFonts w:ascii="宋体" w:hAnsi="宋体" w:eastAsia="宋体"/>
          <w:sz w:val="28"/>
          <w:szCs w:val="28"/>
        </w:rPr>
        <w:t>或者期权</w:t>
      </w:r>
      <w:r>
        <w:rPr>
          <w:rFonts w:hint="eastAsia" w:ascii="宋体" w:hAnsi="宋体" w:eastAsia="宋体"/>
          <w:sz w:val="28"/>
          <w:szCs w:val="28"/>
        </w:rPr>
        <w:t>业务、取消相应资格、宣布为“市场禁止进入者”的纪律处分；没有违规所得或者违规所得不满</w:t>
      </w:r>
      <w:r>
        <w:rPr>
          <w:rFonts w:ascii="宋体" w:hAnsi="宋体" w:eastAsia="宋体"/>
          <w:sz w:val="28"/>
          <w:szCs w:val="28"/>
        </w:rPr>
        <w:t>10万元</w:t>
      </w:r>
      <w:r>
        <w:rPr>
          <w:rFonts w:hint="eastAsia" w:ascii="宋体" w:hAnsi="宋体" w:eastAsia="宋体"/>
          <w:sz w:val="28"/>
          <w:szCs w:val="28"/>
        </w:rPr>
        <w:t>的，可以并处</w:t>
      </w:r>
      <w:r>
        <w:rPr>
          <w:rFonts w:ascii="宋体" w:hAnsi="宋体" w:eastAsia="宋体"/>
          <w:sz w:val="28"/>
          <w:szCs w:val="28"/>
        </w:rPr>
        <w:t>50万元</w:t>
      </w:r>
      <w:r>
        <w:rPr>
          <w:rFonts w:hint="eastAsia" w:ascii="宋体" w:hAnsi="宋体" w:eastAsia="宋体"/>
          <w:sz w:val="28"/>
          <w:szCs w:val="28"/>
        </w:rPr>
        <w:t>以下的罚款；违规所得</w:t>
      </w:r>
      <w:r>
        <w:rPr>
          <w:rFonts w:ascii="宋体" w:hAnsi="宋体" w:eastAsia="宋体"/>
          <w:sz w:val="28"/>
          <w:szCs w:val="28"/>
        </w:rPr>
        <w:t>10万元以上的，可以</w:t>
      </w:r>
      <w:r>
        <w:rPr>
          <w:rFonts w:hint="eastAsia" w:ascii="宋体" w:hAnsi="宋体" w:eastAsia="宋体"/>
          <w:sz w:val="28"/>
          <w:szCs w:val="28"/>
        </w:rPr>
        <w:t>并处违规所得</w:t>
      </w:r>
      <w:r>
        <w:rPr>
          <w:rFonts w:ascii="宋体" w:hAnsi="宋体" w:eastAsia="宋体"/>
          <w:sz w:val="28"/>
          <w:szCs w:val="28"/>
        </w:rPr>
        <w:t>1</w:t>
      </w:r>
      <w:r>
        <w:rPr>
          <w:rFonts w:hint="eastAsia" w:ascii="宋体" w:hAnsi="宋体" w:eastAsia="宋体"/>
          <w:sz w:val="28"/>
          <w:szCs w:val="28"/>
        </w:rPr>
        <w:t>倍以上</w:t>
      </w:r>
      <w:r>
        <w:rPr>
          <w:rFonts w:ascii="宋体" w:hAnsi="宋体" w:eastAsia="宋体"/>
          <w:sz w:val="28"/>
          <w:szCs w:val="28"/>
        </w:rPr>
        <w:t>5</w:t>
      </w:r>
      <w:r>
        <w:rPr>
          <w:rFonts w:hint="eastAsia" w:ascii="宋体" w:hAnsi="宋体" w:eastAsia="宋体"/>
          <w:sz w:val="28"/>
          <w:szCs w:val="28"/>
        </w:rPr>
        <w:t>倍以下的罚款：</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（一）单独或者合谋，集中资金优势、持仓优势或者利用信息优势，连续或者联合买卖合约，影响或者企图影响期货交易价格或者期货交易量的；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（二）单独或者合谋，利用不正当手段，</w:t>
      </w:r>
      <w:r>
        <w:rPr>
          <w:rFonts w:ascii="宋体" w:hAnsi="宋体" w:eastAsia="宋体"/>
          <w:sz w:val="28"/>
          <w:szCs w:val="28"/>
        </w:rPr>
        <w:t>规避交易所的持仓限制，超限持仓，</w:t>
      </w:r>
      <w:r>
        <w:rPr>
          <w:rFonts w:hint="eastAsia" w:ascii="宋体" w:hAnsi="宋体" w:eastAsia="宋体"/>
          <w:sz w:val="28"/>
          <w:szCs w:val="28"/>
        </w:rPr>
        <w:t>影响或者企图影响期货交易价格，或者扰乱市场秩序的；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（三）按照事先约定或者安排的时间、价格或者方式进行相互交易，影响或者企图影响期货交易价格或者期货交易量、转移资金、扰乱市场秩序或者谋取不正当利益的；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w:t>
      </w:r>
      <w:bookmarkStart w:id="16" w:name="OLE_LINK47"/>
      <w:bookmarkStart w:id="17" w:name="OLE_LINK38"/>
      <w:bookmarkStart w:id="18" w:name="OLE_LINK37"/>
      <w:bookmarkStart w:id="19" w:name="OLE_LINK102"/>
      <w:bookmarkStart w:id="20" w:name="OLE_LINK103"/>
      <w:bookmarkStart w:id="21" w:name="OLE_LINK101"/>
      <w:r>
        <w:rPr>
          <w:rFonts w:hint="eastAsia" w:ascii="宋体" w:hAnsi="宋体" w:eastAsia="宋体"/>
          <w:sz w:val="28"/>
          <w:szCs w:val="28"/>
        </w:rPr>
        <w:t>不以成交为目的申报买卖合约，进行与申报方向相反的交易或者以其他方式谋取相关利益，影响或者企图影响期货交易价格或者期货交易量、误导其他市场参与者、增加系统负荷或者扰乱市场秩序的；</w:t>
      </w:r>
      <w:bookmarkEnd w:id="16"/>
      <w:bookmarkEnd w:id="17"/>
      <w:bookmarkEnd w:id="18"/>
    </w:p>
    <w:bookmarkEnd w:id="19"/>
    <w:bookmarkEnd w:id="20"/>
    <w:bookmarkEnd w:id="21"/>
    <w:p>
      <w:pPr>
        <w:spacing w:line="360" w:lineRule="auto"/>
        <w:ind w:firstLine="560" w:firstLineChars="200"/>
        <w:rPr>
          <w:rFonts w:ascii="宋体" w:hAnsi="宋体" w:eastAsia="宋体"/>
          <w:sz w:val="28"/>
          <w:szCs w:val="28"/>
        </w:rPr>
      </w:pPr>
      <w:r>
        <w:rPr>
          <w:rFonts w:hint="eastAsia" w:ascii="宋体" w:hAnsi="宋体" w:eastAsia="宋体"/>
          <w:sz w:val="28"/>
          <w:szCs w:val="28"/>
        </w:rPr>
        <w:t>（五）在自己实际控制的账户之间发生相互交易，影响或者企图影响期货交易价格或者期货交易量、转移资金、扰乱市场秩序或者谋取不正当利益的；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六）期货交易内幕信息的知情人或者非法获取期货交易内幕信息的人，在对期货交易价格有重大影响的信息尚未公开前，利用内幕信息进行期货交易或者向他人泄露内幕信息，使他人利用内幕信息进行期货交易的；</w:t>
      </w:r>
    </w:p>
    <w:p>
      <w:pPr>
        <w:spacing w:line="360" w:lineRule="auto"/>
        <w:ind w:firstLine="560" w:firstLineChars="200"/>
        <w:rPr>
          <w:rFonts w:ascii="宋体" w:hAnsi="宋体" w:eastAsia="宋体"/>
          <w:sz w:val="28"/>
          <w:szCs w:val="28"/>
        </w:rPr>
      </w:pPr>
      <w:bookmarkStart w:id="22" w:name="OLE_LINK42"/>
      <w:bookmarkStart w:id="23" w:name="OLE_LINK41"/>
      <w:bookmarkStart w:id="24" w:name="OLE_LINK43"/>
      <w:r>
        <w:rPr>
          <w:rFonts w:hint="eastAsia" w:ascii="宋体" w:hAnsi="宋体" w:eastAsia="宋体"/>
          <w:sz w:val="28"/>
          <w:szCs w:val="28"/>
        </w:rPr>
        <w:t>（七）以囤积现货、虚占交割仓库库容或者</w:t>
      </w:r>
      <w:r>
        <w:rPr>
          <w:rFonts w:ascii="宋体" w:hAnsi="宋体" w:eastAsia="宋体"/>
          <w:sz w:val="28"/>
          <w:szCs w:val="28"/>
        </w:rPr>
        <w:t>控制大量标准仓单</w:t>
      </w:r>
      <w:r>
        <w:rPr>
          <w:rFonts w:hint="eastAsia" w:ascii="宋体" w:hAnsi="宋体" w:eastAsia="宋体"/>
          <w:sz w:val="28"/>
          <w:szCs w:val="28"/>
        </w:rPr>
        <w:t>等方式，影响或者企图影响期货市场行情或者交割的；</w:t>
      </w:r>
    </w:p>
    <w:bookmarkEnd w:id="22"/>
    <w:bookmarkEnd w:id="23"/>
    <w:bookmarkEnd w:id="24"/>
    <w:p>
      <w:pPr>
        <w:spacing w:line="360" w:lineRule="auto"/>
        <w:ind w:firstLine="560" w:firstLineChars="200"/>
        <w:rPr>
          <w:rFonts w:ascii="宋体" w:hAnsi="宋体" w:eastAsia="宋体"/>
          <w:sz w:val="28"/>
          <w:szCs w:val="28"/>
        </w:rPr>
      </w:pPr>
      <w:bookmarkStart w:id="25" w:name="OLE_LINK21"/>
      <w:bookmarkStart w:id="26" w:name="OLE_LINK20"/>
      <w:bookmarkStart w:id="27" w:name="OLE_LINK19"/>
      <w:r>
        <w:rPr>
          <w:rFonts w:hint="eastAsia" w:ascii="宋体" w:hAnsi="宋体" w:eastAsia="宋体"/>
          <w:sz w:val="28"/>
          <w:szCs w:val="28"/>
        </w:rPr>
        <w:t>（八）编造或者传播虚假信息、误导性信息或者不确定的重大信息，影响期货交易价格或者期货交易量，并进行相关交易或者谋取不正当利益的；</w:t>
      </w:r>
    </w:p>
    <w:bookmarkEnd w:id="25"/>
    <w:bookmarkEnd w:id="26"/>
    <w:bookmarkEnd w:id="27"/>
    <w:p>
      <w:pPr>
        <w:spacing w:line="360" w:lineRule="auto"/>
        <w:ind w:firstLine="560" w:firstLineChars="200"/>
        <w:rPr>
          <w:rFonts w:ascii="宋体" w:hAnsi="宋体" w:eastAsia="宋体"/>
          <w:sz w:val="28"/>
          <w:szCs w:val="28"/>
        </w:rPr>
      </w:pPr>
      <w:bookmarkStart w:id="28" w:name="OLE_LINK89"/>
      <w:bookmarkStart w:id="29" w:name="OLE_LINK88"/>
      <w:r>
        <w:rPr>
          <w:rFonts w:hint="eastAsia" w:ascii="宋体" w:hAnsi="宋体" w:eastAsia="宋体"/>
          <w:sz w:val="28"/>
          <w:szCs w:val="28"/>
        </w:rPr>
        <w:t>（九）</w:t>
      </w:r>
      <w:bookmarkStart w:id="30" w:name="OLE_LINK33"/>
      <w:bookmarkStart w:id="31" w:name="OLE_LINK32"/>
      <w:bookmarkStart w:id="32" w:name="OLE_LINK34"/>
      <w:r>
        <w:rPr>
          <w:rFonts w:hint="eastAsia" w:ascii="宋体" w:hAnsi="宋体" w:eastAsia="宋体"/>
          <w:sz w:val="28"/>
          <w:szCs w:val="28"/>
        </w:rPr>
        <w:t>通过对合约或者合约标的物作出公开评价、预测或者投资建议，影响期货交易价格或者期货交易量，并进行与其评价、预测或者投资建议方向相</w:t>
      </w:r>
      <w:bookmarkStart w:id="33" w:name="OLE_LINK31"/>
      <w:bookmarkStart w:id="34" w:name="OLE_LINK30"/>
      <w:r>
        <w:rPr>
          <w:rFonts w:hint="eastAsia" w:ascii="宋体" w:hAnsi="宋体" w:eastAsia="宋体"/>
          <w:sz w:val="28"/>
          <w:szCs w:val="28"/>
        </w:rPr>
        <w:t>反</w:t>
      </w:r>
      <w:bookmarkEnd w:id="33"/>
      <w:bookmarkEnd w:id="34"/>
      <w:r>
        <w:rPr>
          <w:rFonts w:hint="eastAsia" w:ascii="宋体" w:hAnsi="宋体" w:eastAsia="宋体"/>
          <w:sz w:val="28"/>
          <w:szCs w:val="28"/>
        </w:rPr>
        <w:t>的期货交易或者谋取不正当利益的；</w:t>
      </w:r>
      <w:bookmarkEnd w:id="30"/>
      <w:bookmarkEnd w:id="31"/>
      <w:bookmarkEnd w:id="32"/>
    </w:p>
    <w:bookmarkEnd w:id="28"/>
    <w:bookmarkEnd w:id="29"/>
    <w:p>
      <w:pPr>
        <w:spacing w:line="360" w:lineRule="auto"/>
        <w:ind w:firstLine="560" w:firstLineChars="200"/>
        <w:rPr>
          <w:rFonts w:ascii="宋体" w:hAnsi="宋体" w:eastAsia="宋体"/>
          <w:dstrike/>
          <w:sz w:val="28"/>
          <w:szCs w:val="28"/>
        </w:rPr>
      </w:pPr>
      <w:r>
        <w:rPr>
          <w:rFonts w:hint="eastAsia" w:ascii="宋体" w:hAnsi="宋体" w:eastAsia="宋体"/>
          <w:sz w:val="28"/>
          <w:szCs w:val="28"/>
        </w:rPr>
        <w:t>（十）采取程序化交易方式下达交易指令，影响交易所系统安全或者扰乱正常交易秩序的；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（十一）以非善意的期货转现货行为，扰乱市场秩序的；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（十二）违反中国证监会和交易所有关交易管理规定，影响或者企图影响期货交易价格、期货交易量或者扰乱期货市场秩序的其他行为。</w:t>
      </w:r>
      <w:bookmarkStart w:id="35" w:name="OLE_LINK14"/>
      <w:bookmarkStart w:id="36" w:name="OLE_LINK13"/>
      <w:bookmarkStart w:id="37" w:name="OLE_LINK12"/>
      <w:bookmarkStart w:id="38" w:name="OLE_LINK11"/>
      <w:bookmarkStart w:id="39" w:name="OLE_LINK15"/>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第三十二条 </w:t>
      </w:r>
      <w:r>
        <w:rPr>
          <w:rFonts w:hint="eastAsia" w:ascii="宋体" w:hAnsi="宋体" w:eastAsia="宋体"/>
          <w:sz w:val="28"/>
          <w:szCs w:val="28"/>
        </w:rPr>
        <w:t>期货市场参与者编造或者传播虚假信息或者误导性信息，损害交易所声誉或者扰乱期货市场秩序的，责令改正，交易所可以根据情节轻重给予警告、通报批评、公开谴责、强行平仓、暂停开仓交易</w:t>
      </w:r>
      <w:r>
        <w:rPr>
          <w:rFonts w:ascii="宋体" w:hAnsi="宋体" w:eastAsia="宋体"/>
          <w:sz w:val="28"/>
          <w:szCs w:val="28"/>
        </w:rPr>
        <w:t>12个月以下、</w:t>
      </w:r>
      <w:r>
        <w:rPr>
          <w:rFonts w:hint="eastAsia" w:ascii="宋体" w:hAnsi="宋体" w:eastAsia="宋体"/>
          <w:sz w:val="28"/>
          <w:szCs w:val="28"/>
        </w:rPr>
        <w:t>暂停部分期货</w:t>
      </w:r>
      <w:r>
        <w:rPr>
          <w:rFonts w:ascii="宋体" w:hAnsi="宋体" w:eastAsia="宋体"/>
          <w:sz w:val="28"/>
          <w:szCs w:val="28"/>
        </w:rPr>
        <w:t>或者期权</w:t>
      </w:r>
      <w:r>
        <w:rPr>
          <w:rFonts w:hint="eastAsia" w:ascii="宋体" w:hAnsi="宋体" w:eastAsia="宋体"/>
          <w:sz w:val="28"/>
          <w:szCs w:val="28"/>
        </w:rPr>
        <w:t>业务、</w:t>
      </w:r>
      <w:r>
        <w:rPr>
          <w:rFonts w:ascii="宋体" w:hAnsi="宋体" w:eastAsia="宋体"/>
          <w:sz w:val="28"/>
          <w:szCs w:val="28"/>
        </w:rPr>
        <w:t>取消相应资格</w:t>
      </w:r>
      <w:r>
        <w:rPr>
          <w:rFonts w:hint="eastAsia" w:ascii="宋体" w:hAnsi="宋体" w:eastAsia="宋体"/>
          <w:sz w:val="28"/>
          <w:szCs w:val="28"/>
        </w:rPr>
        <w:t>、</w:t>
      </w:r>
      <w:r>
        <w:rPr>
          <w:rFonts w:ascii="宋体" w:hAnsi="宋体" w:eastAsia="宋体"/>
          <w:sz w:val="28"/>
          <w:szCs w:val="28"/>
        </w:rPr>
        <w:t>宣布为“市场禁止进入者”的纪律处分</w:t>
      </w:r>
      <w:r>
        <w:rPr>
          <w:rFonts w:hint="eastAsia" w:ascii="宋体" w:hAnsi="宋体" w:eastAsia="宋体"/>
          <w:sz w:val="28"/>
          <w:szCs w:val="28"/>
        </w:rPr>
        <w:t>，可以并处</w:t>
      </w:r>
      <w:r>
        <w:rPr>
          <w:rFonts w:ascii="宋体" w:hAnsi="宋体" w:eastAsia="宋体"/>
          <w:sz w:val="28"/>
          <w:szCs w:val="28"/>
        </w:rPr>
        <w:t>50万元以下的罚款。</w:t>
      </w:r>
    </w:p>
    <w:bookmarkEnd w:id="35"/>
    <w:bookmarkEnd w:id="36"/>
    <w:bookmarkEnd w:id="37"/>
    <w:bookmarkEnd w:id="38"/>
    <w:bookmarkEnd w:id="39"/>
    <w:p>
      <w:pPr>
        <w:spacing w:line="360" w:lineRule="auto"/>
        <w:ind w:firstLine="560" w:firstLineChars="200"/>
        <w:rPr>
          <w:rFonts w:ascii="宋体" w:hAnsi="宋体" w:eastAsia="宋体"/>
          <w:sz w:val="28"/>
          <w:szCs w:val="28"/>
        </w:rPr>
      </w:pPr>
      <w:r>
        <w:rPr>
          <w:rFonts w:hint="eastAsia" w:ascii="黑体" w:hAnsi="黑体" w:eastAsia="黑体"/>
          <w:sz w:val="28"/>
          <w:szCs w:val="28"/>
        </w:rPr>
        <w:t>第三十三条</w:t>
      </w:r>
      <w:r>
        <w:rPr>
          <w:rFonts w:ascii="宋体" w:hAnsi="宋体" w:eastAsia="宋体"/>
          <w:b/>
          <w:sz w:val="28"/>
          <w:szCs w:val="28"/>
        </w:rPr>
        <w:t xml:space="preserve"> </w:t>
      </w:r>
      <w:r>
        <w:rPr>
          <w:rFonts w:ascii="宋体" w:hAnsi="宋体" w:eastAsia="宋体"/>
          <w:sz w:val="28"/>
          <w:szCs w:val="28"/>
        </w:rPr>
        <w:t xml:space="preserve">期货市场参与者具有下列行为之一的，交易所可以调整当日结算价和交割结算价： </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w:t>
      </w:r>
      <w:r>
        <w:rPr>
          <w:rFonts w:hint="eastAsia" w:ascii="宋体" w:hAnsi="宋体" w:eastAsia="宋体"/>
          <w:color w:val="000000"/>
          <w:sz w:val="28"/>
          <w:szCs w:val="28"/>
        </w:rPr>
        <w:t>在自己实际控制的账户间发生相互交易</w:t>
      </w:r>
      <w:r>
        <w:rPr>
          <w:rFonts w:hint="eastAsia" w:ascii="宋体" w:hAnsi="宋体" w:eastAsia="宋体"/>
          <w:sz w:val="28"/>
          <w:szCs w:val="28"/>
        </w:rPr>
        <w:t>，严重影响交割结算价或者期权行权结果的；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（二）其他违规行为导致期货交易价格异常波动或者瞬间大幅度偏离市场价格，严重影响交割结算价或者期权行权结果的。</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第三十四条 </w:t>
      </w:r>
      <w:r>
        <w:rPr>
          <w:rFonts w:hint="eastAsia" w:ascii="宋体" w:hAnsi="宋体" w:eastAsia="宋体"/>
          <w:sz w:val="28"/>
          <w:szCs w:val="28"/>
        </w:rPr>
        <w:t>交易所调查发现期货市场参与者具有下列涉嫌违法行为之一的，应当及时报告中国证监会，提请立案稽查，并可以采取限制出金、暂停开仓交易等限制性措施：</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（一）操纵市场的；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（二）内幕交易的；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（三）编造、传播虚假信息的；</w:t>
      </w:r>
      <w:r>
        <w:rPr>
          <w:rFonts w:ascii="宋体" w:hAnsi="宋体" w:eastAsia="宋体"/>
          <w:sz w:val="28"/>
          <w:szCs w:val="28"/>
        </w:rPr>
        <w:t xml:space="preserve"> </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（四）涉嫌违法的其他行为。</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第三十五条</w:t>
      </w:r>
      <w:r>
        <w:rPr>
          <w:rFonts w:hint="eastAsia" w:ascii="宋体" w:hAnsi="宋体" w:eastAsia="宋体"/>
          <w:sz w:val="28"/>
          <w:szCs w:val="28"/>
        </w:rPr>
        <w:t xml:space="preserve"> 交割仓库具有下列行为之一的，责令改正，没收违规所得，交易所可以根据情节轻重给予警告、通报批评、公开谴责、暂停交割业务、取消交割仓库资格、宣布为“市场禁止进入者”的纪律处分；没有违规所得或者违规所得不满</w:t>
      </w:r>
      <w:r>
        <w:rPr>
          <w:rFonts w:ascii="宋体" w:hAnsi="宋体" w:eastAsia="宋体"/>
          <w:sz w:val="28"/>
          <w:szCs w:val="28"/>
        </w:rPr>
        <w:t>10万元</w:t>
      </w:r>
      <w:r>
        <w:rPr>
          <w:rFonts w:hint="eastAsia" w:ascii="宋体" w:hAnsi="宋体" w:eastAsia="宋体"/>
          <w:sz w:val="28"/>
          <w:szCs w:val="28"/>
        </w:rPr>
        <w:t>的，可以并处</w:t>
      </w:r>
      <w:r>
        <w:rPr>
          <w:rFonts w:ascii="宋体" w:hAnsi="宋体" w:eastAsia="宋体"/>
          <w:sz w:val="28"/>
          <w:szCs w:val="28"/>
        </w:rPr>
        <w:t>50万元</w:t>
      </w:r>
      <w:r>
        <w:rPr>
          <w:rFonts w:hint="eastAsia" w:ascii="宋体" w:hAnsi="宋体" w:eastAsia="宋体"/>
          <w:sz w:val="28"/>
          <w:szCs w:val="28"/>
        </w:rPr>
        <w:t>以下的罚款；违规所得</w:t>
      </w:r>
      <w:r>
        <w:rPr>
          <w:rFonts w:ascii="宋体" w:hAnsi="宋体" w:eastAsia="宋体"/>
          <w:sz w:val="28"/>
          <w:szCs w:val="28"/>
        </w:rPr>
        <w:t>10万元以上的，可以并处违规所得1</w:t>
      </w:r>
      <w:r>
        <w:rPr>
          <w:rFonts w:hint="eastAsia" w:ascii="宋体" w:hAnsi="宋体" w:eastAsia="宋体"/>
          <w:sz w:val="28"/>
          <w:szCs w:val="28"/>
        </w:rPr>
        <w:t>倍以上</w:t>
      </w:r>
      <w:r>
        <w:rPr>
          <w:rFonts w:ascii="宋体" w:hAnsi="宋体" w:eastAsia="宋体"/>
          <w:sz w:val="28"/>
          <w:szCs w:val="28"/>
        </w:rPr>
        <w:t>5</w:t>
      </w:r>
      <w:r>
        <w:rPr>
          <w:rFonts w:hint="eastAsia" w:ascii="宋体" w:hAnsi="宋体" w:eastAsia="宋体"/>
          <w:sz w:val="28"/>
          <w:szCs w:val="28"/>
        </w:rPr>
        <w:t>倍以下的罚款：</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（一）违反国家有关规定参与期货交易的；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（二）出具虚假仓单的；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w:t>
      </w:r>
      <w:r>
        <w:rPr>
          <w:rFonts w:ascii="宋体" w:hAnsi="宋体" w:eastAsia="宋体"/>
          <w:sz w:val="28"/>
          <w:szCs w:val="28"/>
        </w:rPr>
        <w:t>）进行虚假性、</w:t>
      </w:r>
      <w:r>
        <w:rPr>
          <w:rFonts w:hint="eastAsia" w:ascii="宋体" w:hAnsi="宋体" w:eastAsia="宋体"/>
          <w:sz w:val="28"/>
          <w:szCs w:val="28"/>
        </w:rPr>
        <w:t>误导性、故意隐瞒或者遗漏重要事实的申报、陈述、解释或者说明的；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（四）擅自移动、处理或者盗卖交割商品的；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（五）泄露与期货有关不宜公开的仓储信息或者散布虚假信息误导市场的；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（六</w:t>
      </w:r>
      <w:r>
        <w:rPr>
          <w:rFonts w:ascii="宋体" w:hAnsi="宋体" w:eastAsia="宋体"/>
          <w:sz w:val="28"/>
          <w:szCs w:val="28"/>
        </w:rPr>
        <w:t>）</w:t>
      </w:r>
      <w:r>
        <w:rPr>
          <w:rFonts w:hint="eastAsia" w:ascii="宋体" w:hAnsi="宋体" w:eastAsia="宋体"/>
          <w:sz w:val="28"/>
          <w:szCs w:val="28"/>
        </w:rPr>
        <w:t>仓储场地变更、</w:t>
      </w:r>
      <w:r>
        <w:rPr>
          <w:rFonts w:ascii="宋体" w:hAnsi="宋体" w:eastAsia="宋体"/>
          <w:sz w:val="28"/>
          <w:szCs w:val="28"/>
        </w:rPr>
        <w:t>发生交割商品或者仓储设施等被</w:t>
      </w:r>
      <w:r>
        <w:rPr>
          <w:rFonts w:hint="eastAsia" w:ascii="宋体" w:hAnsi="宋体" w:eastAsia="宋体"/>
          <w:sz w:val="28"/>
          <w:szCs w:val="28"/>
        </w:rPr>
        <w:t>司法机关</w:t>
      </w:r>
      <w:r>
        <w:rPr>
          <w:rFonts w:ascii="宋体" w:hAnsi="宋体" w:eastAsia="宋体"/>
          <w:sz w:val="28"/>
          <w:szCs w:val="28"/>
        </w:rPr>
        <w:t>查封、扣押</w:t>
      </w:r>
      <w:r>
        <w:rPr>
          <w:rFonts w:hint="eastAsia" w:ascii="宋体" w:hAnsi="宋体" w:eastAsia="宋体"/>
          <w:sz w:val="28"/>
          <w:szCs w:val="28"/>
        </w:rPr>
        <w:t>或者交割商品严重受损、灭失等风险事件，未及时向交易所报告或者未按交易所要求向市场公告的；</w:t>
      </w:r>
    </w:p>
    <w:p>
      <w:pPr>
        <w:spacing w:line="360" w:lineRule="auto"/>
        <w:ind w:firstLine="560" w:firstLineChars="200"/>
        <w:rPr>
          <w:rFonts w:ascii="宋体" w:hAnsi="宋体" w:eastAsia="宋体"/>
          <w:sz w:val="28"/>
          <w:szCs w:val="28"/>
          <w:shd w:val="pct10" w:color="auto" w:fill="FFFFFF"/>
        </w:rPr>
      </w:pPr>
      <w:r>
        <w:rPr>
          <w:rFonts w:hint="eastAsia" w:ascii="宋体" w:hAnsi="宋体" w:eastAsia="宋体"/>
          <w:sz w:val="28"/>
          <w:szCs w:val="28"/>
        </w:rPr>
        <w:t>（七）与他人联手，影响或者企图影响期货市场价格的；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（八）标准仓单所示商品中有牌号、商标、规格、质量等混杂的；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（九）交割商品与单证不符的；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（十）交割商品没有或者缺少规定证明文件的；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（十一）交割商品的捆数、块数、包装要求和交易所规定不符的；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（十二）未完成规定的检验项目而开具仓单的；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（十三）未在标准仓单管理系统中对信息进行审核，或者未及时、有效维护库存等数据，造成严重后果的；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（十四）错收错发的；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（十五）因保管不当，引起储存商品变质、灭失的；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（十六）在搬运、装卸、堆码等作业过程中造成包装和商品损坏的；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（十七）商品交割中滥行收费的；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（十八）蓄意刁难，造成卖方或者买方违约的；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（十九）违反期货交割业务规则，限制、故意拖延交割商品的入库、出库的；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（二十）拒绝、阻挠交易所依法依规监督检查的；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（二十一）无正当理由未按照协议约定提供最低保证库容的；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（二十二）无正当理由不按时交货或者不配合指定检验机构检验的；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（二十三）违反中国证监会和交易所规定的其他行为。</w:t>
      </w:r>
    </w:p>
    <w:p>
      <w:pPr>
        <w:spacing w:line="360" w:lineRule="auto"/>
        <w:ind w:firstLine="554" w:firstLineChars="198"/>
        <w:rPr>
          <w:rFonts w:ascii="宋体" w:hAnsi="宋体" w:eastAsia="宋体"/>
          <w:sz w:val="28"/>
          <w:szCs w:val="28"/>
        </w:rPr>
      </w:pPr>
      <w:r>
        <w:rPr>
          <w:rFonts w:hint="eastAsia" w:ascii="宋体" w:hAnsi="宋体" w:eastAsia="宋体"/>
          <w:sz w:val="28"/>
          <w:szCs w:val="28"/>
        </w:rPr>
        <w:t>车（船）板交割服务机构具有前款所列违规行为的，按照前款规定予以处理。</w:t>
      </w:r>
    </w:p>
    <w:p>
      <w:pPr>
        <w:spacing w:line="360" w:lineRule="auto"/>
        <w:ind w:firstLine="560" w:firstLineChars="200"/>
        <w:rPr>
          <w:rFonts w:ascii="宋体" w:hAnsi="宋体" w:eastAsia="宋体"/>
          <w:sz w:val="28"/>
          <w:szCs w:val="28"/>
        </w:rPr>
      </w:pPr>
      <w:bookmarkStart w:id="40" w:name="OLE_LINK10"/>
      <w:bookmarkStart w:id="41" w:name="OLE_LINK9"/>
      <w:r>
        <w:rPr>
          <w:rFonts w:hint="eastAsia" w:ascii="黑体" w:hAnsi="黑体" w:eastAsia="黑体"/>
          <w:sz w:val="28"/>
          <w:szCs w:val="28"/>
        </w:rPr>
        <w:t xml:space="preserve">第三十六条 </w:t>
      </w:r>
      <w:r>
        <w:rPr>
          <w:rFonts w:hint="eastAsia" w:ascii="宋体" w:hAnsi="宋体" w:eastAsia="宋体"/>
          <w:sz w:val="28"/>
          <w:szCs w:val="28"/>
        </w:rPr>
        <w:t>期货市场参与者在实物交割环节违约</w:t>
      </w:r>
      <w:bookmarkStart w:id="42" w:name="OLE_LINK98"/>
      <w:bookmarkStart w:id="43" w:name="OLE_LINK97"/>
      <w:r>
        <w:rPr>
          <w:rFonts w:hint="eastAsia" w:ascii="宋体" w:hAnsi="宋体" w:eastAsia="宋体"/>
          <w:sz w:val="28"/>
          <w:szCs w:val="28"/>
        </w:rPr>
        <w:t>或者采用其他不正当手段，</w:t>
      </w:r>
      <w:bookmarkEnd w:id="42"/>
      <w:bookmarkEnd w:id="43"/>
      <w:r>
        <w:rPr>
          <w:rFonts w:hint="eastAsia" w:ascii="宋体" w:hAnsi="宋体" w:eastAsia="宋体"/>
          <w:sz w:val="28"/>
          <w:szCs w:val="28"/>
        </w:rPr>
        <w:t>扰乱实物交割的正常秩序的</w:t>
      </w:r>
      <w:r>
        <w:rPr>
          <w:rFonts w:ascii="宋体" w:hAnsi="宋体" w:eastAsia="宋体"/>
          <w:sz w:val="28"/>
          <w:szCs w:val="28"/>
        </w:rPr>
        <w:t xml:space="preserve">, </w:t>
      </w:r>
      <w:r>
        <w:rPr>
          <w:rFonts w:hint="eastAsia" w:ascii="宋体" w:hAnsi="宋体" w:eastAsia="宋体"/>
          <w:sz w:val="28"/>
          <w:szCs w:val="28"/>
        </w:rPr>
        <w:t>交易所可以根据情节轻重给予警告、通报批评、公开谴责、暂停开仓交易</w:t>
      </w:r>
      <w:r>
        <w:rPr>
          <w:rFonts w:ascii="宋体" w:hAnsi="宋体" w:eastAsia="宋体"/>
          <w:sz w:val="28"/>
          <w:szCs w:val="28"/>
        </w:rPr>
        <w:t>12个月以下</w:t>
      </w:r>
      <w:r>
        <w:rPr>
          <w:rFonts w:hint="eastAsia" w:ascii="宋体" w:hAnsi="宋体" w:eastAsia="宋体"/>
          <w:sz w:val="28"/>
          <w:szCs w:val="28"/>
        </w:rPr>
        <w:t>、</w:t>
      </w:r>
      <w:r>
        <w:rPr>
          <w:rFonts w:ascii="宋体" w:hAnsi="宋体" w:eastAsia="宋体"/>
          <w:sz w:val="28"/>
          <w:szCs w:val="28"/>
        </w:rPr>
        <w:t xml:space="preserve">暂停部分期货或者期权业务的纪律处分, </w:t>
      </w:r>
      <w:r>
        <w:rPr>
          <w:rFonts w:hint="eastAsia" w:ascii="宋体" w:hAnsi="宋体" w:eastAsia="宋体"/>
          <w:sz w:val="28"/>
          <w:szCs w:val="28"/>
        </w:rPr>
        <w:t>可以并处5</w:t>
      </w:r>
      <w:r>
        <w:rPr>
          <w:rFonts w:ascii="宋体" w:hAnsi="宋体" w:eastAsia="宋体"/>
          <w:sz w:val="28"/>
          <w:szCs w:val="28"/>
        </w:rPr>
        <w:t>0万元以下</w:t>
      </w:r>
      <w:r>
        <w:rPr>
          <w:rFonts w:hint="eastAsia" w:ascii="宋体" w:hAnsi="宋体" w:eastAsia="宋体"/>
          <w:sz w:val="28"/>
          <w:szCs w:val="28"/>
        </w:rPr>
        <w:t>的罚款。</w:t>
      </w:r>
    </w:p>
    <w:bookmarkEnd w:id="40"/>
    <w:bookmarkEnd w:id="41"/>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第三十七条 </w:t>
      </w:r>
      <w:r>
        <w:rPr>
          <w:rFonts w:hint="eastAsia" w:ascii="宋体" w:hAnsi="宋体" w:eastAsia="宋体"/>
          <w:sz w:val="28"/>
          <w:szCs w:val="28"/>
        </w:rPr>
        <w:t>指定检验机构具有下列行为之一的，责令改正，交易所可以根据情节轻重给予警告、通报批评、公开谴责、暂停指定检验业务、取消指定检验机构资格的纪律处分，可以并处50万元以下的罚款</w:t>
      </w:r>
      <w:r>
        <w:rPr>
          <w:rFonts w:ascii="宋体" w:hAnsi="宋体" w:eastAsia="宋体"/>
          <w:sz w:val="28"/>
          <w:szCs w:val="28"/>
        </w:rPr>
        <w:t>：</w:t>
      </w:r>
      <w:r>
        <w:rPr>
          <w:rFonts w:ascii="宋体" w:hAnsi="宋体" w:eastAsia="宋体"/>
          <w:sz w:val="28"/>
          <w:szCs w:val="28"/>
        </w:rPr>
        <w:br w:type="textWrapping"/>
      </w:r>
      <w:r>
        <w:rPr>
          <w:rFonts w:hint="eastAsia" w:ascii="宋体" w:hAnsi="宋体" w:eastAsia="宋体"/>
          <w:sz w:val="28"/>
          <w:szCs w:val="28"/>
        </w:rPr>
        <w:t xml:space="preserve">    （一）违反有关规定计量检验的；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（二）出具、协助出具虚假检验报告的；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（三）无正当理由拒不配合交割仓库或者货主及时进行检验，影响正常入出库的；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（四）违反交易所有关指定检验机构管理规定的其他行为。</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第三十八条 </w:t>
      </w:r>
      <w:r>
        <w:rPr>
          <w:rFonts w:hint="eastAsia" w:ascii="宋体" w:hAnsi="宋体" w:eastAsia="宋体"/>
          <w:sz w:val="28"/>
          <w:szCs w:val="28"/>
        </w:rPr>
        <w:t>存管银行未履行《郑州商品交易所期货结算管理办法》《郑州商品交易所指定存管银行管理办法》等业务规则中存管银行相关义务的，责令改正，交易所可以根据情节轻重给予警告、通报批评、公开谴责、暂停部分存管业务、取消存管银行资格的纪律处分，可以并处50万元以下的罚款。</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第三十九条 </w:t>
      </w:r>
      <w:r>
        <w:rPr>
          <w:rFonts w:hint="eastAsia" w:ascii="宋体" w:hAnsi="宋体" w:eastAsia="宋体"/>
          <w:sz w:val="28"/>
          <w:szCs w:val="28"/>
        </w:rPr>
        <w:t>期货市场参与者以各种手段扰乱交易管理秩序的，</w:t>
      </w:r>
      <w:r>
        <w:rPr>
          <w:rFonts w:ascii="宋体" w:hAnsi="宋体" w:eastAsia="宋体"/>
          <w:sz w:val="28"/>
          <w:szCs w:val="28"/>
        </w:rPr>
        <w:t xml:space="preserve"> </w:t>
      </w:r>
      <w:r>
        <w:rPr>
          <w:rFonts w:hint="eastAsia" w:ascii="宋体" w:hAnsi="宋体" w:eastAsia="宋体"/>
          <w:sz w:val="28"/>
          <w:szCs w:val="28"/>
        </w:rPr>
        <w:t>责令改正，交易所可以根据情节轻重给予警告、通报批评、公开谴责、暂停开仓交易</w:t>
      </w:r>
      <w:r>
        <w:rPr>
          <w:rFonts w:ascii="宋体" w:hAnsi="宋体" w:eastAsia="宋体"/>
          <w:sz w:val="28"/>
          <w:szCs w:val="28"/>
        </w:rPr>
        <w:t>12个月以下、</w:t>
      </w:r>
      <w:r>
        <w:rPr>
          <w:rFonts w:hint="eastAsia" w:ascii="宋体" w:hAnsi="宋体" w:eastAsia="宋体"/>
          <w:sz w:val="28"/>
          <w:szCs w:val="28"/>
        </w:rPr>
        <w:t>暂停部分期货</w:t>
      </w:r>
      <w:r>
        <w:rPr>
          <w:rFonts w:ascii="宋体" w:hAnsi="宋体" w:eastAsia="宋体"/>
          <w:sz w:val="28"/>
          <w:szCs w:val="28"/>
        </w:rPr>
        <w:t>或者期权</w:t>
      </w:r>
      <w:r>
        <w:rPr>
          <w:rFonts w:hint="eastAsia" w:ascii="宋体" w:hAnsi="宋体" w:eastAsia="宋体"/>
          <w:sz w:val="28"/>
          <w:szCs w:val="28"/>
        </w:rPr>
        <w:t>业务、取消相应资格、宣布为“市场禁止进入者”的纪律处分，可以并处5</w:t>
      </w:r>
      <w:r>
        <w:rPr>
          <w:rFonts w:ascii="宋体" w:hAnsi="宋体" w:eastAsia="宋体"/>
          <w:sz w:val="28"/>
          <w:szCs w:val="28"/>
        </w:rPr>
        <w:t>0万元</w:t>
      </w:r>
      <w:r>
        <w:rPr>
          <w:rFonts w:hint="eastAsia" w:ascii="宋体" w:hAnsi="宋体" w:eastAsia="宋体"/>
          <w:sz w:val="28"/>
          <w:szCs w:val="28"/>
        </w:rPr>
        <w:t>以下的</w:t>
      </w:r>
      <w:r>
        <w:rPr>
          <w:rFonts w:ascii="宋体" w:hAnsi="宋体" w:eastAsia="宋体"/>
          <w:sz w:val="28"/>
          <w:szCs w:val="28"/>
        </w:rPr>
        <w:t>罚款</w:t>
      </w:r>
      <w:r>
        <w:rPr>
          <w:rFonts w:hint="eastAsia" w:ascii="宋体" w:hAnsi="宋体" w:eastAsia="宋体"/>
          <w:sz w:val="28"/>
          <w:szCs w:val="28"/>
        </w:rPr>
        <w:t>。</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第四十条 </w:t>
      </w:r>
      <w:r>
        <w:rPr>
          <w:rFonts w:hint="eastAsia" w:ascii="宋体" w:hAnsi="宋体" w:eastAsia="宋体"/>
          <w:sz w:val="28"/>
          <w:szCs w:val="28"/>
        </w:rPr>
        <w:t>期货市场参与者具有下列行为之一的，责令改正，交易所可以根据情节轻重给予警告、通报批评、公开谴责、暂停开仓交易</w:t>
      </w:r>
      <w:r>
        <w:rPr>
          <w:rFonts w:ascii="宋体" w:hAnsi="宋体" w:eastAsia="宋体"/>
          <w:sz w:val="28"/>
          <w:szCs w:val="28"/>
        </w:rPr>
        <w:t>12个月以</w:t>
      </w:r>
      <w:r>
        <w:rPr>
          <w:rFonts w:hint="eastAsia" w:ascii="宋体" w:hAnsi="宋体" w:eastAsia="宋体"/>
          <w:sz w:val="28"/>
          <w:szCs w:val="28"/>
        </w:rPr>
        <w:t>下、暂停部分期货</w:t>
      </w:r>
      <w:r>
        <w:rPr>
          <w:rFonts w:ascii="宋体" w:hAnsi="宋体" w:eastAsia="宋体"/>
          <w:sz w:val="28"/>
          <w:szCs w:val="28"/>
        </w:rPr>
        <w:t>或者期权</w:t>
      </w:r>
      <w:r>
        <w:rPr>
          <w:rFonts w:hint="eastAsia" w:ascii="宋体" w:hAnsi="宋体" w:eastAsia="宋体"/>
          <w:sz w:val="28"/>
          <w:szCs w:val="28"/>
        </w:rPr>
        <w:t>业务、取消相应资格、宣布为“市场禁止进入者”的纪律处分</w:t>
      </w:r>
      <w:r>
        <w:rPr>
          <w:rFonts w:ascii="宋体" w:hAnsi="宋体" w:eastAsia="宋体"/>
          <w:sz w:val="28"/>
          <w:szCs w:val="28"/>
        </w:rPr>
        <w:t xml:space="preserve">, </w:t>
      </w:r>
      <w:r>
        <w:rPr>
          <w:rFonts w:hint="eastAsia" w:ascii="宋体" w:hAnsi="宋体" w:eastAsia="宋体"/>
          <w:sz w:val="28"/>
          <w:szCs w:val="28"/>
        </w:rPr>
        <w:t>可以并处</w:t>
      </w:r>
      <w:r>
        <w:rPr>
          <w:rFonts w:ascii="宋体" w:hAnsi="宋体" w:eastAsia="宋体"/>
          <w:sz w:val="28"/>
          <w:szCs w:val="28"/>
        </w:rPr>
        <w:t>50万元</w:t>
      </w:r>
      <w:r>
        <w:rPr>
          <w:rFonts w:hint="eastAsia" w:ascii="宋体" w:hAnsi="宋体" w:eastAsia="宋体"/>
          <w:sz w:val="28"/>
          <w:szCs w:val="28"/>
        </w:rPr>
        <w:t>以下的罚款：</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（一）拒绝、阻碍、拖延等不配合交易所检查、调查，或者违反保密义务的；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（二）无正当理由未按交易所要求的时间、方式接受调查、检查、约谈的；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（三）进行虚假性、误导性或者遗漏重要事实的申报、陈述、解释或者说明，或者提供虚假的文件、资料或者信息的；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（四）不执行交易所纪律处分决定、限制性措施或者其他自律管理措施的；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（五）未遵守交易所风险警示制度有关规定或者整改要求的。</w:t>
      </w:r>
    </w:p>
    <w:p>
      <w:pPr>
        <w:pStyle w:val="14"/>
        <w:numPr>
          <w:ilvl w:val="0"/>
          <w:numId w:val="1"/>
        </w:numPr>
        <w:spacing w:before="240" w:after="240" w:line="360" w:lineRule="auto"/>
        <w:ind w:firstLineChars="0"/>
        <w:jc w:val="center"/>
        <w:rPr>
          <w:rFonts w:ascii="黑体" w:hAnsi="黑体" w:eastAsia="黑体" w:cs="Calibri"/>
          <w:sz w:val="32"/>
          <w:szCs w:val="32"/>
        </w:rPr>
      </w:pPr>
      <w:r>
        <w:rPr>
          <w:rFonts w:hint="eastAsia" w:ascii="黑体" w:hAnsi="黑体" w:eastAsia="黑体" w:cs="Calibri"/>
          <w:sz w:val="32"/>
          <w:szCs w:val="32"/>
        </w:rPr>
        <w:t>裁决与执行</w:t>
      </w:r>
    </w:p>
    <w:p>
      <w:pPr>
        <w:pStyle w:val="6"/>
        <w:shd w:val="clear" w:color="auto" w:fill="FFFFFF"/>
        <w:spacing w:before="0" w:beforeAutospacing="0" w:after="0" w:afterAutospacing="0" w:line="360" w:lineRule="auto"/>
        <w:ind w:left="0" w:leftChars="0" w:firstLine="548" w:firstLineChars="196"/>
        <w:rPr>
          <w:sz w:val="28"/>
          <w:szCs w:val="28"/>
        </w:rPr>
      </w:pPr>
      <w:r>
        <w:rPr>
          <w:rFonts w:hint="eastAsia" w:ascii="黑体" w:hAnsi="黑体" w:eastAsia="黑体" w:cs="Times New Roman"/>
          <w:kern w:val="2"/>
          <w:sz w:val="28"/>
          <w:szCs w:val="28"/>
        </w:rPr>
        <w:t xml:space="preserve">第四十一条 </w:t>
      </w:r>
      <w:r>
        <w:rPr>
          <w:rFonts w:hint="eastAsia"/>
          <w:sz w:val="28"/>
          <w:szCs w:val="28"/>
        </w:rPr>
        <w:t>交易所对违规行为核查后，事实清楚、证据确凿的，依照交易所章程、交易规则以及本办法规定予以裁决，对实施违规行为的期货市场参与者进行纪律处分或者采取其他自律管理措施。</w:t>
      </w:r>
    </w:p>
    <w:p>
      <w:pPr>
        <w:pStyle w:val="6"/>
        <w:shd w:val="clear" w:color="auto" w:fill="FFFFFF"/>
        <w:spacing w:before="0" w:beforeAutospacing="0" w:after="0" w:afterAutospacing="0" w:line="360" w:lineRule="auto"/>
        <w:ind w:left="0" w:leftChars="0" w:firstLine="548" w:firstLineChars="196"/>
        <w:rPr>
          <w:sz w:val="28"/>
          <w:szCs w:val="28"/>
        </w:rPr>
      </w:pPr>
      <w:r>
        <w:rPr>
          <w:rFonts w:hint="eastAsia"/>
          <w:sz w:val="28"/>
          <w:szCs w:val="28"/>
        </w:rPr>
        <w:t>纪律处分由交易所作出决定并实施，其他自律管理措施由交易所或者交易所指定部门作出决定并实施。</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第四十二条</w:t>
      </w:r>
      <w:r>
        <w:rPr>
          <w:rFonts w:hint="eastAsia" w:ascii="宋体" w:hAnsi="宋体" w:eastAsia="宋体"/>
          <w:sz w:val="28"/>
          <w:szCs w:val="28"/>
        </w:rPr>
        <w:t xml:space="preserve"> 交易所设立纪律处分审理机构，对拟进行纪律处分的违规案件进行审理。</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第四十三条</w:t>
      </w:r>
      <w:r>
        <w:rPr>
          <w:rFonts w:hint="eastAsia" w:ascii="宋体" w:hAnsi="宋体" w:eastAsia="宋体"/>
          <w:sz w:val="28"/>
          <w:szCs w:val="28"/>
        </w:rPr>
        <w:t xml:space="preserve"> 交易所实行纪律处分听证制度。符合听证条件的当事人，交易所应当告知其有权申请纪律处分听证。当事人按照规定申请听证的，交易所应当组织召开听证会议。</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可以申请纪律处分听证的情形及听证具体规则由交易所另行规定。</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第四十四条 </w:t>
      </w:r>
      <w:r>
        <w:rPr>
          <w:rFonts w:hint="eastAsia" w:ascii="宋体" w:hAnsi="宋体" w:eastAsia="宋体"/>
          <w:sz w:val="28"/>
          <w:szCs w:val="28"/>
        </w:rPr>
        <w:t>交易所作出取消会员资格、宣布为“市场禁止进入者”的纪律处分应当由交易所理事会决定。</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第四十五条</w:t>
      </w:r>
      <w:r>
        <w:rPr>
          <w:rFonts w:hint="eastAsia" w:ascii="宋体" w:hAnsi="宋体" w:eastAsia="宋体"/>
          <w:sz w:val="28"/>
          <w:szCs w:val="28"/>
        </w:rPr>
        <w:t xml:space="preserve"> 交易所作出</w:t>
      </w:r>
      <w:r>
        <w:rPr>
          <w:rFonts w:hint="eastAsia" w:ascii="宋体" w:hAnsi="宋体" w:eastAsia="宋体"/>
          <w:bCs/>
          <w:sz w:val="28"/>
          <w:szCs w:val="28"/>
        </w:rPr>
        <w:t>纪律处分</w:t>
      </w:r>
      <w:r>
        <w:rPr>
          <w:rFonts w:hint="eastAsia" w:ascii="宋体" w:hAnsi="宋体" w:eastAsia="宋体"/>
          <w:sz w:val="28"/>
          <w:szCs w:val="28"/>
        </w:rPr>
        <w:t>裁决应当制作纪律处分决定书。</w:t>
      </w:r>
    </w:p>
    <w:p>
      <w:pPr>
        <w:spacing w:line="360" w:lineRule="auto"/>
        <w:ind w:firstLine="560" w:firstLineChars="200"/>
        <w:rPr>
          <w:rFonts w:ascii="宋体" w:hAnsi="宋体" w:eastAsia="宋体"/>
          <w:sz w:val="28"/>
          <w:szCs w:val="28"/>
        </w:rPr>
      </w:pPr>
      <w:r>
        <w:rPr>
          <w:rFonts w:hint="eastAsia" w:ascii="宋体" w:hAnsi="宋体" w:eastAsia="宋体"/>
          <w:sz w:val="28"/>
          <w:szCs w:val="28"/>
        </w:rPr>
        <w:t>纪律处分决定书主要包括以下内容：</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（一）当事人的姓名或者名称、住所；</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（二）违规事实和证据；</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（三）纪律处分种类和依据；</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（四）纪律处分的履行方式和期限；</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（五）不服纪律处分决定申请复核途径和期限；</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（六）作出纪律处分决定的日期。</w:t>
      </w:r>
    </w:p>
    <w:p>
      <w:pPr>
        <w:spacing w:line="360" w:lineRule="auto"/>
        <w:ind w:firstLine="560" w:firstLineChars="200"/>
        <w:rPr>
          <w:rFonts w:ascii="宋体" w:hAnsi="宋体" w:eastAsia="宋体"/>
          <w:dstrike/>
          <w:sz w:val="28"/>
          <w:szCs w:val="28"/>
        </w:rPr>
      </w:pPr>
      <w:r>
        <w:rPr>
          <w:rFonts w:hint="eastAsia" w:ascii="黑体" w:hAnsi="黑体" w:eastAsia="黑体"/>
          <w:sz w:val="28"/>
          <w:szCs w:val="28"/>
        </w:rPr>
        <w:t>第四十六条</w:t>
      </w:r>
      <w:r>
        <w:rPr>
          <w:rFonts w:hint="eastAsia" w:ascii="宋体" w:hAnsi="宋体" w:eastAsia="宋体"/>
          <w:sz w:val="28"/>
          <w:szCs w:val="28"/>
        </w:rPr>
        <w:t xml:space="preserve"> 交易所应当将纪律处分决定书送达当事人，并抄报中国证监会。交易所可以直接或者委托其他机构送达纪律处分决定书，送达方式包括邮寄送达、数据电文送达和公告送达。</w:t>
      </w:r>
    </w:p>
    <w:p>
      <w:pPr>
        <w:spacing w:line="360" w:lineRule="auto"/>
        <w:ind w:firstLine="560" w:firstLineChars="200"/>
        <w:rPr>
          <w:rFonts w:ascii="宋体" w:hAnsi="宋体" w:eastAsia="宋体"/>
          <w:sz w:val="28"/>
          <w:szCs w:val="28"/>
          <w:shd w:val="pct10" w:color="auto" w:fill="FFFFFF"/>
        </w:rPr>
      </w:pPr>
      <w:r>
        <w:rPr>
          <w:rFonts w:hint="eastAsia" w:ascii="宋体" w:hAnsi="宋体" w:eastAsia="宋体"/>
          <w:sz w:val="28"/>
          <w:szCs w:val="28"/>
        </w:rPr>
        <w:t>以邮寄方式送达的，自邮件寄出之日起，境内</w:t>
      </w:r>
      <w:r>
        <w:rPr>
          <w:rFonts w:ascii="宋体" w:hAnsi="宋体" w:eastAsia="宋体"/>
          <w:sz w:val="28"/>
          <w:szCs w:val="28"/>
        </w:rPr>
        <w:t>5个</w:t>
      </w:r>
      <w:r>
        <w:rPr>
          <w:rFonts w:hint="eastAsia" w:ascii="宋体" w:hAnsi="宋体" w:eastAsia="宋体"/>
          <w:sz w:val="28"/>
          <w:szCs w:val="28"/>
        </w:rPr>
        <w:t>交易日</w:t>
      </w:r>
      <w:r>
        <w:rPr>
          <w:rFonts w:ascii="宋体" w:hAnsi="宋体" w:eastAsia="宋体"/>
          <w:sz w:val="28"/>
          <w:szCs w:val="28"/>
        </w:rPr>
        <w:t>、境外10个</w:t>
      </w:r>
      <w:r>
        <w:rPr>
          <w:rFonts w:hint="eastAsia" w:ascii="宋体" w:hAnsi="宋体" w:eastAsia="宋体"/>
          <w:sz w:val="28"/>
          <w:szCs w:val="28"/>
        </w:rPr>
        <w:t>交易</w:t>
      </w:r>
      <w:r>
        <w:rPr>
          <w:rFonts w:ascii="宋体" w:hAnsi="宋体" w:eastAsia="宋体"/>
          <w:sz w:val="28"/>
          <w:szCs w:val="28"/>
        </w:rPr>
        <w:t>日</w:t>
      </w:r>
      <w:r>
        <w:rPr>
          <w:rFonts w:hint="eastAsia" w:ascii="宋体" w:hAnsi="宋体" w:eastAsia="宋体"/>
          <w:sz w:val="28"/>
          <w:szCs w:val="28"/>
        </w:rPr>
        <w:t>即</w:t>
      </w:r>
      <w:r>
        <w:rPr>
          <w:rFonts w:ascii="宋体" w:hAnsi="宋体" w:eastAsia="宋体"/>
          <w:sz w:val="28"/>
          <w:szCs w:val="28"/>
        </w:rPr>
        <w:t>视为送达</w:t>
      </w:r>
      <w:r>
        <w:rPr>
          <w:rFonts w:hint="eastAsia" w:ascii="宋体" w:hAnsi="宋体" w:eastAsia="宋体"/>
          <w:sz w:val="28"/>
          <w:szCs w:val="28"/>
        </w:rPr>
        <w:t>。以数据电文方式送达的，该数据电文进入当事人的特定系统即视为送达。</w:t>
      </w:r>
    </w:p>
    <w:p>
      <w:pPr>
        <w:spacing w:line="360" w:lineRule="auto"/>
        <w:ind w:firstLine="551" w:firstLineChars="197"/>
        <w:rPr>
          <w:rFonts w:ascii="宋体" w:hAnsi="宋体" w:eastAsia="宋体"/>
          <w:sz w:val="28"/>
          <w:szCs w:val="28"/>
        </w:rPr>
      </w:pPr>
      <w:r>
        <w:rPr>
          <w:rFonts w:hint="eastAsia" w:ascii="宋体" w:hAnsi="宋体" w:eastAsia="宋体"/>
          <w:sz w:val="28"/>
          <w:szCs w:val="28"/>
        </w:rPr>
        <w:t>当事人下落不明、躲避或者规避送达、通过其他方式无法送达的，交易所可以在本所网站发布公告，自公告之日起满</w:t>
      </w:r>
      <w:r>
        <w:rPr>
          <w:rFonts w:ascii="宋体" w:hAnsi="宋体" w:eastAsia="宋体"/>
          <w:sz w:val="28"/>
          <w:szCs w:val="28"/>
        </w:rPr>
        <w:t>10</w:t>
      </w:r>
      <w:r>
        <w:rPr>
          <w:rFonts w:hint="eastAsia" w:ascii="宋体" w:hAnsi="宋体" w:eastAsia="宋体"/>
          <w:sz w:val="28"/>
          <w:szCs w:val="28"/>
        </w:rPr>
        <w:t>个交易日即视为送达。</w:t>
      </w:r>
    </w:p>
    <w:p>
      <w:pPr>
        <w:spacing w:line="360" w:lineRule="auto"/>
        <w:ind w:firstLine="551" w:firstLineChars="197"/>
        <w:rPr>
          <w:rFonts w:ascii="宋体" w:hAnsi="宋体" w:eastAsia="宋体"/>
          <w:sz w:val="28"/>
          <w:szCs w:val="28"/>
        </w:rPr>
      </w:pPr>
      <w:r>
        <w:rPr>
          <w:rFonts w:hint="eastAsia" w:ascii="宋体" w:hAnsi="宋体" w:eastAsia="宋体"/>
          <w:sz w:val="28"/>
          <w:szCs w:val="28"/>
        </w:rPr>
        <w:t>通过两种以上方式送达的，以最先送达之日为送达日期。</w:t>
      </w:r>
    </w:p>
    <w:p>
      <w:pPr>
        <w:spacing w:line="360" w:lineRule="auto"/>
        <w:ind w:firstLine="551" w:firstLineChars="197"/>
        <w:rPr>
          <w:rFonts w:ascii="宋体" w:hAnsi="宋体" w:eastAsia="宋体"/>
          <w:sz w:val="28"/>
          <w:szCs w:val="28"/>
        </w:rPr>
      </w:pPr>
      <w:r>
        <w:rPr>
          <w:rFonts w:hint="eastAsia" w:ascii="宋体" w:hAnsi="宋体" w:eastAsia="宋体"/>
          <w:sz w:val="28"/>
          <w:szCs w:val="28"/>
        </w:rPr>
        <w:t>当事人的邮寄地址、传真号码、电话号码、电子邮箱等联系方式以期货市场统一开户系统留存为准。当事人留存联系方式不准确或者信息变更未书面告知交易所的，应当承担无法接收纪律处分决定书的相应后果。</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交易所有关违规调查处理的文书、通知、材料等，可以参照前款规定进行送达。</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第四十七条 </w:t>
      </w:r>
      <w:r>
        <w:rPr>
          <w:rFonts w:hint="eastAsia" w:ascii="宋体" w:hAnsi="宋体" w:eastAsia="宋体"/>
          <w:sz w:val="28"/>
          <w:szCs w:val="28"/>
        </w:rPr>
        <w:t>交易所作出的纪律处分决定书自送达之日起生效。</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当事人对纪律处分决定书不服的，可以于决定书生效之日起</w:t>
      </w:r>
      <w:r>
        <w:rPr>
          <w:rFonts w:ascii="宋体" w:hAnsi="宋体" w:eastAsia="宋体"/>
          <w:sz w:val="28"/>
          <w:szCs w:val="28"/>
        </w:rPr>
        <w:t>10个</w:t>
      </w:r>
      <w:r>
        <w:rPr>
          <w:rFonts w:hint="eastAsia" w:ascii="宋体" w:hAnsi="宋体" w:eastAsia="宋体"/>
          <w:sz w:val="28"/>
          <w:szCs w:val="28"/>
        </w:rPr>
        <w:t>交易</w:t>
      </w:r>
      <w:r>
        <w:rPr>
          <w:rFonts w:ascii="宋体" w:hAnsi="宋体" w:eastAsia="宋体"/>
          <w:sz w:val="28"/>
          <w:szCs w:val="28"/>
        </w:rPr>
        <w:t>日内向交易所书面申请复核一次。复核期间不停止决定的执行。</w:t>
      </w:r>
    </w:p>
    <w:p>
      <w:pPr>
        <w:spacing w:line="360" w:lineRule="auto"/>
        <w:ind w:firstLine="560" w:firstLineChars="200"/>
        <w:rPr>
          <w:rFonts w:ascii="宋体" w:hAnsi="宋体" w:eastAsia="宋体"/>
          <w:color w:val="333333"/>
          <w:sz w:val="28"/>
          <w:szCs w:val="28"/>
        </w:rPr>
      </w:pPr>
      <w:r>
        <w:rPr>
          <w:rFonts w:hint="eastAsia" w:ascii="黑体" w:hAnsi="黑体" w:eastAsia="黑体"/>
          <w:sz w:val="28"/>
          <w:szCs w:val="28"/>
        </w:rPr>
        <w:t xml:space="preserve">第四十八条 </w:t>
      </w:r>
      <w:r>
        <w:rPr>
          <w:rFonts w:hint="eastAsia" w:ascii="宋体" w:hAnsi="宋体" w:eastAsia="宋体"/>
          <w:sz w:val="28"/>
          <w:szCs w:val="28"/>
        </w:rPr>
        <w:t>交易所应当于收到</w:t>
      </w:r>
      <w:r>
        <w:rPr>
          <w:rFonts w:ascii="宋体" w:hAnsi="宋体" w:eastAsia="宋体"/>
          <w:sz w:val="28"/>
          <w:szCs w:val="28"/>
        </w:rPr>
        <w:t>复核</w:t>
      </w:r>
      <w:r>
        <w:rPr>
          <w:rFonts w:hint="eastAsia" w:ascii="宋体" w:hAnsi="宋体" w:eastAsia="宋体"/>
          <w:sz w:val="28"/>
          <w:szCs w:val="28"/>
        </w:rPr>
        <w:t>申请书之日起两</w:t>
      </w:r>
      <w:r>
        <w:rPr>
          <w:rFonts w:ascii="宋体" w:hAnsi="宋体" w:eastAsia="宋体"/>
          <w:sz w:val="28"/>
          <w:szCs w:val="28"/>
        </w:rPr>
        <w:t>个月</w:t>
      </w:r>
      <w:r>
        <w:rPr>
          <w:rFonts w:hint="eastAsia" w:ascii="宋体" w:hAnsi="宋体" w:eastAsia="宋体"/>
          <w:sz w:val="28"/>
          <w:szCs w:val="28"/>
        </w:rPr>
        <w:t>内作出</w:t>
      </w:r>
      <w:r>
        <w:rPr>
          <w:rFonts w:ascii="宋体" w:hAnsi="宋体" w:eastAsia="宋体"/>
          <w:sz w:val="28"/>
          <w:szCs w:val="28"/>
        </w:rPr>
        <w:t>复核</w:t>
      </w:r>
      <w:r>
        <w:rPr>
          <w:rFonts w:hint="eastAsia" w:ascii="宋体" w:hAnsi="宋体" w:eastAsia="宋体"/>
          <w:sz w:val="28"/>
          <w:szCs w:val="28"/>
        </w:rPr>
        <w:t>决定，</w:t>
      </w:r>
      <w:r>
        <w:rPr>
          <w:rFonts w:ascii="宋体" w:hAnsi="宋体" w:eastAsia="宋体"/>
          <w:sz w:val="28"/>
          <w:szCs w:val="28"/>
        </w:rPr>
        <w:t>复核</w:t>
      </w:r>
      <w:r>
        <w:rPr>
          <w:rFonts w:hint="eastAsia" w:ascii="宋体" w:hAnsi="宋体" w:eastAsia="宋体"/>
          <w:sz w:val="28"/>
          <w:szCs w:val="28"/>
        </w:rPr>
        <w:t>决定为终局决定。</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第四十九条</w:t>
      </w:r>
      <w:r>
        <w:rPr>
          <w:rFonts w:hint="eastAsia" w:ascii="宋体" w:hAnsi="宋体" w:eastAsia="宋体"/>
          <w:sz w:val="28"/>
          <w:szCs w:val="28"/>
        </w:rPr>
        <w:t xml:space="preserve"> 期货市场参与者应当履行或者配合履行交易所纪律处分决定。期货市场参与者不履行或者不配合履行纪律处分决定相关义务的</w:t>
      </w:r>
      <w:r>
        <w:rPr>
          <w:rFonts w:ascii="宋体" w:hAnsi="宋体" w:eastAsia="宋体"/>
          <w:sz w:val="28"/>
          <w:szCs w:val="28"/>
        </w:rPr>
        <w:t>,</w:t>
      </w:r>
      <w:r>
        <w:rPr>
          <w:rFonts w:hint="eastAsia" w:ascii="宋体" w:hAnsi="宋体" w:eastAsia="宋体"/>
          <w:sz w:val="28"/>
          <w:szCs w:val="28"/>
        </w:rPr>
        <w:t>交易所可以强制执行。</w:t>
      </w:r>
    </w:p>
    <w:p>
      <w:pPr>
        <w:spacing w:line="360" w:lineRule="auto"/>
        <w:ind w:firstLine="560" w:firstLineChars="200"/>
        <w:rPr>
          <w:rFonts w:ascii="宋体" w:hAnsi="宋体" w:eastAsia="宋体"/>
          <w:dstrike/>
          <w:sz w:val="28"/>
          <w:szCs w:val="28"/>
        </w:rPr>
      </w:pPr>
      <w:r>
        <w:rPr>
          <w:rFonts w:hint="eastAsia" w:ascii="黑体" w:hAnsi="黑体" w:eastAsia="黑体"/>
          <w:sz w:val="28"/>
          <w:szCs w:val="28"/>
        </w:rPr>
        <w:t>第五十条</w:t>
      </w:r>
      <w:r>
        <w:rPr>
          <w:rFonts w:hint="eastAsia" w:ascii="宋体" w:hAnsi="宋体" w:eastAsia="宋体"/>
          <w:sz w:val="28"/>
          <w:szCs w:val="28"/>
        </w:rPr>
        <w:t xml:space="preserve"> 纪律处分决定中，</w:t>
      </w:r>
      <w:r>
        <w:rPr>
          <w:rFonts w:ascii="宋体" w:hAnsi="宋体" w:eastAsia="宋体"/>
          <w:sz w:val="28"/>
          <w:szCs w:val="28"/>
        </w:rPr>
        <w:t>具有罚没款项的</w:t>
      </w:r>
      <w:r>
        <w:rPr>
          <w:rFonts w:hint="eastAsia" w:ascii="宋体" w:hAnsi="宋体" w:eastAsia="宋体"/>
          <w:sz w:val="28"/>
          <w:szCs w:val="28"/>
        </w:rPr>
        <w:t>，</w:t>
      </w:r>
      <w:r>
        <w:rPr>
          <w:rFonts w:ascii="宋体" w:hAnsi="宋体" w:eastAsia="宋体"/>
          <w:sz w:val="28"/>
          <w:szCs w:val="28"/>
        </w:rPr>
        <w:t>当事人应</w:t>
      </w:r>
      <w:r>
        <w:rPr>
          <w:rFonts w:hint="eastAsia" w:ascii="宋体" w:hAnsi="宋体" w:eastAsia="宋体"/>
          <w:sz w:val="28"/>
          <w:szCs w:val="28"/>
        </w:rPr>
        <w:t>当在纪律处分决定书生效之日起</w:t>
      </w:r>
      <w:r>
        <w:rPr>
          <w:rFonts w:ascii="宋体" w:hAnsi="宋体" w:eastAsia="宋体"/>
          <w:sz w:val="28"/>
          <w:szCs w:val="28"/>
        </w:rPr>
        <w:t>5个</w:t>
      </w:r>
      <w:r>
        <w:rPr>
          <w:rFonts w:hint="eastAsia" w:ascii="宋体" w:hAnsi="宋体" w:eastAsia="宋体"/>
          <w:sz w:val="28"/>
          <w:szCs w:val="28"/>
        </w:rPr>
        <w:t>交易</w:t>
      </w:r>
      <w:r>
        <w:rPr>
          <w:rFonts w:ascii="宋体" w:hAnsi="宋体" w:eastAsia="宋体"/>
          <w:sz w:val="28"/>
          <w:szCs w:val="28"/>
        </w:rPr>
        <w:t>日内将罚没款项如数缴纳至交易所指定账户。</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对会员工作人员的罚没款项，由会员代缴</w:t>
      </w:r>
      <w:r>
        <w:rPr>
          <w:rFonts w:ascii="宋体" w:hAnsi="宋体" w:eastAsia="宋体"/>
          <w:sz w:val="28"/>
          <w:szCs w:val="28"/>
        </w:rPr>
        <w:t>;</w:t>
      </w:r>
      <w:r>
        <w:rPr>
          <w:rFonts w:hint="eastAsia" w:ascii="宋体" w:hAnsi="宋体" w:eastAsia="宋体"/>
          <w:sz w:val="28"/>
          <w:szCs w:val="28"/>
        </w:rPr>
        <w:t>对交割仓库工作人员的罚没款项，由交割仓库代缴。交割仓库逾期不缴纳罚没款项的，交易所可以从其交割担保金中扣划。</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会员、境外经纪机构应当配合执行交易所对客户、做市商的纪律处分，划拨客户、做市商在该会员处的资金。</w:t>
      </w:r>
    </w:p>
    <w:p>
      <w:pPr>
        <w:spacing w:line="360" w:lineRule="auto"/>
        <w:ind w:firstLine="560" w:firstLineChars="200"/>
        <w:rPr>
          <w:rFonts w:ascii="宋体" w:hAnsi="宋体" w:eastAsia="宋体"/>
          <w:sz w:val="28"/>
          <w:szCs w:val="28"/>
          <w:shd w:val="pct10" w:color="auto" w:fill="FFFFFF"/>
        </w:rPr>
      </w:pPr>
      <w:r>
        <w:rPr>
          <w:rFonts w:hint="eastAsia" w:ascii="宋体" w:hAnsi="宋体" w:eastAsia="宋体"/>
          <w:sz w:val="28"/>
          <w:szCs w:val="28"/>
        </w:rPr>
        <w:t>期货市场参与者逾期不缴纳罚没款项的，交易所可以对其采取暂停开仓交易、暂停部分期货</w:t>
      </w:r>
      <w:r>
        <w:rPr>
          <w:rFonts w:ascii="宋体" w:hAnsi="宋体" w:eastAsia="宋体"/>
          <w:sz w:val="28"/>
          <w:szCs w:val="28"/>
        </w:rPr>
        <w:t>或者期权</w:t>
      </w:r>
      <w:r>
        <w:rPr>
          <w:rFonts w:hint="eastAsia" w:ascii="宋体" w:hAnsi="宋体" w:eastAsia="宋体"/>
          <w:sz w:val="28"/>
          <w:szCs w:val="28"/>
        </w:rPr>
        <w:t>业务等措施直至其缴纳罚没款项。</w:t>
      </w:r>
    </w:p>
    <w:p>
      <w:pPr>
        <w:spacing w:line="360" w:lineRule="auto"/>
        <w:ind w:firstLine="560" w:firstLineChars="200"/>
        <w:rPr>
          <w:rFonts w:ascii="宋体" w:hAnsi="宋体" w:eastAsia="宋体"/>
          <w:sz w:val="28"/>
          <w:szCs w:val="28"/>
        </w:rPr>
      </w:pPr>
      <w:r>
        <w:rPr>
          <w:rFonts w:hint="eastAsia" w:ascii="黑体" w:hAnsi="黑体" w:eastAsia="黑体"/>
          <w:sz w:val="28"/>
          <w:szCs w:val="28"/>
        </w:rPr>
        <w:t xml:space="preserve">第五十一条 </w:t>
      </w:r>
      <w:r>
        <w:rPr>
          <w:rFonts w:hint="eastAsia" w:ascii="宋体" w:hAnsi="宋体" w:eastAsia="宋体"/>
          <w:sz w:val="28"/>
          <w:szCs w:val="28"/>
        </w:rPr>
        <w:t>被交易所宣布为“市场禁止进入者”的</w:t>
      </w:r>
      <w:r>
        <w:rPr>
          <w:rFonts w:ascii="宋体" w:hAnsi="宋体" w:eastAsia="宋体"/>
          <w:sz w:val="28"/>
          <w:szCs w:val="28"/>
        </w:rPr>
        <w:t xml:space="preserve">,应当自宣布生效之日起20个交易日内清理原有持仓,了结交易业务, </w:t>
      </w:r>
      <w:r>
        <w:rPr>
          <w:rFonts w:hint="eastAsia" w:ascii="宋体" w:hAnsi="宋体" w:eastAsia="宋体"/>
          <w:sz w:val="28"/>
          <w:szCs w:val="28"/>
        </w:rPr>
        <w:t>结清债权债务。未在规定时间内清理持仓的，交易所予以强行平仓。</w:t>
      </w:r>
    </w:p>
    <w:p>
      <w:pPr>
        <w:spacing w:line="360" w:lineRule="auto"/>
        <w:ind w:firstLine="560" w:firstLineChars="200"/>
        <w:rPr>
          <w:rFonts w:ascii="宋体" w:hAnsi="宋体" w:eastAsia="宋体"/>
          <w:sz w:val="28"/>
          <w:szCs w:val="28"/>
        </w:rPr>
      </w:pPr>
      <w:r>
        <w:rPr>
          <w:rFonts w:hint="eastAsia" w:ascii="宋体" w:hAnsi="宋体" w:eastAsia="宋体"/>
          <w:sz w:val="28"/>
          <w:szCs w:val="28"/>
        </w:rPr>
        <w:t>被中国证监会或者其他期货交易所宣布为“市场禁止进入者”或者“不受市场欢迎的人”的，在市场禁止进入期限内不得从事交易所期货、期权业务，其在交易所的原有持仓参照前款规定处理。</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第五十二条</w:t>
      </w:r>
      <w:r>
        <w:rPr>
          <w:rFonts w:hint="eastAsia" w:ascii="宋体" w:hAnsi="宋体" w:eastAsia="宋体"/>
          <w:sz w:val="28"/>
          <w:szCs w:val="28"/>
        </w:rPr>
        <w:t xml:space="preserve"> 交易所可以根据情况将对期货市场参与者实施的纪律处分通过交易所网站或者其他方式予以公布，并根据中国证监会有关规定记入证券期货市场诚信档案。</w:t>
      </w:r>
    </w:p>
    <w:p>
      <w:pPr>
        <w:pStyle w:val="14"/>
        <w:numPr>
          <w:ilvl w:val="0"/>
          <w:numId w:val="1"/>
        </w:numPr>
        <w:spacing w:before="240" w:after="240" w:line="360" w:lineRule="auto"/>
        <w:ind w:firstLineChars="0"/>
        <w:jc w:val="center"/>
        <w:rPr>
          <w:rFonts w:ascii="黑体" w:hAnsi="黑体" w:eastAsia="黑体" w:cs="Calibri"/>
          <w:sz w:val="32"/>
          <w:szCs w:val="32"/>
        </w:rPr>
      </w:pPr>
      <w:r>
        <w:rPr>
          <w:rFonts w:hint="eastAsia" w:ascii="黑体" w:hAnsi="黑体" w:eastAsia="黑体" w:cs="Calibri"/>
          <w:sz w:val="32"/>
          <w:szCs w:val="32"/>
        </w:rPr>
        <w:t>纠纷调解</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第五十三条</w:t>
      </w:r>
      <w:r>
        <w:rPr>
          <w:rFonts w:hint="eastAsia" w:ascii="宋体" w:hAnsi="宋体" w:eastAsia="宋体"/>
          <w:sz w:val="28"/>
          <w:szCs w:val="28"/>
        </w:rPr>
        <w:t xml:space="preserve"> 期货市场参与者之间发生的期货业务纠纷可以自行协商解决，也可以提请交易所调解。</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第五十四条</w:t>
      </w:r>
      <w:r>
        <w:rPr>
          <w:rFonts w:hint="eastAsia" w:ascii="宋体" w:hAnsi="宋体" w:eastAsia="宋体"/>
          <w:sz w:val="28"/>
          <w:szCs w:val="28"/>
        </w:rPr>
        <w:t xml:space="preserve"> 交易所的调解机构是交易所理事会下设的调解委员会，其常设办事机构设在交易所法律部门。</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第五十五条</w:t>
      </w:r>
      <w:r>
        <w:rPr>
          <w:rFonts w:hint="eastAsia" w:ascii="宋体" w:hAnsi="宋体" w:eastAsia="宋体"/>
          <w:sz w:val="28"/>
          <w:szCs w:val="28"/>
        </w:rPr>
        <w:t xml:space="preserve"> 调解应当在事实清楚、责任明确的基础上依据国家有关期货交易的法律、法规和交易所的规章制度进行。</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第五十六条</w:t>
      </w:r>
      <w:r>
        <w:rPr>
          <w:rFonts w:hint="eastAsia" w:ascii="宋体" w:hAnsi="宋体" w:eastAsia="宋体"/>
          <w:b/>
          <w:sz w:val="28"/>
          <w:szCs w:val="28"/>
        </w:rPr>
        <w:t xml:space="preserve"> </w:t>
      </w:r>
      <w:r>
        <w:rPr>
          <w:rFonts w:hint="eastAsia" w:ascii="宋体" w:hAnsi="宋体" w:eastAsia="宋体"/>
          <w:sz w:val="28"/>
          <w:szCs w:val="28"/>
        </w:rPr>
        <w:t>当事人申请调解应当符合下列条件：</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（一）有调解申请书；</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（二）有具体的事实、理由和请求；</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（三）属于调解委员会的受理范围。</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第五十七条</w:t>
      </w:r>
      <w:r>
        <w:rPr>
          <w:rFonts w:hint="eastAsia" w:ascii="宋体" w:hAnsi="宋体" w:eastAsia="宋体"/>
          <w:sz w:val="28"/>
          <w:szCs w:val="28"/>
        </w:rPr>
        <w:t xml:space="preserve"> 当事人向调解委员会申请调解，应当提交书面申请和有关材料。调解申请书应当写明以下事项：</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（一）当事人的姓名或者名称、身份证号或者统一社会信用代码、住所或者联系地址、电话号码等联系方式；</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（二）请求调解的事实、理由及要求；</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（三）有关证据。</w:t>
      </w:r>
    </w:p>
    <w:p>
      <w:pPr>
        <w:tabs>
          <w:tab w:val="left" w:pos="871"/>
        </w:tabs>
        <w:adjustRightInd w:val="0"/>
        <w:spacing w:line="360" w:lineRule="auto"/>
        <w:ind w:firstLine="560" w:firstLineChars="200"/>
        <w:rPr>
          <w:rFonts w:ascii="宋体" w:hAnsi="宋体" w:eastAsia="宋体"/>
          <w:sz w:val="28"/>
          <w:szCs w:val="28"/>
        </w:rPr>
      </w:pPr>
      <w:r>
        <w:rPr>
          <w:rFonts w:hint="eastAsia" w:ascii="黑体" w:hAnsi="黑体" w:eastAsia="黑体"/>
          <w:sz w:val="28"/>
          <w:szCs w:val="28"/>
        </w:rPr>
        <w:t>第五十八条</w:t>
      </w:r>
      <w:r>
        <w:rPr>
          <w:rFonts w:hint="eastAsia" w:ascii="宋体" w:hAnsi="宋体" w:eastAsia="宋体"/>
          <w:sz w:val="28"/>
          <w:szCs w:val="28"/>
        </w:rPr>
        <w:t xml:space="preserve"> 交易所调解委员会收到调解申请后，应当认真审查有关材料是否符合要求，并</w:t>
      </w:r>
      <w:r>
        <w:rPr>
          <w:rFonts w:ascii="宋体" w:hAnsi="宋体" w:eastAsia="宋体"/>
          <w:sz w:val="28"/>
          <w:szCs w:val="28"/>
        </w:rPr>
        <w:t>以书面方式通知当事人是否受理。</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第五十九条</w:t>
      </w:r>
      <w:r>
        <w:rPr>
          <w:rFonts w:hint="eastAsia" w:ascii="宋体" w:hAnsi="宋体" w:eastAsia="宋体"/>
          <w:sz w:val="28"/>
          <w:szCs w:val="28"/>
        </w:rPr>
        <w:t xml:space="preserve"> 有下列情形之一的，交易所调解委员会不予受理：</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（一）当事人已向人民法院起诉的；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（二）当事人已向仲裁机构申请仲裁的；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（三）当事人一方要求调解，另一方不愿意调解的；</w:t>
      </w:r>
    </w:p>
    <w:p>
      <w:pPr>
        <w:spacing w:line="360" w:lineRule="auto"/>
        <w:ind w:firstLine="560" w:firstLineChars="200"/>
        <w:rPr>
          <w:rFonts w:ascii="宋体" w:hAnsi="宋体" w:eastAsia="宋体"/>
          <w:sz w:val="28"/>
          <w:szCs w:val="28"/>
        </w:rPr>
      </w:pPr>
      <w:r>
        <w:rPr>
          <w:rFonts w:hint="eastAsia" w:ascii="宋体" w:hAnsi="宋体" w:eastAsia="宋体"/>
          <w:sz w:val="28"/>
          <w:szCs w:val="28"/>
        </w:rPr>
        <w:t>（四）交易所调解委员会认定不予受理的其他情形。</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第六十条</w:t>
      </w:r>
      <w:r>
        <w:rPr>
          <w:rFonts w:hint="eastAsia" w:ascii="宋体" w:hAnsi="宋体" w:eastAsia="宋体"/>
          <w:sz w:val="28"/>
          <w:szCs w:val="28"/>
        </w:rPr>
        <w:t xml:space="preserve"> 交易所调解委员会应当自受理调解申请之日起</w:t>
      </w:r>
      <w:r>
        <w:rPr>
          <w:rFonts w:ascii="宋体" w:hAnsi="宋体" w:eastAsia="宋体"/>
          <w:sz w:val="28"/>
          <w:szCs w:val="28"/>
        </w:rPr>
        <w:t>两</w:t>
      </w:r>
      <w:r>
        <w:rPr>
          <w:rFonts w:hint="eastAsia" w:ascii="宋体" w:hAnsi="宋体" w:eastAsia="宋体"/>
          <w:sz w:val="28"/>
          <w:szCs w:val="28"/>
        </w:rPr>
        <w:t>个月</w:t>
      </w:r>
      <w:r>
        <w:rPr>
          <w:rFonts w:ascii="宋体" w:hAnsi="宋体" w:eastAsia="宋体"/>
          <w:sz w:val="28"/>
          <w:szCs w:val="28"/>
        </w:rPr>
        <w:t>内完成调解。情况复杂，不能在规定期限内完成调解的，经双方当事人同意后，可以继续调解；双方当事人未达成继续调解事宜的，终止调解。</w:t>
      </w:r>
    </w:p>
    <w:p>
      <w:pPr>
        <w:autoSpaceDE w:val="0"/>
        <w:autoSpaceDN w:val="0"/>
        <w:adjustRightInd w:val="0"/>
        <w:spacing w:line="360" w:lineRule="auto"/>
        <w:ind w:firstLine="560" w:firstLineChars="200"/>
        <w:rPr>
          <w:rFonts w:ascii="宋体" w:hAnsi="宋体" w:eastAsia="宋体"/>
          <w:color w:val="000000"/>
          <w:sz w:val="28"/>
          <w:szCs w:val="28"/>
        </w:rPr>
      </w:pPr>
      <w:r>
        <w:rPr>
          <w:rFonts w:hint="eastAsia" w:ascii="黑体" w:hAnsi="黑体" w:eastAsia="黑体"/>
          <w:sz w:val="28"/>
          <w:szCs w:val="28"/>
        </w:rPr>
        <w:t>第六十一条</w:t>
      </w:r>
      <w:r>
        <w:rPr>
          <w:rFonts w:hint="eastAsia" w:ascii="宋体" w:hAnsi="宋体" w:eastAsia="宋体"/>
          <w:color w:val="000000"/>
          <w:sz w:val="28"/>
          <w:szCs w:val="28"/>
        </w:rPr>
        <w:t xml:space="preserve"> 有下列情形之一的，交易所调解委员会可以终止调解：</w:t>
      </w:r>
    </w:p>
    <w:p>
      <w:pPr>
        <w:autoSpaceDE w:val="0"/>
        <w:autoSpaceDN w:val="0"/>
        <w:adjustRightInd w:val="0"/>
        <w:spacing w:line="360" w:lineRule="auto"/>
        <w:ind w:firstLine="560" w:firstLineChars="200"/>
        <w:rPr>
          <w:rFonts w:ascii="宋体" w:hAnsi="宋体" w:eastAsia="宋体"/>
          <w:color w:val="000000"/>
          <w:sz w:val="28"/>
          <w:szCs w:val="28"/>
        </w:rPr>
      </w:pPr>
      <w:r>
        <w:rPr>
          <w:rFonts w:hint="eastAsia" w:ascii="宋体" w:hAnsi="宋体" w:eastAsia="宋体"/>
          <w:color w:val="000000"/>
          <w:sz w:val="28"/>
          <w:szCs w:val="28"/>
        </w:rPr>
        <w:t>（一）当事人不参加调解或者未经许可中途退出调解的；</w:t>
      </w:r>
    </w:p>
    <w:p>
      <w:pPr>
        <w:autoSpaceDE w:val="0"/>
        <w:autoSpaceDN w:val="0"/>
        <w:adjustRightInd w:val="0"/>
        <w:spacing w:line="360" w:lineRule="auto"/>
        <w:ind w:firstLine="560" w:firstLineChars="200"/>
        <w:rPr>
          <w:rFonts w:ascii="宋体" w:hAnsi="宋体" w:eastAsia="宋体"/>
          <w:color w:val="000000"/>
          <w:sz w:val="28"/>
          <w:szCs w:val="28"/>
        </w:rPr>
      </w:pPr>
      <w:r>
        <w:rPr>
          <w:rFonts w:hint="eastAsia" w:ascii="宋体" w:hAnsi="宋体" w:eastAsia="宋体"/>
          <w:color w:val="000000"/>
          <w:sz w:val="28"/>
          <w:szCs w:val="28"/>
        </w:rPr>
        <w:t>（二）调解事项涉及第三人实体利益，且第三人不参加调解或者不同意调解结果的；</w:t>
      </w:r>
    </w:p>
    <w:p>
      <w:pPr>
        <w:autoSpaceDE w:val="0"/>
        <w:autoSpaceDN w:val="0"/>
        <w:adjustRightInd w:val="0"/>
        <w:spacing w:line="360" w:lineRule="auto"/>
        <w:ind w:firstLine="560" w:firstLineChars="200"/>
        <w:rPr>
          <w:rFonts w:ascii="宋体" w:hAnsi="宋体" w:eastAsia="宋体"/>
          <w:color w:val="000000"/>
          <w:sz w:val="28"/>
          <w:szCs w:val="28"/>
        </w:rPr>
      </w:pPr>
      <w:r>
        <w:rPr>
          <w:rFonts w:hint="eastAsia" w:ascii="宋体" w:hAnsi="宋体" w:eastAsia="宋体"/>
          <w:color w:val="000000"/>
          <w:sz w:val="28"/>
          <w:szCs w:val="28"/>
        </w:rPr>
        <w:t>（三）调解期间，当事人就调解事项另行起诉或者申请仲裁的；</w:t>
      </w:r>
    </w:p>
    <w:p>
      <w:pPr>
        <w:autoSpaceDE w:val="0"/>
        <w:autoSpaceDN w:val="0"/>
        <w:adjustRightInd w:val="0"/>
        <w:spacing w:line="360" w:lineRule="auto"/>
        <w:ind w:firstLine="560" w:firstLineChars="200"/>
        <w:rPr>
          <w:rFonts w:ascii="宋体" w:hAnsi="宋体" w:eastAsia="宋体"/>
          <w:color w:val="000000"/>
          <w:sz w:val="28"/>
          <w:szCs w:val="28"/>
        </w:rPr>
      </w:pPr>
      <w:r>
        <w:rPr>
          <w:rFonts w:hint="eastAsia" w:ascii="宋体" w:hAnsi="宋体" w:eastAsia="宋体"/>
          <w:color w:val="000000"/>
          <w:sz w:val="28"/>
          <w:szCs w:val="28"/>
        </w:rPr>
        <w:t>（四）调解期间一方当事人要求终止调解的；</w:t>
      </w:r>
    </w:p>
    <w:p>
      <w:pPr>
        <w:autoSpaceDE w:val="0"/>
        <w:autoSpaceDN w:val="0"/>
        <w:adjustRightInd w:val="0"/>
        <w:spacing w:line="360" w:lineRule="auto"/>
        <w:ind w:firstLine="560" w:firstLineChars="200"/>
        <w:rPr>
          <w:rFonts w:ascii="宋体" w:hAnsi="宋体" w:eastAsia="宋体"/>
          <w:color w:val="000000"/>
          <w:sz w:val="28"/>
          <w:szCs w:val="28"/>
        </w:rPr>
      </w:pPr>
      <w:r>
        <w:rPr>
          <w:rFonts w:hint="eastAsia" w:ascii="宋体" w:hAnsi="宋体" w:eastAsia="宋体"/>
          <w:color w:val="000000"/>
          <w:sz w:val="28"/>
          <w:szCs w:val="28"/>
        </w:rPr>
        <w:t>（五）在规定的期间内未能达成调解协议的；</w:t>
      </w:r>
    </w:p>
    <w:p>
      <w:pPr>
        <w:autoSpaceDE w:val="0"/>
        <w:autoSpaceDN w:val="0"/>
        <w:adjustRightInd w:val="0"/>
        <w:spacing w:line="360" w:lineRule="auto"/>
        <w:ind w:firstLine="560" w:firstLineChars="200"/>
        <w:rPr>
          <w:rFonts w:ascii="宋体" w:hAnsi="宋体" w:eastAsia="宋体"/>
          <w:color w:val="000000"/>
          <w:sz w:val="28"/>
          <w:szCs w:val="28"/>
        </w:rPr>
      </w:pPr>
      <w:r>
        <w:rPr>
          <w:rFonts w:hint="eastAsia" w:ascii="宋体" w:hAnsi="宋体" w:eastAsia="宋体"/>
          <w:color w:val="000000"/>
          <w:sz w:val="28"/>
          <w:szCs w:val="28"/>
        </w:rPr>
        <w:t>（六）调解委员会认为需要终止调解的其他情形。</w:t>
      </w:r>
    </w:p>
    <w:p>
      <w:pPr>
        <w:autoSpaceDE w:val="0"/>
        <w:autoSpaceDN w:val="0"/>
        <w:adjustRightInd w:val="0"/>
        <w:spacing w:line="360" w:lineRule="auto"/>
        <w:ind w:firstLine="560" w:firstLineChars="200"/>
        <w:rPr>
          <w:rFonts w:ascii="宋体" w:hAnsi="宋体" w:eastAsia="宋体"/>
          <w:sz w:val="28"/>
          <w:szCs w:val="28"/>
        </w:rPr>
      </w:pPr>
      <w:r>
        <w:rPr>
          <w:rFonts w:hint="eastAsia" w:ascii="黑体" w:hAnsi="黑体" w:eastAsia="黑体"/>
          <w:sz w:val="28"/>
          <w:szCs w:val="28"/>
        </w:rPr>
        <w:t>第六十二条</w:t>
      </w:r>
      <w:r>
        <w:rPr>
          <w:rFonts w:hint="eastAsia" w:ascii="宋体" w:hAnsi="宋体" w:eastAsia="宋体"/>
          <w:sz w:val="28"/>
          <w:szCs w:val="28"/>
        </w:rPr>
        <w:t xml:space="preserve"> 当事人根据有关规定负有举证的责任。调解委员会认为必要时，可以调查收集证据。</w:t>
      </w:r>
    </w:p>
    <w:p>
      <w:pPr>
        <w:autoSpaceDE w:val="0"/>
        <w:autoSpaceDN w:val="0"/>
        <w:adjustRightInd w:val="0"/>
        <w:spacing w:line="360" w:lineRule="auto"/>
        <w:ind w:firstLine="560" w:firstLineChars="200"/>
        <w:rPr>
          <w:rFonts w:ascii="宋体" w:hAnsi="宋体" w:eastAsia="宋体"/>
          <w:color w:val="000000"/>
          <w:sz w:val="28"/>
          <w:szCs w:val="28"/>
        </w:rPr>
      </w:pPr>
      <w:r>
        <w:rPr>
          <w:rFonts w:hint="eastAsia" w:ascii="黑体" w:hAnsi="黑体" w:eastAsia="黑体"/>
          <w:sz w:val="28"/>
          <w:szCs w:val="28"/>
        </w:rPr>
        <w:t>第六十三条</w:t>
      </w:r>
      <w:r>
        <w:rPr>
          <w:rFonts w:hint="eastAsia" w:ascii="宋体" w:hAnsi="宋体" w:eastAsia="宋体"/>
          <w:b/>
          <w:sz w:val="28"/>
          <w:szCs w:val="28"/>
        </w:rPr>
        <w:t xml:space="preserve"> </w:t>
      </w:r>
      <w:r>
        <w:rPr>
          <w:rFonts w:hint="eastAsia" w:ascii="宋体" w:hAnsi="宋体" w:eastAsia="宋体"/>
          <w:sz w:val="28"/>
          <w:szCs w:val="28"/>
        </w:rPr>
        <w:t>调解委员会调解纠纷，应当在查明事实，分清是非和自愿的基础上调解，促使当事人相互谅解，达成协议。</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第六十四条</w:t>
      </w:r>
      <w:r>
        <w:rPr>
          <w:rFonts w:hint="eastAsia" w:ascii="宋体" w:hAnsi="宋体" w:eastAsia="宋体"/>
          <w:sz w:val="28"/>
          <w:szCs w:val="28"/>
        </w:rPr>
        <w:t xml:space="preserve"> 经调解达成的协议应当记录在案，并制作调解书，由双方当事人签字，调解员署名，加盖调解委员会印章后生效。</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第六十五条</w:t>
      </w:r>
      <w:r>
        <w:rPr>
          <w:rFonts w:hint="eastAsia" w:ascii="宋体" w:hAnsi="宋体" w:eastAsia="宋体"/>
          <w:sz w:val="28"/>
          <w:szCs w:val="28"/>
        </w:rPr>
        <w:t xml:space="preserve"> 调解不成的，当事人可以依法提请仲裁机构仲裁或者向人民法院起诉。</w:t>
      </w:r>
    </w:p>
    <w:p>
      <w:pPr>
        <w:pStyle w:val="14"/>
        <w:numPr>
          <w:ilvl w:val="0"/>
          <w:numId w:val="1"/>
        </w:numPr>
        <w:spacing w:before="240" w:after="240" w:line="360" w:lineRule="auto"/>
        <w:ind w:firstLineChars="0"/>
        <w:jc w:val="center"/>
        <w:rPr>
          <w:rFonts w:ascii="黑体" w:hAnsi="黑体" w:eastAsia="黑体" w:cs="Calibri"/>
          <w:sz w:val="32"/>
          <w:szCs w:val="32"/>
        </w:rPr>
      </w:pPr>
      <w:r>
        <w:rPr>
          <w:rFonts w:hint="eastAsia" w:ascii="黑体" w:hAnsi="黑体" w:eastAsia="黑体" w:cs="Calibri"/>
          <w:sz w:val="32"/>
          <w:szCs w:val="32"/>
        </w:rPr>
        <w:t>附 则</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第六十六条</w:t>
      </w:r>
      <w:r>
        <w:rPr>
          <w:rFonts w:hint="eastAsia" w:ascii="宋体" w:hAnsi="宋体" w:eastAsia="宋体"/>
          <w:sz w:val="28"/>
          <w:szCs w:val="28"/>
        </w:rPr>
        <w:t xml:space="preserve"> </w:t>
      </w:r>
      <w:r>
        <w:rPr>
          <w:rFonts w:hint="eastAsia" w:ascii="宋体" w:hAnsi="宋体" w:eastAsia="宋体"/>
          <w:bCs/>
          <w:kern w:val="0"/>
          <w:sz w:val="28"/>
          <w:szCs w:val="28"/>
        </w:rPr>
        <w:t>除具体条文另有规定外，本办法所称“期货市场”、“期货业务”、“期货交易”等包括期权相关活动。</w:t>
      </w:r>
    </w:p>
    <w:p>
      <w:pPr>
        <w:adjustRightInd w:val="0"/>
        <w:spacing w:line="360" w:lineRule="auto"/>
        <w:ind w:firstLine="560" w:firstLineChars="200"/>
        <w:rPr>
          <w:rFonts w:ascii="宋体" w:hAnsi="宋体" w:eastAsia="宋体"/>
          <w:sz w:val="28"/>
          <w:szCs w:val="28"/>
        </w:rPr>
      </w:pPr>
      <w:r>
        <w:rPr>
          <w:rFonts w:hint="eastAsia" w:ascii="宋体" w:hAnsi="宋体" w:eastAsia="宋体"/>
          <w:sz w:val="28"/>
          <w:szCs w:val="28"/>
        </w:rPr>
        <w:t>本办法所称交割仓库包括仓库和厂库。</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第六十七条</w:t>
      </w:r>
      <w:r>
        <w:rPr>
          <w:rFonts w:hint="eastAsia" w:ascii="宋体" w:hAnsi="宋体" w:eastAsia="宋体"/>
          <w:sz w:val="28"/>
          <w:szCs w:val="28"/>
        </w:rPr>
        <w:t xml:space="preserve"> 本办法所称“以上”、“以下”均含本数。</w:t>
      </w:r>
    </w:p>
    <w:p>
      <w:pPr>
        <w:spacing w:line="360" w:lineRule="auto"/>
        <w:ind w:firstLine="560" w:firstLineChars="200"/>
        <w:rPr>
          <w:rFonts w:ascii="宋体" w:hAnsi="宋体" w:eastAsia="宋体"/>
          <w:sz w:val="28"/>
          <w:szCs w:val="28"/>
        </w:rPr>
      </w:pPr>
      <w:r>
        <w:rPr>
          <w:rFonts w:hint="eastAsia" w:ascii="宋体" w:hAnsi="宋体" w:eastAsia="宋体"/>
          <w:sz w:val="28"/>
          <w:szCs w:val="28"/>
        </w:rPr>
        <w:t>本办法中的货币单位为人民币元，涉及外币资金的，按照行为发生时的汇率折算人民币核定金额。</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第六十八条</w:t>
      </w:r>
      <w:r>
        <w:rPr>
          <w:rFonts w:hint="eastAsia" w:ascii="宋体" w:hAnsi="宋体" w:eastAsia="宋体" w:cs="宋体"/>
          <w:b/>
          <w:kern w:val="0"/>
          <w:sz w:val="28"/>
          <w:szCs w:val="28"/>
        </w:rPr>
        <w:t xml:space="preserve"> </w:t>
      </w:r>
      <w:r>
        <w:rPr>
          <w:rFonts w:hint="eastAsia" w:ascii="宋体" w:hAnsi="宋体" w:eastAsia="宋体" w:cs="宋体"/>
          <w:kern w:val="0"/>
          <w:sz w:val="28"/>
          <w:szCs w:val="28"/>
        </w:rPr>
        <w:t>本办法解释权属于郑州商品交易所。</w:t>
      </w:r>
    </w:p>
    <w:p>
      <w:pPr>
        <w:spacing w:line="360" w:lineRule="auto"/>
        <w:ind w:firstLine="560" w:firstLineChars="200"/>
        <w:rPr>
          <w:rFonts w:ascii="宋体" w:hAnsi="宋体" w:eastAsia="宋体"/>
          <w:sz w:val="28"/>
          <w:szCs w:val="28"/>
        </w:rPr>
      </w:pPr>
      <w:r>
        <w:rPr>
          <w:rFonts w:hint="eastAsia" w:ascii="黑体" w:hAnsi="黑体" w:eastAsia="黑体"/>
          <w:sz w:val="28"/>
          <w:szCs w:val="28"/>
        </w:rPr>
        <w:t>第六十九条</w:t>
      </w:r>
      <w:r>
        <w:rPr>
          <w:rFonts w:hint="eastAsia" w:ascii="宋体" w:hAnsi="宋体" w:eastAsia="宋体"/>
          <w:sz w:val="28"/>
          <w:szCs w:val="28"/>
        </w:rPr>
        <w:t xml:space="preserve"> 本办法自202</w:t>
      </w:r>
      <w:r>
        <w:rPr>
          <w:rFonts w:hint="eastAsia" w:ascii="宋体" w:hAnsi="宋体"/>
          <w:sz w:val="28"/>
          <w:szCs w:val="28"/>
          <w:lang w:val="en-US" w:eastAsia="zh-CN"/>
        </w:rPr>
        <w:t>5</w:t>
      </w:r>
      <w:r>
        <w:rPr>
          <w:rFonts w:ascii="宋体" w:hAnsi="宋体" w:eastAsia="宋体"/>
          <w:sz w:val="28"/>
          <w:szCs w:val="28"/>
        </w:rPr>
        <w:t>年</w:t>
      </w:r>
      <w:r>
        <w:rPr>
          <w:rFonts w:hint="eastAsia" w:ascii="宋体" w:hAnsi="宋体" w:eastAsia="宋体"/>
          <w:sz w:val="28"/>
          <w:szCs w:val="28"/>
        </w:rPr>
        <w:t>1</w:t>
      </w:r>
      <w:r>
        <w:rPr>
          <w:rFonts w:ascii="宋体" w:hAnsi="宋体" w:eastAsia="宋体"/>
          <w:sz w:val="28"/>
          <w:szCs w:val="28"/>
        </w:rPr>
        <w:t>月</w:t>
      </w:r>
      <w:r>
        <w:rPr>
          <w:rFonts w:hint="eastAsia" w:ascii="宋体" w:hAnsi="宋体"/>
          <w:sz w:val="28"/>
          <w:szCs w:val="28"/>
          <w:lang w:val="en-US" w:eastAsia="zh-CN"/>
        </w:rPr>
        <w:t>7</w:t>
      </w:r>
      <w:r>
        <w:rPr>
          <w:rFonts w:ascii="宋体" w:hAnsi="宋体" w:eastAsia="宋体"/>
          <w:sz w:val="28"/>
          <w:szCs w:val="28"/>
        </w:rPr>
        <w:t>日</w:t>
      </w:r>
      <w:r>
        <w:rPr>
          <w:rFonts w:hint="eastAsia" w:ascii="宋体" w:hAnsi="宋体" w:eastAsia="宋体"/>
          <w:sz w:val="28"/>
          <w:szCs w:val="28"/>
        </w:rPr>
        <w:t>起施行。</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
      <w:pPr>
        <w:ind w:firstLine="648"/>
        <w:rPr>
          <w:rFonts w:ascii="仿宋" w:hAnsi="仿宋" w:eastAsia="仿宋"/>
          <w:sz w:val="32"/>
          <w:szCs w:val="32"/>
        </w:rPr>
      </w:pPr>
    </w:p>
    <w:p>
      <w:pPr>
        <w:ind w:right="800"/>
        <w:rPr>
          <w:rFonts w:ascii="仿宋" w:hAnsi="仿宋" w:eastAsia="仿宋"/>
          <w:sz w:val="32"/>
          <w:szCs w:val="32"/>
        </w:rPr>
      </w:pPr>
    </w:p>
    <w:p>
      <w:pPr>
        <w:ind w:right="800"/>
        <w:rPr>
          <w:rFonts w:ascii="仿宋" w:hAnsi="仿宋" w:eastAsia="仿宋"/>
          <w:sz w:val="32"/>
          <w:szCs w:val="32"/>
        </w:rPr>
      </w:pPr>
    </w:p>
    <w:p>
      <w:pPr>
        <w:ind w:right="800"/>
        <w:rPr>
          <w:rFonts w:ascii="仿宋" w:hAnsi="仿宋" w:eastAsia="仿宋"/>
          <w:sz w:val="32"/>
          <w:szCs w:val="32"/>
        </w:rPr>
      </w:pPr>
    </w:p>
    <w:p>
      <w:pPr>
        <w:rPr>
          <w:rFonts w:ascii="仿宋" w:hAnsi="仿宋" w:eastAsia="仿宋"/>
          <w:sz w:val="32"/>
        </w:rPr>
      </w:pPr>
    </w:p>
    <w:sectPr>
      <w:headerReference r:id="rId4" w:type="first"/>
      <w:footerReference r:id="rId7" w:type="first"/>
      <w:footerReference r:id="rId5" w:type="default"/>
      <w:headerReference r:id="rId3" w:type="even"/>
      <w:footerReference r:id="rId6" w:type="even"/>
      <w:pgSz w:w="11906" w:h="16838"/>
      <w:pgMar w:top="1440" w:right="1797" w:bottom="1440" w:left="179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wordWrap w:val="0"/>
      <w:jc w:val="right"/>
      <w:rPr>
        <w:sz w:val="28"/>
      </w:rPr>
    </w:pPr>
    <w:r>
      <w:rPr>
        <w:sz w:val="28"/>
      </w:rPr>
      <w:pict>
        <v:shape id="_x0000_s4098" o:spid="_x0000_s4098"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4"/>
                  <w:wordWrap w:val="0"/>
                  <w:jc w:val="right"/>
                </w:pPr>
                <w:r>
                  <w:rPr>
                    <w:rFonts w:hint="eastAsia"/>
                    <w:sz w:val="28"/>
                  </w:rPr>
                  <w:t>—</w:t>
                </w:r>
                <w:r>
                  <w:rPr>
                    <w:rStyle w:val="10"/>
                    <w:sz w:val="28"/>
                  </w:rPr>
                  <w:fldChar w:fldCharType="begin"/>
                </w:r>
                <w:r>
                  <w:rPr>
                    <w:rStyle w:val="10"/>
                    <w:sz w:val="28"/>
                  </w:rPr>
                  <w:instrText xml:space="preserve"> PAGE </w:instrText>
                </w:r>
                <w:r>
                  <w:rPr>
                    <w:rStyle w:val="10"/>
                    <w:sz w:val="28"/>
                  </w:rPr>
                  <w:fldChar w:fldCharType="separate"/>
                </w:r>
                <w:r>
                  <w:rPr>
                    <w:rStyle w:val="10"/>
                    <w:sz w:val="28"/>
                  </w:rPr>
                  <w:t>1</w:t>
                </w:r>
                <w:r>
                  <w:rPr>
                    <w:rStyle w:val="10"/>
                    <w:sz w:val="28"/>
                  </w:rPr>
                  <w:fldChar w:fldCharType="end"/>
                </w:r>
                <w:r>
                  <w:rPr>
                    <w:rFonts w:hint="eastAsia"/>
                    <w:sz w:val="28"/>
                  </w:rPr>
                  <w:t>—</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sz w:val="28"/>
      </w:rPr>
    </w:pPr>
    <w:r>
      <w:rPr>
        <w:rFonts w:hint="eastAsia"/>
        <w:sz w:val="28"/>
      </w:rPr>
      <w:t>—</w:t>
    </w:r>
    <w:r>
      <w:rPr>
        <w:rStyle w:val="10"/>
        <w:sz w:val="28"/>
      </w:rPr>
      <w:fldChar w:fldCharType="begin"/>
    </w:r>
    <w:r>
      <w:rPr>
        <w:rStyle w:val="10"/>
        <w:sz w:val="28"/>
      </w:rPr>
      <w:instrText xml:space="preserve"> PAGE </w:instrText>
    </w:r>
    <w:r>
      <w:rPr>
        <w:rStyle w:val="10"/>
        <w:sz w:val="28"/>
      </w:rPr>
      <w:fldChar w:fldCharType="separate"/>
    </w:r>
    <w:r>
      <w:rPr>
        <w:rStyle w:val="10"/>
        <w:sz w:val="28"/>
      </w:rPr>
      <w:t>4</w:t>
    </w:r>
    <w:r>
      <w:rPr>
        <w:rStyle w:val="10"/>
        <w:sz w:val="28"/>
      </w:rPr>
      <w:fldChar w:fldCharType="end"/>
    </w:r>
    <w:r>
      <w:rPr>
        <w:rFonts w:hint="eastAsia"/>
        <w:sz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3C5852"/>
    <w:multiLevelType w:val="multilevel"/>
    <w:tmpl w:val="193C5852"/>
    <w:lvl w:ilvl="0" w:tentative="0">
      <w:start w:val="1"/>
      <w:numFmt w:val="japaneseCounting"/>
      <w:lvlText w:val="第%1章"/>
      <w:lvlJc w:val="left"/>
      <w:pPr>
        <w:ind w:left="698" w:hanging="720"/>
      </w:pPr>
      <w:rPr>
        <w:rFonts w:hint="default"/>
      </w:rPr>
    </w:lvl>
    <w:lvl w:ilvl="1" w:tentative="0">
      <w:start w:val="1"/>
      <w:numFmt w:val="lowerLetter"/>
      <w:lvlText w:val="%2)"/>
      <w:lvlJc w:val="left"/>
      <w:pPr>
        <w:ind w:left="818" w:hanging="420"/>
      </w:pPr>
    </w:lvl>
    <w:lvl w:ilvl="2" w:tentative="0">
      <w:start w:val="1"/>
      <w:numFmt w:val="lowerRoman"/>
      <w:lvlText w:val="%3."/>
      <w:lvlJc w:val="right"/>
      <w:pPr>
        <w:ind w:left="1238" w:hanging="420"/>
      </w:pPr>
    </w:lvl>
    <w:lvl w:ilvl="3" w:tentative="0">
      <w:start w:val="1"/>
      <w:numFmt w:val="decimal"/>
      <w:lvlText w:val="%4."/>
      <w:lvlJc w:val="left"/>
      <w:pPr>
        <w:ind w:left="1658" w:hanging="420"/>
      </w:pPr>
    </w:lvl>
    <w:lvl w:ilvl="4" w:tentative="0">
      <w:start w:val="1"/>
      <w:numFmt w:val="lowerLetter"/>
      <w:lvlText w:val="%5)"/>
      <w:lvlJc w:val="left"/>
      <w:pPr>
        <w:ind w:left="2078" w:hanging="420"/>
      </w:pPr>
    </w:lvl>
    <w:lvl w:ilvl="5" w:tentative="0">
      <w:start w:val="1"/>
      <w:numFmt w:val="lowerRoman"/>
      <w:lvlText w:val="%6."/>
      <w:lvlJc w:val="right"/>
      <w:pPr>
        <w:ind w:left="2498" w:hanging="420"/>
      </w:pPr>
    </w:lvl>
    <w:lvl w:ilvl="6" w:tentative="0">
      <w:start w:val="1"/>
      <w:numFmt w:val="decimal"/>
      <w:lvlText w:val="%7."/>
      <w:lvlJc w:val="left"/>
      <w:pPr>
        <w:ind w:left="2918" w:hanging="420"/>
      </w:pPr>
    </w:lvl>
    <w:lvl w:ilvl="7" w:tentative="0">
      <w:start w:val="1"/>
      <w:numFmt w:val="lowerLetter"/>
      <w:lvlText w:val="%8)"/>
      <w:lvlJc w:val="left"/>
      <w:pPr>
        <w:ind w:left="3338" w:hanging="420"/>
      </w:pPr>
    </w:lvl>
    <w:lvl w:ilvl="8" w:tentative="0">
      <w:start w:val="1"/>
      <w:numFmt w:val="lowerRoman"/>
      <w:lvlText w:val="%9."/>
      <w:lvlJc w:val="right"/>
      <w:pPr>
        <w:ind w:left="3758"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dit="trackedChanges"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AD0E8A"/>
    <w:rsid w:val="000001F5"/>
    <w:rsid w:val="000003DC"/>
    <w:rsid w:val="000014F8"/>
    <w:rsid w:val="00002A40"/>
    <w:rsid w:val="00002BEB"/>
    <w:rsid w:val="00002E26"/>
    <w:rsid w:val="00004296"/>
    <w:rsid w:val="00004C6F"/>
    <w:rsid w:val="00004EB1"/>
    <w:rsid w:val="00005702"/>
    <w:rsid w:val="000073AA"/>
    <w:rsid w:val="00010417"/>
    <w:rsid w:val="00011183"/>
    <w:rsid w:val="00012607"/>
    <w:rsid w:val="0001260C"/>
    <w:rsid w:val="00014A55"/>
    <w:rsid w:val="000169B4"/>
    <w:rsid w:val="0002049C"/>
    <w:rsid w:val="000242DE"/>
    <w:rsid w:val="0002676C"/>
    <w:rsid w:val="00026C87"/>
    <w:rsid w:val="00027299"/>
    <w:rsid w:val="00030567"/>
    <w:rsid w:val="000329D1"/>
    <w:rsid w:val="0003324C"/>
    <w:rsid w:val="00034F86"/>
    <w:rsid w:val="00036407"/>
    <w:rsid w:val="00044139"/>
    <w:rsid w:val="0005173D"/>
    <w:rsid w:val="0005205B"/>
    <w:rsid w:val="00052C5E"/>
    <w:rsid w:val="0005492E"/>
    <w:rsid w:val="00056C26"/>
    <w:rsid w:val="00060795"/>
    <w:rsid w:val="000608B0"/>
    <w:rsid w:val="000617CC"/>
    <w:rsid w:val="00061A4A"/>
    <w:rsid w:val="0006518A"/>
    <w:rsid w:val="0006663E"/>
    <w:rsid w:val="00067B6F"/>
    <w:rsid w:val="00067BE9"/>
    <w:rsid w:val="00074328"/>
    <w:rsid w:val="00074E4B"/>
    <w:rsid w:val="000754DD"/>
    <w:rsid w:val="00081302"/>
    <w:rsid w:val="000820C9"/>
    <w:rsid w:val="00082102"/>
    <w:rsid w:val="00082D2E"/>
    <w:rsid w:val="0008334C"/>
    <w:rsid w:val="0008416A"/>
    <w:rsid w:val="00085DE8"/>
    <w:rsid w:val="000900EC"/>
    <w:rsid w:val="000901D1"/>
    <w:rsid w:val="00094CFF"/>
    <w:rsid w:val="000967AC"/>
    <w:rsid w:val="00097D09"/>
    <w:rsid w:val="000A140C"/>
    <w:rsid w:val="000A5168"/>
    <w:rsid w:val="000A5A3D"/>
    <w:rsid w:val="000B1E3C"/>
    <w:rsid w:val="000B31FF"/>
    <w:rsid w:val="000B3E74"/>
    <w:rsid w:val="000B5091"/>
    <w:rsid w:val="000B5688"/>
    <w:rsid w:val="000B7916"/>
    <w:rsid w:val="000C172F"/>
    <w:rsid w:val="000C17CA"/>
    <w:rsid w:val="000C3315"/>
    <w:rsid w:val="000C356C"/>
    <w:rsid w:val="000C4C59"/>
    <w:rsid w:val="000C7636"/>
    <w:rsid w:val="000D0540"/>
    <w:rsid w:val="000D606B"/>
    <w:rsid w:val="000D7306"/>
    <w:rsid w:val="000D762C"/>
    <w:rsid w:val="000E0627"/>
    <w:rsid w:val="000E06FA"/>
    <w:rsid w:val="000E5475"/>
    <w:rsid w:val="000E76FB"/>
    <w:rsid w:val="000F23E7"/>
    <w:rsid w:val="000F29FC"/>
    <w:rsid w:val="000F2DBF"/>
    <w:rsid w:val="000F40AA"/>
    <w:rsid w:val="001033A4"/>
    <w:rsid w:val="001062DA"/>
    <w:rsid w:val="001065BE"/>
    <w:rsid w:val="00110A8C"/>
    <w:rsid w:val="00110E85"/>
    <w:rsid w:val="00110E86"/>
    <w:rsid w:val="001213D3"/>
    <w:rsid w:val="0012151D"/>
    <w:rsid w:val="001228B3"/>
    <w:rsid w:val="00124271"/>
    <w:rsid w:val="00125339"/>
    <w:rsid w:val="0012557A"/>
    <w:rsid w:val="001314E3"/>
    <w:rsid w:val="00133D3D"/>
    <w:rsid w:val="00134BCD"/>
    <w:rsid w:val="00134E02"/>
    <w:rsid w:val="001356A6"/>
    <w:rsid w:val="00136D74"/>
    <w:rsid w:val="00137D11"/>
    <w:rsid w:val="00140916"/>
    <w:rsid w:val="001409DF"/>
    <w:rsid w:val="001433B9"/>
    <w:rsid w:val="00143967"/>
    <w:rsid w:val="00143D92"/>
    <w:rsid w:val="001441F0"/>
    <w:rsid w:val="001441F8"/>
    <w:rsid w:val="001447A0"/>
    <w:rsid w:val="0014593B"/>
    <w:rsid w:val="0014676B"/>
    <w:rsid w:val="00147675"/>
    <w:rsid w:val="00151823"/>
    <w:rsid w:val="00153C74"/>
    <w:rsid w:val="00154105"/>
    <w:rsid w:val="00156318"/>
    <w:rsid w:val="00156457"/>
    <w:rsid w:val="00162E48"/>
    <w:rsid w:val="00163388"/>
    <w:rsid w:val="00163ECE"/>
    <w:rsid w:val="00164038"/>
    <w:rsid w:val="00164B62"/>
    <w:rsid w:val="00164F46"/>
    <w:rsid w:val="001706AC"/>
    <w:rsid w:val="00171E7C"/>
    <w:rsid w:val="00171F06"/>
    <w:rsid w:val="0017384B"/>
    <w:rsid w:val="00176367"/>
    <w:rsid w:val="00180471"/>
    <w:rsid w:val="00181992"/>
    <w:rsid w:val="00181DFD"/>
    <w:rsid w:val="0018239C"/>
    <w:rsid w:val="001861A4"/>
    <w:rsid w:val="001862D9"/>
    <w:rsid w:val="00190997"/>
    <w:rsid w:val="00191680"/>
    <w:rsid w:val="00192AD1"/>
    <w:rsid w:val="00194106"/>
    <w:rsid w:val="001A0003"/>
    <w:rsid w:val="001A0DA0"/>
    <w:rsid w:val="001A356C"/>
    <w:rsid w:val="001A52B1"/>
    <w:rsid w:val="001A7B8A"/>
    <w:rsid w:val="001B2208"/>
    <w:rsid w:val="001B3392"/>
    <w:rsid w:val="001B3B4A"/>
    <w:rsid w:val="001B616B"/>
    <w:rsid w:val="001B6997"/>
    <w:rsid w:val="001B6D33"/>
    <w:rsid w:val="001B6EF1"/>
    <w:rsid w:val="001C0D37"/>
    <w:rsid w:val="001C1EBD"/>
    <w:rsid w:val="001C2DA1"/>
    <w:rsid w:val="001C4BA8"/>
    <w:rsid w:val="001C4E7B"/>
    <w:rsid w:val="001C5CE6"/>
    <w:rsid w:val="001C7403"/>
    <w:rsid w:val="001D2C75"/>
    <w:rsid w:val="001D3188"/>
    <w:rsid w:val="001D33B7"/>
    <w:rsid w:val="001D6F9A"/>
    <w:rsid w:val="001E18EE"/>
    <w:rsid w:val="001E18F9"/>
    <w:rsid w:val="001E366C"/>
    <w:rsid w:val="001E4DE0"/>
    <w:rsid w:val="001E4FD8"/>
    <w:rsid w:val="001E66F0"/>
    <w:rsid w:val="001F04EB"/>
    <w:rsid w:val="001F261A"/>
    <w:rsid w:val="001F3D02"/>
    <w:rsid w:val="001F4C5C"/>
    <w:rsid w:val="001F52D8"/>
    <w:rsid w:val="001F5336"/>
    <w:rsid w:val="001F7336"/>
    <w:rsid w:val="001F7DEE"/>
    <w:rsid w:val="002027A7"/>
    <w:rsid w:val="002030EA"/>
    <w:rsid w:val="002064B3"/>
    <w:rsid w:val="0021318F"/>
    <w:rsid w:val="00213A1D"/>
    <w:rsid w:val="0021433B"/>
    <w:rsid w:val="00215DED"/>
    <w:rsid w:val="002203D1"/>
    <w:rsid w:val="002205AB"/>
    <w:rsid w:val="0022195F"/>
    <w:rsid w:val="0022333C"/>
    <w:rsid w:val="00223499"/>
    <w:rsid w:val="0022466A"/>
    <w:rsid w:val="002265F2"/>
    <w:rsid w:val="00227684"/>
    <w:rsid w:val="002308AD"/>
    <w:rsid w:val="00230BBB"/>
    <w:rsid w:val="0023113C"/>
    <w:rsid w:val="002339F9"/>
    <w:rsid w:val="00233A04"/>
    <w:rsid w:val="00233AA1"/>
    <w:rsid w:val="002342EC"/>
    <w:rsid w:val="00236543"/>
    <w:rsid w:val="00236A42"/>
    <w:rsid w:val="002373CA"/>
    <w:rsid w:val="00237510"/>
    <w:rsid w:val="002411B9"/>
    <w:rsid w:val="00241BA8"/>
    <w:rsid w:val="002425E4"/>
    <w:rsid w:val="00242C8C"/>
    <w:rsid w:val="00244C30"/>
    <w:rsid w:val="002465C0"/>
    <w:rsid w:val="00247137"/>
    <w:rsid w:val="00251A65"/>
    <w:rsid w:val="002520CF"/>
    <w:rsid w:val="0025352C"/>
    <w:rsid w:val="00253770"/>
    <w:rsid w:val="002548CD"/>
    <w:rsid w:val="00257D88"/>
    <w:rsid w:val="0026069B"/>
    <w:rsid w:val="002658FB"/>
    <w:rsid w:val="002669A1"/>
    <w:rsid w:val="00267DAA"/>
    <w:rsid w:val="00270700"/>
    <w:rsid w:val="00270AE1"/>
    <w:rsid w:val="002719A7"/>
    <w:rsid w:val="002735CC"/>
    <w:rsid w:val="0027432D"/>
    <w:rsid w:val="0028016B"/>
    <w:rsid w:val="00280F80"/>
    <w:rsid w:val="00281DBB"/>
    <w:rsid w:val="002829F2"/>
    <w:rsid w:val="0028462F"/>
    <w:rsid w:val="00286088"/>
    <w:rsid w:val="00287836"/>
    <w:rsid w:val="00287BED"/>
    <w:rsid w:val="00291BA0"/>
    <w:rsid w:val="00291DD3"/>
    <w:rsid w:val="00291E6A"/>
    <w:rsid w:val="002953EA"/>
    <w:rsid w:val="00295707"/>
    <w:rsid w:val="00297E3F"/>
    <w:rsid w:val="002A08CD"/>
    <w:rsid w:val="002A0A8F"/>
    <w:rsid w:val="002A2D8E"/>
    <w:rsid w:val="002A3208"/>
    <w:rsid w:val="002B18F5"/>
    <w:rsid w:val="002B1977"/>
    <w:rsid w:val="002B21D8"/>
    <w:rsid w:val="002B53B4"/>
    <w:rsid w:val="002B5E5D"/>
    <w:rsid w:val="002B79A7"/>
    <w:rsid w:val="002C067B"/>
    <w:rsid w:val="002C2288"/>
    <w:rsid w:val="002C2AD8"/>
    <w:rsid w:val="002C401D"/>
    <w:rsid w:val="002C49BB"/>
    <w:rsid w:val="002C545C"/>
    <w:rsid w:val="002C54DF"/>
    <w:rsid w:val="002C66E0"/>
    <w:rsid w:val="002D4C09"/>
    <w:rsid w:val="002D5C89"/>
    <w:rsid w:val="002D6773"/>
    <w:rsid w:val="002E1A35"/>
    <w:rsid w:val="002E25FB"/>
    <w:rsid w:val="002E3400"/>
    <w:rsid w:val="002E39C3"/>
    <w:rsid w:val="002E39F5"/>
    <w:rsid w:val="002E481D"/>
    <w:rsid w:val="002E7A81"/>
    <w:rsid w:val="002F1A51"/>
    <w:rsid w:val="002F4C97"/>
    <w:rsid w:val="002F5419"/>
    <w:rsid w:val="0030292D"/>
    <w:rsid w:val="00306EBE"/>
    <w:rsid w:val="0031001B"/>
    <w:rsid w:val="00312BA8"/>
    <w:rsid w:val="003149DA"/>
    <w:rsid w:val="00317E1B"/>
    <w:rsid w:val="00321B8F"/>
    <w:rsid w:val="00321C8E"/>
    <w:rsid w:val="003223F2"/>
    <w:rsid w:val="003226A6"/>
    <w:rsid w:val="003231B1"/>
    <w:rsid w:val="0032481B"/>
    <w:rsid w:val="003301BB"/>
    <w:rsid w:val="0033099F"/>
    <w:rsid w:val="003314C9"/>
    <w:rsid w:val="00333080"/>
    <w:rsid w:val="00336655"/>
    <w:rsid w:val="0033681A"/>
    <w:rsid w:val="00340820"/>
    <w:rsid w:val="00344236"/>
    <w:rsid w:val="00344F8F"/>
    <w:rsid w:val="003461AD"/>
    <w:rsid w:val="00347FB0"/>
    <w:rsid w:val="00350091"/>
    <w:rsid w:val="00352A3F"/>
    <w:rsid w:val="003561DD"/>
    <w:rsid w:val="003602CA"/>
    <w:rsid w:val="0036356D"/>
    <w:rsid w:val="00364976"/>
    <w:rsid w:val="00365F05"/>
    <w:rsid w:val="0037359E"/>
    <w:rsid w:val="0037586C"/>
    <w:rsid w:val="0037605A"/>
    <w:rsid w:val="00377265"/>
    <w:rsid w:val="003801B1"/>
    <w:rsid w:val="00382171"/>
    <w:rsid w:val="00382985"/>
    <w:rsid w:val="003849B5"/>
    <w:rsid w:val="00384FA8"/>
    <w:rsid w:val="00386551"/>
    <w:rsid w:val="00387FA7"/>
    <w:rsid w:val="00390ABB"/>
    <w:rsid w:val="003913E8"/>
    <w:rsid w:val="00392985"/>
    <w:rsid w:val="003930F1"/>
    <w:rsid w:val="0039314B"/>
    <w:rsid w:val="00393181"/>
    <w:rsid w:val="00395343"/>
    <w:rsid w:val="003967D5"/>
    <w:rsid w:val="003A107E"/>
    <w:rsid w:val="003A133D"/>
    <w:rsid w:val="003A7001"/>
    <w:rsid w:val="003A748A"/>
    <w:rsid w:val="003A7807"/>
    <w:rsid w:val="003A7D1E"/>
    <w:rsid w:val="003B01E2"/>
    <w:rsid w:val="003B51C1"/>
    <w:rsid w:val="003B7506"/>
    <w:rsid w:val="003B7561"/>
    <w:rsid w:val="003B75E3"/>
    <w:rsid w:val="003B75EE"/>
    <w:rsid w:val="003C051B"/>
    <w:rsid w:val="003C151A"/>
    <w:rsid w:val="003C1A4A"/>
    <w:rsid w:val="003C2638"/>
    <w:rsid w:val="003C3470"/>
    <w:rsid w:val="003C4245"/>
    <w:rsid w:val="003C5A99"/>
    <w:rsid w:val="003D0613"/>
    <w:rsid w:val="003D0967"/>
    <w:rsid w:val="003D19D2"/>
    <w:rsid w:val="003D556B"/>
    <w:rsid w:val="003D7F73"/>
    <w:rsid w:val="003E0362"/>
    <w:rsid w:val="003E1029"/>
    <w:rsid w:val="003E2FE4"/>
    <w:rsid w:val="003E4471"/>
    <w:rsid w:val="003E6C9F"/>
    <w:rsid w:val="003E73A5"/>
    <w:rsid w:val="003E7595"/>
    <w:rsid w:val="003E787F"/>
    <w:rsid w:val="003F01B2"/>
    <w:rsid w:val="003F0D09"/>
    <w:rsid w:val="003F4183"/>
    <w:rsid w:val="003F6309"/>
    <w:rsid w:val="003F6ED2"/>
    <w:rsid w:val="003F769A"/>
    <w:rsid w:val="003F7EF5"/>
    <w:rsid w:val="0040148C"/>
    <w:rsid w:val="004018D9"/>
    <w:rsid w:val="00403A9B"/>
    <w:rsid w:val="00404591"/>
    <w:rsid w:val="00405FD8"/>
    <w:rsid w:val="00406F84"/>
    <w:rsid w:val="00407062"/>
    <w:rsid w:val="00410188"/>
    <w:rsid w:val="00410991"/>
    <w:rsid w:val="00411DB1"/>
    <w:rsid w:val="004126B3"/>
    <w:rsid w:val="00416877"/>
    <w:rsid w:val="00420EDB"/>
    <w:rsid w:val="00423645"/>
    <w:rsid w:val="00423667"/>
    <w:rsid w:val="00425A35"/>
    <w:rsid w:val="004269A5"/>
    <w:rsid w:val="00426A35"/>
    <w:rsid w:val="0043178A"/>
    <w:rsid w:val="00433114"/>
    <w:rsid w:val="00433274"/>
    <w:rsid w:val="00433B15"/>
    <w:rsid w:val="004374B5"/>
    <w:rsid w:val="004408B1"/>
    <w:rsid w:val="00440D54"/>
    <w:rsid w:val="00440F13"/>
    <w:rsid w:val="004414FB"/>
    <w:rsid w:val="00442279"/>
    <w:rsid w:val="00444D7A"/>
    <w:rsid w:val="00446281"/>
    <w:rsid w:val="00446447"/>
    <w:rsid w:val="00446938"/>
    <w:rsid w:val="004473BE"/>
    <w:rsid w:val="0045364B"/>
    <w:rsid w:val="0046210E"/>
    <w:rsid w:val="00462A8C"/>
    <w:rsid w:val="00466AFC"/>
    <w:rsid w:val="00470443"/>
    <w:rsid w:val="00470D46"/>
    <w:rsid w:val="0047312A"/>
    <w:rsid w:val="00473ED2"/>
    <w:rsid w:val="00474229"/>
    <w:rsid w:val="00480E20"/>
    <w:rsid w:val="004821A8"/>
    <w:rsid w:val="004829A0"/>
    <w:rsid w:val="00484774"/>
    <w:rsid w:val="00485652"/>
    <w:rsid w:val="00486416"/>
    <w:rsid w:val="00490F3B"/>
    <w:rsid w:val="004921FC"/>
    <w:rsid w:val="00492DE1"/>
    <w:rsid w:val="0049421E"/>
    <w:rsid w:val="0049451D"/>
    <w:rsid w:val="00496FBD"/>
    <w:rsid w:val="00497FC8"/>
    <w:rsid w:val="004A089A"/>
    <w:rsid w:val="004A0F82"/>
    <w:rsid w:val="004A5508"/>
    <w:rsid w:val="004A59DC"/>
    <w:rsid w:val="004A627A"/>
    <w:rsid w:val="004B0CDC"/>
    <w:rsid w:val="004B2684"/>
    <w:rsid w:val="004B39FE"/>
    <w:rsid w:val="004B4495"/>
    <w:rsid w:val="004B63B0"/>
    <w:rsid w:val="004C14F0"/>
    <w:rsid w:val="004C1BB7"/>
    <w:rsid w:val="004C23D2"/>
    <w:rsid w:val="004C3FD8"/>
    <w:rsid w:val="004C47BC"/>
    <w:rsid w:val="004C7DC3"/>
    <w:rsid w:val="004D0874"/>
    <w:rsid w:val="004D0C9D"/>
    <w:rsid w:val="004D0D5C"/>
    <w:rsid w:val="004D1EE3"/>
    <w:rsid w:val="004D2CD1"/>
    <w:rsid w:val="004D57D3"/>
    <w:rsid w:val="004D7963"/>
    <w:rsid w:val="004E1889"/>
    <w:rsid w:val="004E390F"/>
    <w:rsid w:val="004E5897"/>
    <w:rsid w:val="004E683C"/>
    <w:rsid w:val="004E7E37"/>
    <w:rsid w:val="004E7F35"/>
    <w:rsid w:val="004F0AD2"/>
    <w:rsid w:val="004F3A0C"/>
    <w:rsid w:val="004F49CC"/>
    <w:rsid w:val="004F5AB1"/>
    <w:rsid w:val="005001D1"/>
    <w:rsid w:val="00500FB7"/>
    <w:rsid w:val="0050160E"/>
    <w:rsid w:val="00501C80"/>
    <w:rsid w:val="00503228"/>
    <w:rsid w:val="005046CA"/>
    <w:rsid w:val="005048F5"/>
    <w:rsid w:val="00505011"/>
    <w:rsid w:val="00505EDB"/>
    <w:rsid w:val="00507749"/>
    <w:rsid w:val="00507CE6"/>
    <w:rsid w:val="00514116"/>
    <w:rsid w:val="005153FE"/>
    <w:rsid w:val="0052702A"/>
    <w:rsid w:val="00527C0C"/>
    <w:rsid w:val="00527D39"/>
    <w:rsid w:val="00535129"/>
    <w:rsid w:val="005379F1"/>
    <w:rsid w:val="00540AA8"/>
    <w:rsid w:val="00541262"/>
    <w:rsid w:val="00541F96"/>
    <w:rsid w:val="00542C13"/>
    <w:rsid w:val="00545CBA"/>
    <w:rsid w:val="00546229"/>
    <w:rsid w:val="00546406"/>
    <w:rsid w:val="00551A87"/>
    <w:rsid w:val="00551C0C"/>
    <w:rsid w:val="00554132"/>
    <w:rsid w:val="0055488E"/>
    <w:rsid w:val="00554FF2"/>
    <w:rsid w:val="0055541A"/>
    <w:rsid w:val="00555939"/>
    <w:rsid w:val="00556447"/>
    <w:rsid w:val="005621AA"/>
    <w:rsid w:val="005628BD"/>
    <w:rsid w:val="00564AE3"/>
    <w:rsid w:val="00564C50"/>
    <w:rsid w:val="005668E5"/>
    <w:rsid w:val="00566CC1"/>
    <w:rsid w:val="00567284"/>
    <w:rsid w:val="00571B6C"/>
    <w:rsid w:val="005729DA"/>
    <w:rsid w:val="005738F5"/>
    <w:rsid w:val="00574D60"/>
    <w:rsid w:val="00575806"/>
    <w:rsid w:val="005819FD"/>
    <w:rsid w:val="00581D48"/>
    <w:rsid w:val="00582539"/>
    <w:rsid w:val="00583F73"/>
    <w:rsid w:val="005846F6"/>
    <w:rsid w:val="0058594A"/>
    <w:rsid w:val="00590D0A"/>
    <w:rsid w:val="0059177F"/>
    <w:rsid w:val="00592AEE"/>
    <w:rsid w:val="00592EA1"/>
    <w:rsid w:val="00593014"/>
    <w:rsid w:val="0059455E"/>
    <w:rsid w:val="0059464C"/>
    <w:rsid w:val="00595D4E"/>
    <w:rsid w:val="005A1D09"/>
    <w:rsid w:val="005A3192"/>
    <w:rsid w:val="005A50CF"/>
    <w:rsid w:val="005A6A99"/>
    <w:rsid w:val="005B0920"/>
    <w:rsid w:val="005B2CFA"/>
    <w:rsid w:val="005B3EB0"/>
    <w:rsid w:val="005B4FEC"/>
    <w:rsid w:val="005B5660"/>
    <w:rsid w:val="005B59CF"/>
    <w:rsid w:val="005B6DD9"/>
    <w:rsid w:val="005C02E0"/>
    <w:rsid w:val="005C04FC"/>
    <w:rsid w:val="005C0873"/>
    <w:rsid w:val="005C1FB9"/>
    <w:rsid w:val="005C2E57"/>
    <w:rsid w:val="005C5072"/>
    <w:rsid w:val="005D1EB0"/>
    <w:rsid w:val="005D3662"/>
    <w:rsid w:val="005D514A"/>
    <w:rsid w:val="005D5928"/>
    <w:rsid w:val="005D592A"/>
    <w:rsid w:val="005D6191"/>
    <w:rsid w:val="005D6E7E"/>
    <w:rsid w:val="005D7939"/>
    <w:rsid w:val="005E0426"/>
    <w:rsid w:val="005E0D26"/>
    <w:rsid w:val="005E1791"/>
    <w:rsid w:val="005E3374"/>
    <w:rsid w:val="005E3E96"/>
    <w:rsid w:val="005E555F"/>
    <w:rsid w:val="005E5956"/>
    <w:rsid w:val="005E5BC9"/>
    <w:rsid w:val="005F12E8"/>
    <w:rsid w:val="005F21B2"/>
    <w:rsid w:val="005F4FB5"/>
    <w:rsid w:val="005F6138"/>
    <w:rsid w:val="005F713B"/>
    <w:rsid w:val="005F7E81"/>
    <w:rsid w:val="00601454"/>
    <w:rsid w:val="00602ADC"/>
    <w:rsid w:val="006037EF"/>
    <w:rsid w:val="00603D6E"/>
    <w:rsid w:val="00606801"/>
    <w:rsid w:val="00607C2B"/>
    <w:rsid w:val="00607DBD"/>
    <w:rsid w:val="00610591"/>
    <w:rsid w:val="00613D08"/>
    <w:rsid w:val="0061555B"/>
    <w:rsid w:val="00617CB2"/>
    <w:rsid w:val="00620DF9"/>
    <w:rsid w:val="00621317"/>
    <w:rsid w:val="00623308"/>
    <w:rsid w:val="006248CD"/>
    <w:rsid w:val="00624A63"/>
    <w:rsid w:val="00625B3C"/>
    <w:rsid w:val="0062699B"/>
    <w:rsid w:val="00630498"/>
    <w:rsid w:val="006314E1"/>
    <w:rsid w:val="006328C3"/>
    <w:rsid w:val="00632F5E"/>
    <w:rsid w:val="00633E7F"/>
    <w:rsid w:val="00635785"/>
    <w:rsid w:val="0063717C"/>
    <w:rsid w:val="00640929"/>
    <w:rsid w:val="00641386"/>
    <w:rsid w:val="00641C5C"/>
    <w:rsid w:val="00644D4D"/>
    <w:rsid w:val="00645213"/>
    <w:rsid w:val="006474F9"/>
    <w:rsid w:val="0065129A"/>
    <w:rsid w:val="00651AEC"/>
    <w:rsid w:val="00651D9C"/>
    <w:rsid w:val="00652D9B"/>
    <w:rsid w:val="006537A3"/>
    <w:rsid w:val="00653B1E"/>
    <w:rsid w:val="00653EDC"/>
    <w:rsid w:val="00654E70"/>
    <w:rsid w:val="00655591"/>
    <w:rsid w:val="006562F6"/>
    <w:rsid w:val="0066079D"/>
    <w:rsid w:val="00660A2F"/>
    <w:rsid w:val="00660B6E"/>
    <w:rsid w:val="006627B1"/>
    <w:rsid w:val="00663022"/>
    <w:rsid w:val="0066351A"/>
    <w:rsid w:val="00665C44"/>
    <w:rsid w:val="00665DDA"/>
    <w:rsid w:val="00670F02"/>
    <w:rsid w:val="0067102D"/>
    <w:rsid w:val="0067266B"/>
    <w:rsid w:val="00673F4C"/>
    <w:rsid w:val="006742EA"/>
    <w:rsid w:val="00674913"/>
    <w:rsid w:val="00674E39"/>
    <w:rsid w:val="00677267"/>
    <w:rsid w:val="0068138E"/>
    <w:rsid w:val="00684780"/>
    <w:rsid w:val="00686E1A"/>
    <w:rsid w:val="0069003D"/>
    <w:rsid w:val="0069003F"/>
    <w:rsid w:val="00692E94"/>
    <w:rsid w:val="006969B9"/>
    <w:rsid w:val="006A0F09"/>
    <w:rsid w:val="006A1AEA"/>
    <w:rsid w:val="006A2176"/>
    <w:rsid w:val="006A2184"/>
    <w:rsid w:val="006A3A0A"/>
    <w:rsid w:val="006A5DA6"/>
    <w:rsid w:val="006A6DE3"/>
    <w:rsid w:val="006A7851"/>
    <w:rsid w:val="006A7EA8"/>
    <w:rsid w:val="006B0ACE"/>
    <w:rsid w:val="006B2BDD"/>
    <w:rsid w:val="006B4965"/>
    <w:rsid w:val="006B4980"/>
    <w:rsid w:val="006C02A5"/>
    <w:rsid w:val="006C0447"/>
    <w:rsid w:val="006C129D"/>
    <w:rsid w:val="006C203E"/>
    <w:rsid w:val="006C38A4"/>
    <w:rsid w:val="006C49FD"/>
    <w:rsid w:val="006C4B97"/>
    <w:rsid w:val="006C50CD"/>
    <w:rsid w:val="006C6454"/>
    <w:rsid w:val="006C7AC8"/>
    <w:rsid w:val="006D149C"/>
    <w:rsid w:val="006D3857"/>
    <w:rsid w:val="006D4925"/>
    <w:rsid w:val="006D569A"/>
    <w:rsid w:val="006E31D8"/>
    <w:rsid w:val="006E6A2A"/>
    <w:rsid w:val="006F0484"/>
    <w:rsid w:val="006F080C"/>
    <w:rsid w:val="006F1359"/>
    <w:rsid w:val="006F158B"/>
    <w:rsid w:val="006F1E58"/>
    <w:rsid w:val="006F23CB"/>
    <w:rsid w:val="006F48E3"/>
    <w:rsid w:val="006F50AC"/>
    <w:rsid w:val="006F74A2"/>
    <w:rsid w:val="00700211"/>
    <w:rsid w:val="007011FA"/>
    <w:rsid w:val="00703268"/>
    <w:rsid w:val="0070466B"/>
    <w:rsid w:val="00704C41"/>
    <w:rsid w:val="00705B6C"/>
    <w:rsid w:val="0071126F"/>
    <w:rsid w:val="00716716"/>
    <w:rsid w:val="007174FB"/>
    <w:rsid w:val="0072193C"/>
    <w:rsid w:val="00722195"/>
    <w:rsid w:val="00722DF3"/>
    <w:rsid w:val="0072337C"/>
    <w:rsid w:val="007248DD"/>
    <w:rsid w:val="00725DC9"/>
    <w:rsid w:val="007353B7"/>
    <w:rsid w:val="007401A6"/>
    <w:rsid w:val="007411E7"/>
    <w:rsid w:val="007421F7"/>
    <w:rsid w:val="00743992"/>
    <w:rsid w:val="00746E50"/>
    <w:rsid w:val="00753B62"/>
    <w:rsid w:val="00756541"/>
    <w:rsid w:val="007577C1"/>
    <w:rsid w:val="00762951"/>
    <w:rsid w:val="00762D59"/>
    <w:rsid w:val="007645DA"/>
    <w:rsid w:val="00764E4E"/>
    <w:rsid w:val="00767AB0"/>
    <w:rsid w:val="00767CFD"/>
    <w:rsid w:val="00767F64"/>
    <w:rsid w:val="00770547"/>
    <w:rsid w:val="00770D97"/>
    <w:rsid w:val="00774CBB"/>
    <w:rsid w:val="00776102"/>
    <w:rsid w:val="00776C9C"/>
    <w:rsid w:val="00777225"/>
    <w:rsid w:val="00782F7F"/>
    <w:rsid w:val="00782FB3"/>
    <w:rsid w:val="00785516"/>
    <w:rsid w:val="00786FDC"/>
    <w:rsid w:val="007870B5"/>
    <w:rsid w:val="00787A85"/>
    <w:rsid w:val="00791FF4"/>
    <w:rsid w:val="00793217"/>
    <w:rsid w:val="007934D7"/>
    <w:rsid w:val="007936C6"/>
    <w:rsid w:val="007945EC"/>
    <w:rsid w:val="0079609E"/>
    <w:rsid w:val="00797651"/>
    <w:rsid w:val="007A0D07"/>
    <w:rsid w:val="007A1C3A"/>
    <w:rsid w:val="007A7856"/>
    <w:rsid w:val="007B045B"/>
    <w:rsid w:val="007B0F2F"/>
    <w:rsid w:val="007B225A"/>
    <w:rsid w:val="007B3428"/>
    <w:rsid w:val="007B3443"/>
    <w:rsid w:val="007B74D2"/>
    <w:rsid w:val="007C0A55"/>
    <w:rsid w:val="007C1F4B"/>
    <w:rsid w:val="007C406F"/>
    <w:rsid w:val="007C41F5"/>
    <w:rsid w:val="007C44FF"/>
    <w:rsid w:val="007D117D"/>
    <w:rsid w:val="007D50B2"/>
    <w:rsid w:val="007E1202"/>
    <w:rsid w:val="007E1648"/>
    <w:rsid w:val="007E1CF4"/>
    <w:rsid w:val="007E4F5C"/>
    <w:rsid w:val="007F0B9C"/>
    <w:rsid w:val="007F12DF"/>
    <w:rsid w:val="007F25BD"/>
    <w:rsid w:val="007F47CF"/>
    <w:rsid w:val="007F5054"/>
    <w:rsid w:val="00801CD4"/>
    <w:rsid w:val="008041DD"/>
    <w:rsid w:val="0080452C"/>
    <w:rsid w:val="00805924"/>
    <w:rsid w:val="008079BF"/>
    <w:rsid w:val="00807B60"/>
    <w:rsid w:val="00807BD8"/>
    <w:rsid w:val="00807C11"/>
    <w:rsid w:val="008105F4"/>
    <w:rsid w:val="008119D8"/>
    <w:rsid w:val="00811E93"/>
    <w:rsid w:val="008125CE"/>
    <w:rsid w:val="008146E6"/>
    <w:rsid w:val="00814C5F"/>
    <w:rsid w:val="008332E6"/>
    <w:rsid w:val="0083409E"/>
    <w:rsid w:val="008347C5"/>
    <w:rsid w:val="008353DC"/>
    <w:rsid w:val="00835DF3"/>
    <w:rsid w:val="008402AB"/>
    <w:rsid w:val="00840C50"/>
    <w:rsid w:val="00842221"/>
    <w:rsid w:val="00843C4D"/>
    <w:rsid w:val="008455D2"/>
    <w:rsid w:val="0085280D"/>
    <w:rsid w:val="00854C4A"/>
    <w:rsid w:val="00855939"/>
    <w:rsid w:val="00855A48"/>
    <w:rsid w:val="00857098"/>
    <w:rsid w:val="00857D9B"/>
    <w:rsid w:val="00860824"/>
    <w:rsid w:val="0086088F"/>
    <w:rsid w:val="00860F09"/>
    <w:rsid w:val="00862247"/>
    <w:rsid w:val="0086374F"/>
    <w:rsid w:val="0086458C"/>
    <w:rsid w:val="00865982"/>
    <w:rsid w:val="008677F8"/>
    <w:rsid w:val="00867CBC"/>
    <w:rsid w:val="0087311C"/>
    <w:rsid w:val="0087312B"/>
    <w:rsid w:val="00877623"/>
    <w:rsid w:val="00880FE3"/>
    <w:rsid w:val="00885AF3"/>
    <w:rsid w:val="008861DB"/>
    <w:rsid w:val="00886B5B"/>
    <w:rsid w:val="00887BC0"/>
    <w:rsid w:val="00890E4E"/>
    <w:rsid w:val="00892CEA"/>
    <w:rsid w:val="00893FA5"/>
    <w:rsid w:val="00895ED3"/>
    <w:rsid w:val="00896A7D"/>
    <w:rsid w:val="00896D80"/>
    <w:rsid w:val="00896F45"/>
    <w:rsid w:val="008975C2"/>
    <w:rsid w:val="00897F0A"/>
    <w:rsid w:val="008A29C6"/>
    <w:rsid w:val="008A3724"/>
    <w:rsid w:val="008A37A0"/>
    <w:rsid w:val="008A3D86"/>
    <w:rsid w:val="008A4369"/>
    <w:rsid w:val="008A6A41"/>
    <w:rsid w:val="008A7137"/>
    <w:rsid w:val="008A73A6"/>
    <w:rsid w:val="008A752D"/>
    <w:rsid w:val="008B0BEF"/>
    <w:rsid w:val="008B108E"/>
    <w:rsid w:val="008B4109"/>
    <w:rsid w:val="008B44D1"/>
    <w:rsid w:val="008B58D3"/>
    <w:rsid w:val="008B666D"/>
    <w:rsid w:val="008B726D"/>
    <w:rsid w:val="008C4D65"/>
    <w:rsid w:val="008C5808"/>
    <w:rsid w:val="008C6277"/>
    <w:rsid w:val="008C686F"/>
    <w:rsid w:val="008C69E6"/>
    <w:rsid w:val="008C791C"/>
    <w:rsid w:val="008C79E3"/>
    <w:rsid w:val="008C7A2C"/>
    <w:rsid w:val="008D1F8C"/>
    <w:rsid w:val="008D43F0"/>
    <w:rsid w:val="008D6A30"/>
    <w:rsid w:val="008D70A1"/>
    <w:rsid w:val="008D7E6C"/>
    <w:rsid w:val="008D7F8E"/>
    <w:rsid w:val="008E1CF1"/>
    <w:rsid w:val="008E4600"/>
    <w:rsid w:val="008E4864"/>
    <w:rsid w:val="008E5280"/>
    <w:rsid w:val="008F194F"/>
    <w:rsid w:val="008F23BA"/>
    <w:rsid w:val="008F707F"/>
    <w:rsid w:val="008F7AF0"/>
    <w:rsid w:val="0090427D"/>
    <w:rsid w:val="009049B0"/>
    <w:rsid w:val="00907630"/>
    <w:rsid w:val="00907746"/>
    <w:rsid w:val="00912290"/>
    <w:rsid w:val="009179C7"/>
    <w:rsid w:val="009213DC"/>
    <w:rsid w:val="00922713"/>
    <w:rsid w:val="0092514C"/>
    <w:rsid w:val="00925743"/>
    <w:rsid w:val="00926249"/>
    <w:rsid w:val="00927B12"/>
    <w:rsid w:val="00927DD5"/>
    <w:rsid w:val="00933314"/>
    <w:rsid w:val="00936376"/>
    <w:rsid w:val="00936625"/>
    <w:rsid w:val="00936727"/>
    <w:rsid w:val="0094190F"/>
    <w:rsid w:val="00941D9D"/>
    <w:rsid w:val="00941E8C"/>
    <w:rsid w:val="00942036"/>
    <w:rsid w:val="009435D7"/>
    <w:rsid w:val="00945CAD"/>
    <w:rsid w:val="00946101"/>
    <w:rsid w:val="009471A6"/>
    <w:rsid w:val="00950339"/>
    <w:rsid w:val="0095072D"/>
    <w:rsid w:val="009516B9"/>
    <w:rsid w:val="00951E05"/>
    <w:rsid w:val="00953FE9"/>
    <w:rsid w:val="00967314"/>
    <w:rsid w:val="00967401"/>
    <w:rsid w:val="00967C83"/>
    <w:rsid w:val="009735A6"/>
    <w:rsid w:val="00975B60"/>
    <w:rsid w:val="009773DF"/>
    <w:rsid w:val="00977777"/>
    <w:rsid w:val="00977B4E"/>
    <w:rsid w:val="00981747"/>
    <w:rsid w:val="00983412"/>
    <w:rsid w:val="00985E9D"/>
    <w:rsid w:val="0099036A"/>
    <w:rsid w:val="00990981"/>
    <w:rsid w:val="00991648"/>
    <w:rsid w:val="00992245"/>
    <w:rsid w:val="009A2431"/>
    <w:rsid w:val="009A3D9F"/>
    <w:rsid w:val="009A6D15"/>
    <w:rsid w:val="009A707D"/>
    <w:rsid w:val="009A79B7"/>
    <w:rsid w:val="009B0EFA"/>
    <w:rsid w:val="009B1069"/>
    <w:rsid w:val="009B1625"/>
    <w:rsid w:val="009B35A4"/>
    <w:rsid w:val="009B414D"/>
    <w:rsid w:val="009B6E50"/>
    <w:rsid w:val="009C19F3"/>
    <w:rsid w:val="009C1C67"/>
    <w:rsid w:val="009C5B82"/>
    <w:rsid w:val="009C787A"/>
    <w:rsid w:val="009D1570"/>
    <w:rsid w:val="009D3D00"/>
    <w:rsid w:val="009D433B"/>
    <w:rsid w:val="009E0A2C"/>
    <w:rsid w:val="009E1A47"/>
    <w:rsid w:val="009E4DFE"/>
    <w:rsid w:val="009F1B63"/>
    <w:rsid w:val="009F2AD7"/>
    <w:rsid w:val="009F42EE"/>
    <w:rsid w:val="009F6A61"/>
    <w:rsid w:val="009F7DA6"/>
    <w:rsid w:val="00A01A63"/>
    <w:rsid w:val="00A02121"/>
    <w:rsid w:val="00A03706"/>
    <w:rsid w:val="00A03D5B"/>
    <w:rsid w:val="00A05EE7"/>
    <w:rsid w:val="00A10A72"/>
    <w:rsid w:val="00A1115B"/>
    <w:rsid w:val="00A1204A"/>
    <w:rsid w:val="00A152FF"/>
    <w:rsid w:val="00A16314"/>
    <w:rsid w:val="00A216CB"/>
    <w:rsid w:val="00A220C3"/>
    <w:rsid w:val="00A22A2E"/>
    <w:rsid w:val="00A22BFF"/>
    <w:rsid w:val="00A232D8"/>
    <w:rsid w:val="00A2404E"/>
    <w:rsid w:val="00A26387"/>
    <w:rsid w:val="00A26689"/>
    <w:rsid w:val="00A31713"/>
    <w:rsid w:val="00A3235F"/>
    <w:rsid w:val="00A3251B"/>
    <w:rsid w:val="00A33E65"/>
    <w:rsid w:val="00A34BCB"/>
    <w:rsid w:val="00A3589C"/>
    <w:rsid w:val="00A3634C"/>
    <w:rsid w:val="00A36DA0"/>
    <w:rsid w:val="00A40684"/>
    <w:rsid w:val="00A411AF"/>
    <w:rsid w:val="00A41A0E"/>
    <w:rsid w:val="00A44164"/>
    <w:rsid w:val="00A44806"/>
    <w:rsid w:val="00A47B8F"/>
    <w:rsid w:val="00A50223"/>
    <w:rsid w:val="00A50A42"/>
    <w:rsid w:val="00A524D8"/>
    <w:rsid w:val="00A52DC2"/>
    <w:rsid w:val="00A543BD"/>
    <w:rsid w:val="00A54BC9"/>
    <w:rsid w:val="00A5671D"/>
    <w:rsid w:val="00A56F8A"/>
    <w:rsid w:val="00A57C25"/>
    <w:rsid w:val="00A66558"/>
    <w:rsid w:val="00A66F48"/>
    <w:rsid w:val="00A71A45"/>
    <w:rsid w:val="00A7556B"/>
    <w:rsid w:val="00A770CF"/>
    <w:rsid w:val="00A8210C"/>
    <w:rsid w:val="00A822DA"/>
    <w:rsid w:val="00A8355C"/>
    <w:rsid w:val="00A84C24"/>
    <w:rsid w:val="00A85B0F"/>
    <w:rsid w:val="00A87534"/>
    <w:rsid w:val="00A87A28"/>
    <w:rsid w:val="00A920DF"/>
    <w:rsid w:val="00A931F6"/>
    <w:rsid w:val="00A94938"/>
    <w:rsid w:val="00A955A8"/>
    <w:rsid w:val="00A956C6"/>
    <w:rsid w:val="00A97BCB"/>
    <w:rsid w:val="00AA1721"/>
    <w:rsid w:val="00AA1DCD"/>
    <w:rsid w:val="00AA373A"/>
    <w:rsid w:val="00AA5413"/>
    <w:rsid w:val="00AA580A"/>
    <w:rsid w:val="00AA732E"/>
    <w:rsid w:val="00AB2140"/>
    <w:rsid w:val="00AB2BBF"/>
    <w:rsid w:val="00AB5BDE"/>
    <w:rsid w:val="00AB645B"/>
    <w:rsid w:val="00AC00D7"/>
    <w:rsid w:val="00AC00DD"/>
    <w:rsid w:val="00AC0732"/>
    <w:rsid w:val="00AC08AE"/>
    <w:rsid w:val="00AC0F0D"/>
    <w:rsid w:val="00AC132D"/>
    <w:rsid w:val="00AC3B0A"/>
    <w:rsid w:val="00AC4733"/>
    <w:rsid w:val="00AC5236"/>
    <w:rsid w:val="00AC548F"/>
    <w:rsid w:val="00AC54B8"/>
    <w:rsid w:val="00AD0753"/>
    <w:rsid w:val="00AD0E8A"/>
    <w:rsid w:val="00AD43D3"/>
    <w:rsid w:val="00AD5279"/>
    <w:rsid w:val="00AD5DCE"/>
    <w:rsid w:val="00AD605C"/>
    <w:rsid w:val="00AD6FB9"/>
    <w:rsid w:val="00AD7588"/>
    <w:rsid w:val="00AE08E3"/>
    <w:rsid w:val="00AE128D"/>
    <w:rsid w:val="00AE1488"/>
    <w:rsid w:val="00AE1950"/>
    <w:rsid w:val="00AE1B03"/>
    <w:rsid w:val="00AE25F4"/>
    <w:rsid w:val="00AE405E"/>
    <w:rsid w:val="00AF1CFB"/>
    <w:rsid w:val="00AF1FEB"/>
    <w:rsid w:val="00AF6012"/>
    <w:rsid w:val="00AF7B07"/>
    <w:rsid w:val="00B01C55"/>
    <w:rsid w:val="00B02B5E"/>
    <w:rsid w:val="00B0344D"/>
    <w:rsid w:val="00B0592E"/>
    <w:rsid w:val="00B07113"/>
    <w:rsid w:val="00B075B3"/>
    <w:rsid w:val="00B10D5F"/>
    <w:rsid w:val="00B125C2"/>
    <w:rsid w:val="00B12B1A"/>
    <w:rsid w:val="00B1688C"/>
    <w:rsid w:val="00B20BDE"/>
    <w:rsid w:val="00B2177E"/>
    <w:rsid w:val="00B2248F"/>
    <w:rsid w:val="00B24AAA"/>
    <w:rsid w:val="00B262BF"/>
    <w:rsid w:val="00B3031F"/>
    <w:rsid w:val="00B30673"/>
    <w:rsid w:val="00B30C4E"/>
    <w:rsid w:val="00B31238"/>
    <w:rsid w:val="00B31809"/>
    <w:rsid w:val="00B326CD"/>
    <w:rsid w:val="00B32834"/>
    <w:rsid w:val="00B35C50"/>
    <w:rsid w:val="00B41B36"/>
    <w:rsid w:val="00B420D2"/>
    <w:rsid w:val="00B42745"/>
    <w:rsid w:val="00B42EDD"/>
    <w:rsid w:val="00B43346"/>
    <w:rsid w:val="00B45D4B"/>
    <w:rsid w:val="00B51218"/>
    <w:rsid w:val="00B52268"/>
    <w:rsid w:val="00B53A27"/>
    <w:rsid w:val="00B557E9"/>
    <w:rsid w:val="00B60C4C"/>
    <w:rsid w:val="00B60CFD"/>
    <w:rsid w:val="00B625B9"/>
    <w:rsid w:val="00B62BF8"/>
    <w:rsid w:val="00B63310"/>
    <w:rsid w:val="00B63BFD"/>
    <w:rsid w:val="00B63DF9"/>
    <w:rsid w:val="00B6597B"/>
    <w:rsid w:val="00B6620F"/>
    <w:rsid w:val="00B66D88"/>
    <w:rsid w:val="00B67F6B"/>
    <w:rsid w:val="00B71633"/>
    <w:rsid w:val="00B7236C"/>
    <w:rsid w:val="00B73B63"/>
    <w:rsid w:val="00B73E52"/>
    <w:rsid w:val="00B81214"/>
    <w:rsid w:val="00B826C1"/>
    <w:rsid w:val="00B8273B"/>
    <w:rsid w:val="00B837C8"/>
    <w:rsid w:val="00B84910"/>
    <w:rsid w:val="00B85465"/>
    <w:rsid w:val="00B85F9F"/>
    <w:rsid w:val="00B90F81"/>
    <w:rsid w:val="00B91B20"/>
    <w:rsid w:val="00B92FD6"/>
    <w:rsid w:val="00B9322D"/>
    <w:rsid w:val="00B95329"/>
    <w:rsid w:val="00B9569C"/>
    <w:rsid w:val="00B96591"/>
    <w:rsid w:val="00B969DE"/>
    <w:rsid w:val="00B97D6F"/>
    <w:rsid w:val="00BA0BB5"/>
    <w:rsid w:val="00BA17B5"/>
    <w:rsid w:val="00BA27DC"/>
    <w:rsid w:val="00BA2DF8"/>
    <w:rsid w:val="00BA30DE"/>
    <w:rsid w:val="00BA3AC8"/>
    <w:rsid w:val="00BA3E0A"/>
    <w:rsid w:val="00BA4043"/>
    <w:rsid w:val="00BA5D6D"/>
    <w:rsid w:val="00BA6545"/>
    <w:rsid w:val="00BB0C65"/>
    <w:rsid w:val="00BB5446"/>
    <w:rsid w:val="00BB5B0C"/>
    <w:rsid w:val="00BB6BA7"/>
    <w:rsid w:val="00BC3A1E"/>
    <w:rsid w:val="00BC4949"/>
    <w:rsid w:val="00BC5690"/>
    <w:rsid w:val="00BC68FA"/>
    <w:rsid w:val="00BC77C9"/>
    <w:rsid w:val="00BC77D9"/>
    <w:rsid w:val="00BC7BB8"/>
    <w:rsid w:val="00BD138D"/>
    <w:rsid w:val="00BD273D"/>
    <w:rsid w:val="00BD28CC"/>
    <w:rsid w:val="00BD3161"/>
    <w:rsid w:val="00BD6F69"/>
    <w:rsid w:val="00BE1424"/>
    <w:rsid w:val="00BE266D"/>
    <w:rsid w:val="00BE6073"/>
    <w:rsid w:val="00BE657A"/>
    <w:rsid w:val="00BF36E1"/>
    <w:rsid w:val="00BF57C4"/>
    <w:rsid w:val="00BF5CAF"/>
    <w:rsid w:val="00BF656E"/>
    <w:rsid w:val="00C03FB7"/>
    <w:rsid w:val="00C04796"/>
    <w:rsid w:val="00C057E6"/>
    <w:rsid w:val="00C057F1"/>
    <w:rsid w:val="00C16987"/>
    <w:rsid w:val="00C16CAA"/>
    <w:rsid w:val="00C16EDA"/>
    <w:rsid w:val="00C22034"/>
    <w:rsid w:val="00C26D02"/>
    <w:rsid w:val="00C2777A"/>
    <w:rsid w:val="00C319D0"/>
    <w:rsid w:val="00C31F46"/>
    <w:rsid w:val="00C334F9"/>
    <w:rsid w:val="00C34053"/>
    <w:rsid w:val="00C3430E"/>
    <w:rsid w:val="00C34358"/>
    <w:rsid w:val="00C34E4D"/>
    <w:rsid w:val="00C354CE"/>
    <w:rsid w:val="00C40113"/>
    <w:rsid w:val="00C4072E"/>
    <w:rsid w:val="00C44513"/>
    <w:rsid w:val="00C44699"/>
    <w:rsid w:val="00C46773"/>
    <w:rsid w:val="00C467D2"/>
    <w:rsid w:val="00C5075D"/>
    <w:rsid w:val="00C51E91"/>
    <w:rsid w:val="00C521E6"/>
    <w:rsid w:val="00C56E47"/>
    <w:rsid w:val="00C57F87"/>
    <w:rsid w:val="00C6089B"/>
    <w:rsid w:val="00C61940"/>
    <w:rsid w:val="00C6457F"/>
    <w:rsid w:val="00C65F24"/>
    <w:rsid w:val="00C671DF"/>
    <w:rsid w:val="00C6751D"/>
    <w:rsid w:val="00C7285A"/>
    <w:rsid w:val="00C73465"/>
    <w:rsid w:val="00C759AB"/>
    <w:rsid w:val="00C7624B"/>
    <w:rsid w:val="00C76DF2"/>
    <w:rsid w:val="00C7788C"/>
    <w:rsid w:val="00C816F5"/>
    <w:rsid w:val="00C8258D"/>
    <w:rsid w:val="00C8457F"/>
    <w:rsid w:val="00C865CE"/>
    <w:rsid w:val="00C87D41"/>
    <w:rsid w:val="00C87E64"/>
    <w:rsid w:val="00C91B1B"/>
    <w:rsid w:val="00C9256C"/>
    <w:rsid w:val="00C926BF"/>
    <w:rsid w:val="00C93EB9"/>
    <w:rsid w:val="00C94270"/>
    <w:rsid w:val="00C94BE9"/>
    <w:rsid w:val="00C954D7"/>
    <w:rsid w:val="00C971CB"/>
    <w:rsid w:val="00CA101C"/>
    <w:rsid w:val="00CA5E1E"/>
    <w:rsid w:val="00CA61B9"/>
    <w:rsid w:val="00CA6973"/>
    <w:rsid w:val="00CB66D6"/>
    <w:rsid w:val="00CB6838"/>
    <w:rsid w:val="00CB6DB2"/>
    <w:rsid w:val="00CC0D3F"/>
    <w:rsid w:val="00CC12B2"/>
    <w:rsid w:val="00CC3C71"/>
    <w:rsid w:val="00CC50C2"/>
    <w:rsid w:val="00CC7A55"/>
    <w:rsid w:val="00CC7D3F"/>
    <w:rsid w:val="00CD1B9E"/>
    <w:rsid w:val="00CD2FD2"/>
    <w:rsid w:val="00CD3E50"/>
    <w:rsid w:val="00CD5582"/>
    <w:rsid w:val="00CE111A"/>
    <w:rsid w:val="00CE4367"/>
    <w:rsid w:val="00CE49CB"/>
    <w:rsid w:val="00CE5871"/>
    <w:rsid w:val="00CE6592"/>
    <w:rsid w:val="00CF1BAD"/>
    <w:rsid w:val="00CF459F"/>
    <w:rsid w:val="00D017C8"/>
    <w:rsid w:val="00D02A71"/>
    <w:rsid w:val="00D0503D"/>
    <w:rsid w:val="00D05D75"/>
    <w:rsid w:val="00D0728C"/>
    <w:rsid w:val="00D07899"/>
    <w:rsid w:val="00D13784"/>
    <w:rsid w:val="00D16388"/>
    <w:rsid w:val="00D16D22"/>
    <w:rsid w:val="00D17AFD"/>
    <w:rsid w:val="00D22A9E"/>
    <w:rsid w:val="00D23EC7"/>
    <w:rsid w:val="00D24FFA"/>
    <w:rsid w:val="00D25AAA"/>
    <w:rsid w:val="00D27253"/>
    <w:rsid w:val="00D27B17"/>
    <w:rsid w:val="00D30048"/>
    <w:rsid w:val="00D30B36"/>
    <w:rsid w:val="00D32169"/>
    <w:rsid w:val="00D325C0"/>
    <w:rsid w:val="00D333CC"/>
    <w:rsid w:val="00D34A40"/>
    <w:rsid w:val="00D36BD5"/>
    <w:rsid w:val="00D37E81"/>
    <w:rsid w:val="00D40B67"/>
    <w:rsid w:val="00D42869"/>
    <w:rsid w:val="00D42F81"/>
    <w:rsid w:val="00D438D0"/>
    <w:rsid w:val="00D55253"/>
    <w:rsid w:val="00D554AB"/>
    <w:rsid w:val="00D56841"/>
    <w:rsid w:val="00D56A40"/>
    <w:rsid w:val="00D56A5F"/>
    <w:rsid w:val="00D611B6"/>
    <w:rsid w:val="00D6277B"/>
    <w:rsid w:val="00D63127"/>
    <w:rsid w:val="00D63DB4"/>
    <w:rsid w:val="00D661DB"/>
    <w:rsid w:val="00D71F45"/>
    <w:rsid w:val="00D74831"/>
    <w:rsid w:val="00D76B2B"/>
    <w:rsid w:val="00D80904"/>
    <w:rsid w:val="00D828F6"/>
    <w:rsid w:val="00D84693"/>
    <w:rsid w:val="00D854E4"/>
    <w:rsid w:val="00D85EC0"/>
    <w:rsid w:val="00D87152"/>
    <w:rsid w:val="00D90FBC"/>
    <w:rsid w:val="00D91B97"/>
    <w:rsid w:val="00D97723"/>
    <w:rsid w:val="00DA7D9A"/>
    <w:rsid w:val="00DB0A3F"/>
    <w:rsid w:val="00DB27EE"/>
    <w:rsid w:val="00DB28FB"/>
    <w:rsid w:val="00DB6A3E"/>
    <w:rsid w:val="00DC0EC3"/>
    <w:rsid w:val="00DC0F65"/>
    <w:rsid w:val="00DC1048"/>
    <w:rsid w:val="00DC237F"/>
    <w:rsid w:val="00DC2CA0"/>
    <w:rsid w:val="00DC2D08"/>
    <w:rsid w:val="00DC3F93"/>
    <w:rsid w:val="00DC45CF"/>
    <w:rsid w:val="00DC4E72"/>
    <w:rsid w:val="00DC50F4"/>
    <w:rsid w:val="00DC656A"/>
    <w:rsid w:val="00DC7131"/>
    <w:rsid w:val="00DD11B5"/>
    <w:rsid w:val="00DD3C7B"/>
    <w:rsid w:val="00DD6356"/>
    <w:rsid w:val="00DE01DB"/>
    <w:rsid w:val="00DE581F"/>
    <w:rsid w:val="00DE66A3"/>
    <w:rsid w:val="00DE6E79"/>
    <w:rsid w:val="00DE7EBD"/>
    <w:rsid w:val="00DF039A"/>
    <w:rsid w:val="00DF06E0"/>
    <w:rsid w:val="00DF0D55"/>
    <w:rsid w:val="00DF18BA"/>
    <w:rsid w:val="00DF2301"/>
    <w:rsid w:val="00DF490F"/>
    <w:rsid w:val="00E0314A"/>
    <w:rsid w:val="00E07B73"/>
    <w:rsid w:val="00E10ABD"/>
    <w:rsid w:val="00E117BE"/>
    <w:rsid w:val="00E13A77"/>
    <w:rsid w:val="00E15966"/>
    <w:rsid w:val="00E15CBE"/>
    <w:rsid w:val="00E20FDD"/>
    <w:rsid w:val="00E22645"/>
    <w:rsid w:val="00E23AA0"/>
    <w:rsid w:val="00E25DE9"/>
    <w:rsid w:val="00E26B5D"/>
    <w:rsid w:val="00E30159"/>
    <w:rsid w:val="00E31982"/>
    <w:rsid w:val="00E33F76"/>
    <w:rsid w:val="00E3428A"/>
    <w:rsid w:val="00E37A09"/>
    <w:rsid w:val="00E4318A"/>
    <w:rsid w:val="00E438F0"/>
    <w:rsid w:val="00E44BA8"/>
    <w:rsid w:val="00E44F2E"/>
    <w:rsid w:val="00E457B5"/>
    <w:rsid w:val="00E50580"/>
    <w:rsid w:val="00E5193F"/>
    <w:rsid w:val="00E52078"/>
    <w:rsid w:val="00E52940"/>
    <w:rsid w:val="00E52D2C"/>
    <w:rsid w:val="00E542DA"/>
    <w:rsid w:val="00E5507C"/>
    <w:rsid w:val="00E56712"/>
    <w:rsid w:val="00E579A9"/>
    <w:rsid w:val="00E57F04"/>
    <w:rsid w:val="00E605A7"/>
    <w:rsid w:val="00E613CC"/>
    <w:rsid w:val="00E624F9"/>
    <w:rsid w:val="00E705F0"/>
    <w:rsid w:val="00E71885"/>
    <w:rsid w:val="00E72DC6"/>
    <w:rsid w:val="00E73D09"/>
    <w:rsid w:val="00E75E31"/>
    <w:rsid w:val="00E774AF"/>
    <w:rsid w:val="00E77787"/>
    <w:rsid w:val="00E77D87"/>
    <w:rsid w:val="00E812C0"/>
    <w:rsid w:val="00E8444A"/>
    <w:rsid w:val="00E86DB5"/>
    <w:rsid w:val="00E9023A"/>
    <w:rsid w:val="00E916E4"/>
    <w:rsid w:val="00E926A5"/>
    <w:rsid w:val="00E93037"/>
    <w:rsid w:val="00E9470E"/>
    <w:rsid w:val="00E962B4"/>
    <w:rsid w:val="00EA389E"/>
    <w:rsid w:val="00EA3A24"/>
    <w:rsid w:val="00EA4385"/>
    <w:rsid w:val="00EA62C4"/>
    <w:rsid w:val="00EA6740"/>
    <w:rsid w:val="00EB00FF"/>
    <w:rsid w:val="00EB0312"/>
    <w:rsid w:val="00EB05EC"/>
    <w:rsid w:val="00EB2878"/>
    <w:rsid w:val="00EB51FE"/>
    <w:rsid w:val="00EB5A15"/>
    <w:rsid w:val="00EB61A8"/>
    <w:rsid w:val="00EB76C8"/>
    <w:rsid w:val="00EB7708"/>
    <w:rsid w:val="00EC11CA"/>
    <w:rsid w:val="00EC289D"/>
    <w:rsid w:val="00EC41E0"/>
    <w:rsid w:val="00EC5520"/>
    <w:rsid w:val="00EC56F0"/>
    <w:rsid w:val="00ED1888"/>
    <w:rsid w:val="00ED19E6"/>
    <w:rsid w:val="00ED1CD1"/>
    <w:rsid w:val="00ED41AF"/>
    <w:rsid w:val="00ED4592"/>
    <w:rsid w:val="00ED74FD"/>
    <w:rsid w:val="00ED7A8A"/>
    <w:rsid w:val="00EE4C55"/>
    <w:rsid w:val="00EF1C85"/>
    <w:rsid w:val="00EF3011"/>
    <w:rsid w:val="00EF3C4E"/>
    <w:rsid w:val="00EF3F81"/>
    <w:rsid w:val="00EF49E7"/>
    <w:rsid w:val="00EF5BF2"/>
    <w:rsid w:val="00EF5E91"/>
    <w:rsid w:val="00EF75F0"/>
    <w:rsid w:val="00F0020D"/>
    <w:rsid w:val="00F037BD"/>
    <w:rsid w:val="00F03F1E"/>
    <w:rsid w:val="00F06094"/>
    <w:rsid w:val="00F06297"/>
    <w:rsid w:val="00F07D40"/>
    <w:rsid w:val="00F1363D"/>
    <w:rsid w:val="00F153E2"/>
    <w:rsid w:val="00F20FCF"/>
    <w:rsid w:val="00F237A4"/>
    <w:rsid w:val="00F24C2E"/>
    <w:rsid w:val="00F27A37"/>
    <w:rsid w:val="00F30847"/>
    <w:rsid w:val="00F30E5D"/>
    <w:rsid w:val="00F36148"/>
    <w:rsid w:val="00F3675D"/>
    <w:rsid w:val="00F41B17"/>
    <w:rsid w:val="00F41B27"/>
    <w:rsid w:val="00F41E71"/>
    <w:rsid w:val="00F443A4"/>
    <w:rsid w:val="00F44819"/>
    <w:rsid w:val="00F45324"/>
    <w:rsid w:val="00F45DE1"/>
    <w:rsid w:val="00F46CBE"/>
    <w:rsid w:val="00F472D4"/>
    <w:rsid w:val="00F51E7E"/>
    <w:rsid w:val="00F52C63"/>
    <w:rsid w:val="00F545E4"/>
    <w:rsid w:val="00F62151"/>
    <w:rsid w:val="00F7341A"/>
    <w:rsid w:val="00F80200"/>
    <w:rsid w:val="00F81575"/>
    <w:rsid w:val="00F81B18"/>
    <w:rsid w:val="00F872E6"/>
    <w:rsid w:val="00F903F5"/>
    <w:rsid w:val="00F9247A"/>
    <w:rsid w:val="00F93C3A"/>
    <w:rsid w:val="00F9469C"/>
    <w:rsid w:val="00F95ED5"/>
    <w:rsid w:val="00FA191F"/>
    <w:rsid w:val="00FA4AC7"/>
    <w:rsid w:val="00FA4D77"/>
    <w:rsid w:val="00FA5181"/>
    <w:rsid w:val="00FA6F6F"/>
    <w:rsid w:val="00FB579E"/>
    <w:rsid w:val="00FB607C"/>
    <w:rsid w:val="00FC00C1"/>
    <w:rsid w:val="00FC1394"/>
    <w:rsid w:val="00FC159E"/>
    <w:rsid w:val="00FC1BF1"/>
    <w:rsid w:val="00FC2AC2"/>
    <w:rsid w:val="00FC589E"/>
    <w:rsid w:val="00FC5C38"/>
    <w:rsid w:val="00FC64CD"/>
    <w:rsid w:val="00FC66E3"/>
    <w:rsid w:val="00FD0366"/>
    <w:rsid w:val="00FD118A"/>
    <w:rsid w:val="00FD21FE"/>
    <w:rsid w:val="00FD3356"/>
    <w:rsid w:val="00FD48B1"/>
    <w:rsid w:val="00FE1D7F"/>
    <w:rsid w:val="00FE2329"/>
    <w:rsid w:val="00FE3003"/>
    <w:rsid w:val="00FE4E25"/>
    <w:rsid w:val="00FF090C"/>
    <w:rsid w:val="00FF105A"/>
    <w:rsid w:val="00FF1069"/>
    <w:rsid w:val="00FF4889"/>
    <w:rsid w:val="00FF4F0E"/>
    <w:rsid w:val="00FF6844"/>
    <w:rsid w:val="00FF7A40"/>
    <w:rsid w:val="230D3D3F"/>
    <w:rsid w:val="2F3D9003"/>
    <w:rsid w:val="3D758DE5"/>
    <w:rsid w:val="3D7E9A7E"/>
    <w:rsid w:val="454C071B"/>
    <w:rsid w:val="5E6FD847"/>
    <w:rsid w:val="5FB6FD37"/>
    <w:rsid w:val="5FD7871F"/>
    <w:rsid w:val="5FDB9D18"/>
    <w:rsid w:val="6BFFD2EF"/>
    <w:rsid w:val="70FD85AA"/>
    <w:rsid w:val="77B1569C"/>
    <w:rsid w:val="77FF5E5A"/>
    <w:rsid w:val="78031D0F"/>
    <w:rsid w:val="7F2FC213"/>
    <w:rsid w:val="7FC37FDB"/>
    <w:rsid w:val="7FDE0420"/>
    <w:rsid w:val="7FFFD878"/>
    <w:rsid w:val="9FF6C1C8"/>
    <w:rsid w:val="BF9E424C"/>
    <w:rsid w:val="D35DEF0B"/>
    <w:rsid w:val="EDBB6095"/>
    <w:rsid w:val="EFEB2B43"/>
    <w:rsid w:val="FB7F5AA6"/>
    <w:rsid w:val="FD6F44BF"/>
    <w:rsid w:val="FF7F3A29"/>
    <w:rsid w:val="FF7FFDD2"/>
    <w:rsid w:val="FFFADF8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before="340" w:after="330" w:line="576" w:lineRule="auto"/>
      <w:outlineLvl w:val="0"/>
    </w:pPr>
    <w:rPr>
      <w:rFonts w:ascii="Times New Roman" w:hAnsi="Times New Roman" w:eastAsia="宋体" w:cs="Times New Roman"/>
      <w:b/>
      <w:bCs/>
      <w:kern w:val="44"/>
      <w:sz w:val="44"/>
      <w:szCs w:val="44"/>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Date"/>
    <w:basedOn w:val="1"/>
    <w:next w:val="1"/>
    <w:link w:val="12"/>
    <w:qFormat/>
    <w:uiPriority w:val="0"/>
    <w:rPr>
      <w:rFonts w:ascii="仿宋_GB2312" w:eastAsia="仿宋_GB2312"/>
      <w:sz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line="440" w:lineRule="exact"/>
      <w:ind w:left="200" w:leftChars="200"/>
      <w:jc w:val="left"/>
    </w:pPr>
    <w:rPr>
      <w:rFonts w:ascii="宋体" w:hAnsi="宋体" w:eastAsia="宋体" w:cs="宋体"/>
      <w:kern w:val="0"/>
      <w:sz w:val="24"/>
      <w:szCs w:val="24"/>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page number"/>
    <w:basedOn w:val="9"/>
    <w:qFormat/>
    <w:uiPriority w:val="0"/>
  </w:style>
  <w:style w:type="character" w:customStyle="1" w:styleId="11">
    <w:name w:val="页脚 Char"/>
    <w:basedOn w:val="9"/>
    <w:link w:val="4"/>
    <w:qFormat/>
    <w:uiPriority w:val="0"/>
    <w:rPr>
      <w:rFonts w:ascii="Times New Roman" w:hAnsi="Times New Roman" w:eastAsia="宋体" w:cs="Times New Roman"/>
      <w:sz w:val="18"/>
      <w:szCs w:val="18"/>
    </w:rPr>
  </w:style>
  <w:style w:type="character" w:customStyle="1" w:styleId="12">
    <w:name w:val="日期 Char"/>
    <w:basedOn w:val="9"/>
    <w:link w:val="3"/>
    <w:qFormat/>
    <w:uiPriority w:val="0"/>
    <w:rPr>
      <w:rFonts w:ascii="仿宋_GB2312" w:hAnsi="Times New Roman" w:eastAsia="仿宋_GB2312" w:cs="Times New Roman"/>
      <w:sz w:val="32"/>
      <w:szCs w:val="24"/>
    </w:rPr>
  </w:style>
  <w:style w:type="character" w:customStyle="1" w:styleId="13">
    <w:name w:val="页眉 Char"/>
    <w:basedOn w:val="9"/>
    <w:link w:val="5"/>
    <w:qFormat/>
    <w:uiPriority w:val="99"/>
    <w:rPr>
      <w:rFonts w:ascii="Times New Roman" w:hAnsi="Times New Roman" w:eastAsia="宋体" w:cs="Times New Roman"/>
      <w:sz w:val="18"/>
      <w:szCs w:val="18"/>
    </w:rPr>
  </w:style>
  <w:style w:type="paragraph" w:styleId="14">
    <w:name w:val="List Paragraph"/>
    <w:basedOn w:val="1"/>
    <w:qFormat/>
    <w:uiPriority w:val="34"/>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8"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54</Pages>
  <Words>43</Words>
  <Characters>246</Characters>
  <Lines>2</Lines>
  <Paragraphs>1</Paragraphs>
  <TotalTime>0</TotalTime>
  <ScaleCrop>false</ScaleCrop>
  <LinksUpToDate>false</LinksUpToDate>
  <CharactersWithSpaces>288</CharactersWithSpaces>
  <Application>WPS Office_11.8.2.11810_F1E327BC-269C-435d-A152-05C5408002CA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2019-09-17T22:10:00Z</dcterms:created>
  <dc:creator>CN=李小鹏/OU=办公室/O=CZCE</dc:creator>
  <cp:lastModifiedBy>张雅杰</cp:lastModifiedBy>
  <dcterms:modified xsi:type="dcterms:W3CDTF">2025-01-07T15:15:26Z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2052-11.8.2.11810</vt:lpwstr>
  </property>
  <property fmtid="{D5CDD505-2E9C-101B-9397-08002B2CF9AE}" pid="3" name="ICV">
    <vt:lpwstr>03CEFD44682D469E91B7F3306AD6B578</vt:lpwstr>
  </property>
</Properties>
</file>