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宋体" w:hAnsi="宋体" w:eastAsia="宋体" w:cstheme="minorBidi"/>
          <w:kern w:val="2"/>
          <w:sz w:val="21"/>
          <w:szCs w:val="22"/>
          <w:highlight w:val="none"/>
          <w:lang w:val="en-US" w:eastAsia="zh-CN" w:bidi="ar-SA"/>
        </w:rPr>
        <w:id w:val="961294765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21"/>
          <w:szCs w:val="22"/>
          <w:highlight w:val="none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left"/>
            <w:rPr>
              <w:rFonts w:hint="eastAsia" w:eastAsia="黑体"/>
              <w:bCs/>
              <w:sz w:val="44"/>
              <w:szCs w:val="44"/>
              <w:highlight w:val="none"/>
              <w:lang w:eastAsia="zh-CN"/>
            </w:rPr>
          </w:pPr>
          <w:r>
            <w:rPr>
              <w:rFonts w:hint="eastAsia" w:ascii="黑体" w:hAnsi="黑体" w:eastAsia="黑体" w:cs="黑体"/>
              <w:bCs/>
              <w:sz w:val="32"/>
              <w:szCs w:val="32"/>
              <w:highlight w:val="none"/>
            </w:rPr>
            <w:t>附件</w:t>
          </w:r>
          <w:r>
            <w:rPr>
              <w:rFonts w:hint="eastAsia" w:ascii="黑体" w:hAnsi="黑体" w:eastAsia="黑体" w:cs="黑体"/>
              <w:bCs/>
              <w:sz w:val="32"/>
              <w:szCs w:val="32"/>
              <w:highlight w:val="none"/>
              <w:lang w:val="en-US" w:eastAsia="zh-CN"/>
            </w:rPr>
            <w:t>6</w:t>
          </w:r>
        </w:p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Lines="100" w:line="360" w:lineRule="auto"/>
            <w:ind w:firstLine="0" w:firstLineChars="0"/>
            <w:jc w:val="center"/>
            <w:textAlignment w:val="auto"/>
            <w:rPr>
              <w:rFonts w:eastAsia="方正小标宋简体"/>
              <w:bCs/>
              <w:sz w:val="44"/>
              <w:szCs w:val="44"/>
              <w:highlight w:val="none"/>
            </w:rPr>
          </w:pPr>
          <w:r>
            <w:rPr>
              <w:rFonts w:hint="eastAsia" w:eastAsia="方正小标宋简体"/>
              <w:bCs/>
              <w:sz w:val="44"/>
              <w:szCs w:val="44"/>
              <w:highlight w:val="none"/>
              <w:lang w:val="en-US" w:eastAsia="zh-CN"/>
            </w:rPr>
            <w:t>郑州商品交易所期货、期权合约</w:t>
          </w: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ascii="宋体" w:hAnsi="宋体" w:eastAsia="宋体"/>
              <w:sz w:val="21"/>
              <w:highlight w:val="none"/>
            </w:rPr>
          </w:pPr>
        </w:p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b/>
              <w:bCs/>
              <w:highlight w:val="none"/>
            </w:rPr>
          </w:pPr>
          <w:r>
            <w:rPr>
              <w:rFonts w:ascii="宋体" w:hAnsi="宋体" w:eastAsia="宋体"/>
              <w:b/>
              <w:bCs/>
              <w:sz w:val="21"/>
              <w:highlight w:val="none"/>
            </w:rPr>
            <w:t>目录</w:t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TOC \o "1-1" \h \u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_Toc1072855453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  <w:lang w:eastAsia="zh-CN"/>
            </w:rPr>
            <w:t>郑州商品交易所普通小麦期货合约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_Toc1072855453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1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rFonts w:hint="eastAsia"/>
              <w:highlight w:val="none"/>
            </w:rPr>
            <w:t>郑州商品交易所优质强筋小麦期货合约</w:t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_Toc1331678200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_Toc1331678200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2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_Toc936150973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郑州商品交易所棉花期货合约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_Toc936150973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3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_Toc2016826375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郑州商品交易所白糖期货合约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_Toc2016826375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4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_Toc2109004806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郑州商品交易所油菜籽期货合约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_Toc2109004806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5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_Toc1376440307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郑州商品交易所菜籽油期货合约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_Toc1376440307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6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_Toc170481523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郑州商品交易所菜籽粕期货合约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_Toc170481523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7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_Toc889917299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郑州商品交易所早籼稻期货合约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_Toc889917299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8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_Toc1659084559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郑州商品交易所粳稻谷期货合约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_Toc1659084559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9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_Toc440278582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郑州商品交易所晚籼稻期货合约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_Toc440278582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10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_Toc378817100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郑州商品交易所精对苯二甲酸（PTA）期货合约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_Toc378817100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11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_Toc1400572292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郑州商品交易所甲醇期货合约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_Toc1400572292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12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_Toc128339338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郑州商品交易所玻璃期货合约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_Toc128339338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13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_Toc1130560641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郑州商品交易所动力煤期货合约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_Toc1130560641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14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_Toc419438059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郑州商品交易所硅铁期货合约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_Toc419438059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15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_Toc1924170136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郑州商品交易所锰硅期货合约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_Toc1924170136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16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_Toc675421521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郑州商品交易所棉纱期货合约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_Toc675421521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17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_Toc1527261121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郑州商品交易所鲜苹果期货合约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_Toc1527261121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18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_Toc70222397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郑州商品交易所干制红枣期货合约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_Toc70222397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19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_Toc1963671092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郑州商品交易所尿素期货合约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_Toc1963671092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20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_Toc1264559062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郑州商品交易所纯碱期货合约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_Toc1264559062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21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_Toc752740192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郑州商品交易所短纤期货合约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_Toc752740192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22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_Toc1454035715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郑州商品交易所花生期货合约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_Toc1454035715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23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_Toc394683578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</w:t>
          </w:r>
          <w:r>
            <w:rPr>
              <w:rFonts w:hint="eastAsia"/>
              <w:highlight w:val="none"/>
              <w:lang w:eastAsia="zh-CN"/>
            </w:rPr>
            <w:t>对二甲苯</w:t>
          </w:r>
          <w:r>
            <w:rPr>
              <w:rFonts w:hint="eastAsia"/>
              <w:highlight w:val="none"/>
            </w:rPr>
            <w:t>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_Toc394683578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24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_Toc1612157255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</w:t>
          </w:r>
          <w:r>
            <w:rPr>
              <w:rFonts w:hint="eastAsia"/>
              <w:highlight w:val="none"/>
              <w:lang w:eastAsia="zh-CN"/>
            </w:rPr>
            <w:t>烧碱</w:t>
          </w:r>
          <w:r>
            <w:rPr>
              <w:rFonts w:hint="eastAsia"/>
              <w:highlight w:val="none"/>
            </w:rPr>
            <w:t>期货合约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_Toc1612157255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25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_Toc1301250019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郑州商品交易所白糖期权合约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_Toc1301250019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26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_Toc1249023201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郑州商品交易所棉花期权合约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_Toc1249023201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27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_Toc868750232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郑州商品交易所PTA期权合约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_Toc868750232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28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_Toc953190327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郑州商品交易所甲醇期权合约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_Toc953190327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29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_Toc504686684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郑州商品交易所菜籽粕期权合约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_Toc504686684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30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_Toc1559463789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郑州商品交易所动力煤期权合约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_Toc1559463789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31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_Toc2026045780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郑州商品交易所菜籽油期权合约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_Toc2026045780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32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_Toc1836364884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郑州商品交易所花生期权合约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_Toc1836364884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33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_Toc348131114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郑州商品交易所对二甲苯期权合约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_Toc348131114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34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_Toc1895388507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郑州商品交易所烧碱期权合约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_Toc1895388507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35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_Toc1797886042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郑州商品交易所涤纶短纤期权合约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_Toc1797886042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36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  <w:sectPr>
              <w:pgSz w:w="11906" w:h="16838"/>
              <w:pgMar w:top="1440" w:right="1800" w:bottom="1440" w:left="1800" w:header="851" w:footer="992" w:gutter="0"/>
              <w:cols w:space="425" w:num="1"/>
              <w:docGrid w:type="lines" w:linePitch="312" w:charSpace="0"/>
            </w:sectPr>
          </w:pP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_Toc1724571421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郑州商品交易所纯碱期权合约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_Toc1724571421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37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_Toc2065870030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郑州商品交易所锰硅期权合约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_Toc2065870030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38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_Toc540319693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郑州商品交易所硅铁期权合约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_Toc540319693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39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_Toc1236172332 </w:instrText>
          </w:r>
          <w:r>
            <w:rPr>
              <w:highlight w:val="none"/>
            </w:rPr>
            <w:fldChar w:fldCharType="separate"/>
          </w:r>
          <w:r>
            <w:rPr>
              <w:rFonts w:hint="eastAsia"/>
              <w:highlight w:val="none"/>
            </w:rPr>
            <w:t>郑州商品交易所尿素期权合约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_Toc1236172332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40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pStyle w:val="133"/>
            <w:tabs>
              <w:tab w:val="right" w:leader="dot" w:pos="8306"/>
            </w:tabs>
            <w:rPr>
              <w:highlight w:val="none"/>
            </w:rPr>
          </w:pP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HYPERLINK \l _Toc919136793 </w:instrText>
          </w:r>
          <w:r>
            <w:rPr>
              <w:highlight w:val="none"/>
            </w:rPr>
            <w:fldChar w:fldCharType="separate"/>
          </w:r>
          <w:r>
            <w:rPr>
              <w:rFonts w:hint="eastAsia" w:asciiTheme="minorHAnsi" w:hAnsiTheme="minorHAnsi" w:eastAsiaTheme="minorEastAsia" w:cstheme="minorBidi"/>
              <w:highlight w:val="none"/>
            </w:rPr>
            <w:t>郑州商品交易所鲜苹果期权合约</w:t>
          </w:r>
          <w:r>
            <w:rPr>
              <w:highlight w:val="none"/>
            </w:rPr>
            <w:tab/>
          </w:r>
          <w:r>
            <w:rPr>
              <w:highlight w:val="none"/>
            </w:rPr>
            <w:fldChar w:fldCharType="begin"/>
          </w:r>
          <w:r>
            <w:rPr>
              <w:highlight w:val="none"/>
            </w:rPr>
            <w:instrText xml:space="preserve"> PAGEREF _Toc919136793 \h </w:instrText>
          </w:r>
          <w:r>
            <w:rPr>
              <w:highlight w:val="none"/>
            </w:rPr>
            <w:fldChar w:fldCharType="separate"/>
          </w:r>
          <w:r>
            <w:rPr>
              <w:highlight w:val="none"/>
            </w:rPr>
            <w:t>41</w:t>
          </w:r>
          <w:r>
            <w:rPr>
              <w:highlight w:val="none"/>
            </w:rPr>
            <w:fldChar w:fldCharType="end"/>
          </w:r>
          <w:r>
            <w:rPr>
              <w:highlight w:val="none"/>
            </w:rPr>
            <w:fldChar w:fldCharType="end"/>
          </w:r>
        </w:p>
        <w:p>
          <w:pPr>
            <w:rPr>
              <w:highlight w:val="none"/>
            </w:rPr>
          </w:pPr>
          <w:r>
            <w:rPr>
              <w:highlight w:val="none"/>
            </w:rPr>
            <w:fldChar w:fldCharType="end"/>
          </w:r>
        </w:p>
      </w:sdtContent>
    </w:sdt>
    <w:p>
      <w:pPr>
        <w:spacing w:line="360" w:lineRule="auto"/>
        <w:jc w:val="both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bookmarkStart w:id="0" w:name="_Toc1072855453"/>
    </w:p>
    <w:p>
      <w:pPr>
        <w:spacing w:line="360" w:lineRule="auto"/>
        <w:jc w:val="both"/>
        <w:outlineLvl w:val="0"/>
        <w:rPr>
          <w:rFonts w:hint="default" w:ascii="方正小标宋简体" w:eastAsia="方正小标宋简体"/>
          <w:sz w:val="44"/>
          <w:szCs w:val="44"/>
          <w:highlight w:val="none"/>
          <w:lang w:val="en-US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6-1</w:t>
      </w:r>
      <w:bookmarkEnd w:id="0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郑州商品交易所普通小麦期货合约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84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5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5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普通小麦（简称“普麦”）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5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50吨/手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5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5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5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5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5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1、3、5、7、9、11月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5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5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5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仓单交割：合约交割月份的第13个交易日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车（船）板交割：合约交割月份的次月20日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5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符合《中华人民共和国国家标准 小麦》（GB1351-2008）的三等及以上小麦，且物理指标等符合《郑州商品交易所普通小麦期货业务细则》规定要求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5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交易所指定交割仓库及指定交割计价点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5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5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PM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57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rPr>
          <w:rFonts w:ascii="黑体" w:hAnsi="黑体" w:eastAsia="黑体"/>
          <w:sz w:val="32"/>
          <w:szCs w:val="32"/>
          <w:highlight w:val="none"/>
        </w:rPr>
      </w:pPr>
    </w:p>
    <w:p>
      <w:pPr>
        <w:rPr>
          <w:rFonts w:ascii="黑体" w:hAnsi="黑体" w:eastAsia="黑体"/>
          <w:sz w:val="32"/>
          <w:szCs w:val="32"/>
          <w:highlight w:val="none"/>
        </w:rPr>
      </w:pPr>
    </w:p>
    <w:p>
      <w:pPr>
        <w:rPr>
          <w:rFonts w:ascii="黑体" w:hAnsi="黑体" w:eastAsia="黑体"/>
          <w:sz w:val="32"/>
          <w:szCs w:val="32"/>
          <w:highlight w:val="none"/>
        </w:rPr>
      </w:pPr>
    </w:p>
    <w:p>
      <w:pPr>
        <w:spacing w:line="360" w:lineRule="auto"/>
        <w:jc w:val="both"/>
        <w:outlineLvl w:val="0"/>
        <w:rPr>
          <w:rFonts w:ascii="黑体" w:hAnsi="黑体" w:eastAsia="黑体"/>
          <w:sz w:val="32"/>
          <w:szCs w:val="32"/>
          <w:highlight w:val="none"/>
        </w:rPr>
      </w:pPr>
      <w:bookmarkStart w:id="1" w:name="_Toc1331678200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6-2</w:t>
      </w:r>
      <w:bookmarkEnd w:id="1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郑州商品交易所优质强筋小麦期货合约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84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5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优质强筋小麦（简称“强麦”）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20吨/手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上一个交易日结算价±4%及《郑州商品交易所期货交易风险控制管理办法》相关规定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1、3、5、7、9、11月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合约交割月份的次月20日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符合《中华人民共和国国家标准 小麦》（GB 1351-2008）的三等及以上小麦，且容重、稳定时间、湿面筋等指标符合《郑州商品交易所优质强筋小麦期货业务细则》规定要求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WH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rPr>
          <w:rFonts w:ascii="黑体" w:hAnsi="黑体" w:eastAsia="黑体"/>
          <w:sz w:val="32"/>
          <w:szCs w:val="32"/>
          <w:highlight w:val="none"/>
        </w:rPr>
      </w:pPr>
    </w:p>
    <w:p>
      <w:pPr>
        <w:rPr>
          <w:rFonts w:ascii="黑体" w:hAnsi="黑体" w:eastAsia="黑体"/>
          <w:sz w:val="32"/>
          <w:szCs w:val="32"/>
          <w:highlight w:val="none"/>
        </w:rPr>
      </w:pPr>
    </w:p>
    <w:p>
      <w:pPr>
        <w:widowControl/>
        <w:jc w:val="both"/>
        <w:rPr>
          <w:rFonts w:hint="eastAsia" w:ascii="黑体" w:hAnsi="黑体" w:eastAsia="黑体"/>
          <w:sz w:val="32"/>
          <w:szCs w:val="32"/>
          <w:highlight w:val="none"/>
        </w:rPr>
      </w:pPr>
    </w:p>
    <w:p>
      <w:pPr>
        <w:spacing w:line="360" w:lineRule="auto"/>
        <w:jc w:val="both"/>
        <w:outlineLvl w:val="0"/>
        <w:rPr>
          <w:rFonts w:hint="eastAsia" w:ascii="方正小标宋简体" w:eastAsia="方正小标宋简体"/>
          <w:sz w:val="44"/>
          <w:szCs w:val="44"/>
          <w:highlight w:val="none"/>
        </w:rPr>
      </w:pPr>
      <w:bookmarkStart w:id="2" w:name="_Toc936150973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6-3</w:t>
      </w:r>
      <w:bookmarkEnd w:id="2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郑州商品交易所棉花期货合约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5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棉花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5吨/手（公定重量）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每日价格最大波动限制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1、3、5、7、9、11月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合约交割月份的第13个交易日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基准交割品：符合GB1103.1-2012《棉花 第1部分：锯齿加工细绒棉》规定的3128B级，且长度整齐度为U3档，断裂比强度为S3档，轧工质量为P2档的国产棉花。替代品详见交易所棉花期货业务细则。替代品升贴水由交易所另行制定并公告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交易所指定棉花交割仓库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CF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widowControl/>
        <w:jc w:val="center"/>
        <w:rPr>
          <w:rFonts w:hint="eastAsia" w:ascii="黑体" w:hAnsi="黑体" w:eastAsia="黑体"/>
          <w:sz w:val="32"/>
          <w:szCs w:val="32"/>
          <w:highlight w:val="none"/>
        </w:rPr>
      </w:pPr>
    </w:p>
    <w:p>
      <w:pPr>
        <w:widowControl/>
        <w:jc w:val="center"/>
        <w:rPr>
          <w:rFonts w:hint="eastAsia" w:ascii="黑体" w:hAnsi="黑体" w:eastAsia="黑体"/>
          <w:sz w:val="32"/>
          <w:szCs w:val="32"/>
          <w:highlight w:val="none"/>
        </w:rPr>
      </w:pPr>
    </w:p>
    <w:p>
      <w:pPr>
        <w:spacing w:line="360" w:lineRule="auto"/>
        <w:jc w:val="both"/>
        <w:outlineLvl w:val="0"/>
        <w:rPr>
          <w:rFonts w:hint="eastAsia" w:ascii="黑体" w:hAnsi="黑体" w:eastAsia="黑体"/>
          <w:sz w:val="32"/>
          <w:szCs w:val="32"/>
          <w:highlight w:val="none"/>
        </w:rPr>
      </w:pPr>
      <w:bookmarkStart w:id="3" w:name="_Toc2016826375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6-4</w:t>
      </w:r>
      <w:bookmarkEnd w:id="3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郑州商品交易所白糖期货合约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84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5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白砂糖（简称“白糖”）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10吨/手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1、3、5、7、9、11月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合约交割月份的第13个交易日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见《郑州商品交易所白砂糖期货业务细则》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SR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line="360" w:lineRule="auto"/>
        <w:jc w:val="both"/>
        <w:outlineLvl w:val="0"/>
        <w:rPr>
          <w:rFonts w:hint="eastAsia" w:ascii="方正小标宋简体" w:eastAsia="方正小标宋简体"/>
          <w:sz w:val="44"/>
          <w:szCs w:val="44"/>
          <w:highlight w:val="none"/>
        </w:rPr>
      </w:pPr>
      <w:bookmarkStart w:id="4" w:name="_Toc2109004806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6-5</w:t>
      </w:r>
      <w:bookmarkEnd w:id="4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郑州商品交易所油菜籽期货合约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841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1"/>
        <w:gridCol w:w="5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油菜籽（简称“菜籽”）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10吨/手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7、8、9、11月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仓单交割：合约交割月份的第13个交易日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车（船）板交割：合约交割月份的次月20日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见《郑州商品交易所油菜籽期货业务细则》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RS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4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57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both"/>
        <w:outlineLvl w:val="0"/>
        <w:rPr>
          <w:rFonts w:hint="eastAsia" w:ascii="方正小标宋简体" w:eastAsia="方正小标宋简体"/>
          <w:sz w:val="44"/>
          <w:szCs w:val="44"/>
          <w:highlight w:val="none"/>
        </w:rPr>
      </w:pPr>
      <w:bookmarkStart w:id="5" w:name="_Toc1376440307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6-6</w:t>
      </w:r>
      <w:bookmarkEnd w:id="5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郑州商品交易所菜籽油期货合约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菜籽油（简称“菜油”）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10吨/手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1、3、5、7、9、11月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合约交割月份的第13个交易日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基准交割品：符合《中华人民共和国国家标准 菜籽油》（GB1536-2004）四级质量指标的菜油。替代品及升贴水见《郑州商品交易所菜籽油期货业务细则》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OI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注：菜油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2307合约之前适用此合约的交割标准，自菜油2307合约开始实施的交割标准见《郑州商品交易所菜籽油期货业务细则》相关规定。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both"/>
        <w:outlineLvl w:val="0"/>
        <w:rPr>
          <w:rFonts w:hint="eastAsia" w:ascii="方正小标宋简体" w:eastAsia="方正小标宋简体"/>
          <w:sz w:val="44"/>
          <w:szCs w:val="44"/>
          <w:highlight w:val="none"/>
        </w:rPr>
      </w:pPr>
      <w:bookmarkStart w:id="6" w:name="_Toc170481523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6-7</w:t>
      </w:r>
      <w:bookmarkEnd w:id="6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郑州商品交易所菜籽粕期货合约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菜籽粕（简称“菜粕”）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10吨/手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1、3、5、7、8、9、11月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合约交割月份的第13个交易日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见《郑州商品交易所菜籽粕期货业务细则》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RM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rPr>
          <w:rFonts w:ascii="仿宋" w:hAnsi="仿宋" w:eastAsia="仿宋"/>
          <w:sz w:val="28"/>
          <w:szCs w:val="28"/>
          <w:highlight w:val="none"/>
        </w:rPr>
      </w:pPr>
    </w:p>
    <w:p>
      <w:pPr>
        <w:widowControl/>
        <w:jc w:val="left"/>
        <w:rPr>
          <w:rFonts w:ascii="仿宋" w:hAnsi="仿宋" w:eastAsia="仿宋"/>
          <w:sz w:val="30"/>
          <w:szCs w:val="30"/>
          <w:highlight w:val="none"/>
        </w:rPr>
      </w:pPr>
      <w:r>
        <w:rPr>
          <w:rFonts w:ascii="仿宋" w:hAnsi="仿宋" w:eastAsia="仿宋"/>
          <w:sz w:val="30"/>
          <w:szCs w:val="30"/>
          <w:highlight w:val="none"/>
        </w:rPr>
        <w:br w:type="page"/>
      </w:r>
    </w:p>
    <w:p>
      <w:pPr>
        <w:spacing w:line="360" w:lineRule="auto"/>
        <w:jc w:val="both"/>
        <w:outlineLvl w:val="0"/>
        <w:rPr>
          <w:rFonts w:hint="eastAsia" w:ascii="方正小标宋简体" w:eastAsia="方正小标宋简体"/>
          <w:sz w:val="44"/>
          <w:szCs w:val="44"/>
          <w:highlight w:val="none"/>
        </w:rPr>
      </w:pPr>
      <w:bookmarkStart w:id="7" w:name="_Toc889917299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6-8</w:t>
      </w:r>
      <w:bookmarkEnd w:id="7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郑州商品交易所早籼稻期货合约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早籼稻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20吨/手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1、3、5、7、9、11月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合约交割月份的第13个交易日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基准交割品：符合《中华人民共和国国家标准 稻谷》（GB1350-2009）三等及以上等级质量指标及《郑州商品交易所早籼稻期货交割细则》规定的早籼稻谷。替代品及升贴水见《郑州商品交易所早籼稻期货业务细则》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交易所指定交割仓库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RI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rPr>
          <w:rFonts w:ascii="黑体" w:hAnsi="黑体" w:eastAsia="黑体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both"/>
        <w:outlineLvl w:val="0"/>
        <w:rPr>
          <w:rFonts w:hint="eastAsia" w:ascii="方正小标宋简体" w:eastAsia="方正小标宋简体"/>
          <w:sz w:val="44"/>
          <w:szCs w:val="44"/>
          <w:highlight w:val="none"/>
        </w:rPr>
      </w:pPr>
      <w:bookmarkStart w:id="8" w:name="_Toc1659084559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6-9</w:t>
      </w:r>
      <w:bookmarkEnd w:id="8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郑州商品交易所粳稻谷期货合约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粳稻谷（简称“粳稻”）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20吨/手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1、3、5、7、9、11月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合约交割月份的第13个交易日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见《郑州商品交易所粳稻谷期货业务细则》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JR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30"/>
          <w:szCs w:val="30"/>
          <w:highlight w:val="none"/>
        </w:rPr>
      </w:pPr>
      <w:r>
        <w:rPr>
          <w:rFonts w:ascii="仿宋" w:hAnsi="仿宋" w:eastAsia="仿宋"/>
          <w:sz w:val="30"/>
          <w:szCs w:val="30"/>
          <w:highlight w:val="none"/>
        </w:rPr>
        <w:br w:type="page"/>
      </w:r>
    </w:p>
    <w:p>
      <w:pPr>
        <w:spacing w:line="360" w:lineRule="auto"/>
        <w:jc w:val="both"/>
        <w:outlineLvl w:val="0"/>
        <w:rPr>
          <w:rFonts w:hint="eastAsia" w:ascii="方正小标宋简体" w:eastAsia="方正小标宋简体"/>
          <w:sz w:val="44"/>
          <w:szCs w:val="44"/>
          <w:highlight w:val="none"/>
        </w:rPr>
      </w:pPr>
      <w:bookmarkStart w:id="9" w:name="_Toc440278582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6-10</w:t>
      </w:r>
      <w:bookmarkEnd w:id="9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郑州商品交易所晚籼稻期货合约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晚籼稻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20吨/手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1、3、5、7、9、11月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合约交割月份的第13个交易日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见《郑州商品交易所晚籼稻期货业务细则》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LR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rPr>
          <w:rFonts w:asciiTheme="minorEastAsia" w:hAnsiTheme="minorEastAsia"/>
          <w:sz w:val="28"/>
          <w:szCs w:val="28"/>
          <w:highlight w:val="none"/>
        </w:rPr>
      </w:pPr>
    </w:p>
    <w:p>
      <w:pPr>
        <w:widowControl/>
        <w:jc w:val="left"/>
        <w:rPr>
          <w:rFonts w:asciiTheme="minorEastAsia" w:hAnsiTheme="minorEastAsia"/>
          <w:sz w:val="28"/>
          <w:szCs w:val="28"/>
          <w:highlight w:val="none"/>
        </w:rPr>
      </w:pPr>
      <w:r>
        <w:rPr>
          <w:rFonts w:asciiTheme="minorEastAsia" w:hAnsiTheme="minorEastAsia"/>
          <w:sz w:val="28"/>
          <w:szCs w:val="28"/>
          <w:highlight w:val="none"/>
        </w:rPr>
        <w:br w:type="page"/>
      </w:r>
    </w:p>
    <w:p>
      <w:pPr>
        <w:spacing w:line="360" w:lineRule="auto"/>
        <w:jc w:val="both"/>
        <w:outlineLvl w:val="0"/>
        <w:rPr>
          <w:rFonts w:hint="default" w:ascii="方正小标宋简体" w:eastAsia="方正小标宋简体"/>
          <w:sz w:val="44"/>
          <w:szCs w:val="44"/>
          <w:highlight w:val="none"/>
          <w:lang w:val="en-US"/>
        </w:rPr>
      </w:pPr>
      <w:bookmarkStart w:id="10" w:name="_Toc378817100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6-11</w:t>
      </w:r>
      <w:bookmarkEnd w:id="10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郑州商品交易所精对苯二甲酸（PTA）期货合约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精对苯二甲酸（PTA）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1-12月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合约交割月份的第13个交易日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见《郑州商品交易所精对苯二甲酸（PTA）期货业务细则》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TA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rPr>
          <w:rFonts w:ascii="仿宋" w:hAnsi="仿宋" w:eastAsia="仿宋"/>
          <w:b/>
          <w:sz w:val="30"/>
          <w:szCs w:val="30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both"/>
        <w:outlineLvl w:val="0"/>
        <w:rPr>
          <w:rFonts w:hint="default" w:ascii="方正小标宋简体" w:eastAsia="方正小标宋简体"/>
          <w:sz w:val="44"/>
          <w:szCs w:val="44"/>
          <w:highlight w:val="none"/>
          <w:lang w:val="en-US"/>
        </w:rPr>
      </w:pPr>
      <w:bookmarkStart w:id="11" w:name="_Toc1400572292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6-12</w:t>
      </w:r>
      <w:bookmarkEnd w:id="11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郑州商品交易所甲醇期货合约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甲醇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10吨/手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1-12月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合约交割月份的第13个交易日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见《郑州商品交易所甲醇期货业务细则》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MA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widowControl/>
        <w:ind w:firstLine="2850" w:firstLineChars="950"/>
        <w:jc w:val="left"/>
        <w:rPr>
          <w:rFonts w:ascii="仿宋" w:hAnsi="仿宋" w:eastAsia="仿宋"/>
          <w:sz w:val="30"/>
          <w:szCs w:val="30"/>
          <w:highlight w:val="none"/>
        </w:rPr>
      </w:pPr>
    </w:p>
    <w:p>
      <w:pPr>
        <w:widowControl/>
        <w:jc w:val="left"/>
        <w:rPr>
          <w:rFonts w:ascii="仿宋" w:hAnsi="仿宋" w:eastAsia="仿宋"/>
          <w:sz w:val="30"/>
          <w:szCs w:val="30"/>
          <w:highlight w:val="none"/>
        </w:rPr>
      </w:pPr>
      <w:r>
        <w:rPr>
          <w:rFonts w:ascii="仿宋" w:hAnsi="仿宋" w:eastAsia="仿宋"/>
          <w:sz w:val="30"/>
          <w:szCs w:val="30"/>
          <w:highlight w:val="none"/>
        </w:rPr>
        <w:br w:type="page"/>
      </w:r>
    </w:p>
    <w:p>
      <w:pPr>
        <w:spacing w:line="360" w:lineRule="auto"/>
        <w:jc w:val="both"/>
        <w:outlineLvl w:val="0"/>
        <w:rPr>
          <w:rFonts w:hint="default" w:ascii="方正小标宋简体" w:eastAsia="方正小标宋简体"/>
          <w:sz w:val="44"/>
          <w:szCs w:val="44"/>
          <w:highlight w:val="none"/>
          <w:lang w:val="en-US"/>
        </w:rPr>
      </w:pPr>
      <w:bookmarkStart w:id="12" w:name="_Toc128339338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6-13</w:t>
      </w:r>
      <w:bookmarkEnd w:id="12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郑州商品交易所玻璃期货合约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平板玻璃（简称“玻璃”）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20吨/手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1-12月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合约交割月份的第13个交易日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见《郑州商品交易所平板玻璃期货业务细则》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FG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5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both"/>
        <w:outlineLvl w:val="0"/>
        <w:rPr>
          <w:rFonts w:hint="default" w:ascii="方正小标宋简体" w:eastAsia="方正小标宋简体"/>
          <w:sz w:val="44"/>
          <w:szCs w:val="44"/>
          <w:highlight w:val="none"/>
          <w:lang w:val="en-US"/>
        </w:rPr>
      </w:pPr>
      <w:bookmarkStart w:id="13" w:name="_Toc1130560641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6-14</w:t>
      </w:r>
      <w:bookmarkEnd w:id="13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郑州商品交易所动力煤期货合约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动力煤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100吨/手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0.2元/吨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1-12月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合约交割月份的第5个交易日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车（船）板交割：合约交割月份的最后1个日历日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仓单交割：合约交割月份的第8个交易日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见《郑州商品交易所动力煤期货业务细则》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ZC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rPr>
          <w:rFonts w:ascii="仿宋" w:hAnsi="仿宋" w:eastAsia="仿宋"/>
          <w:b/>
          <w:sz w:val="28"/>
          <w:szCs w:val="28"/>
          <w:highlight w:val="none"/>
        </w:rPr>
      </w:pPr>
      <w:r>
        <w:rPr>
          <w:rFonts w:ascii="仿宋" w:hAnsi="仿宋" w:eastAsia="仿宋"/>
          <w:sz w:val="30"/>
          <w:szCs w:val="30"/>
          <w:highlight w:val="none"/>
        </w:rPr>
        <w:br w:type="page"/>
      </w:r>
    </w:p>
    <w:p>
      <w:pPr>
        <w:spacing w:line="360" w:lineRule="auto"/>
        <w:jc w:val="both"/>
        <w:outlineLvl w:val="0"/>
        <w:rPr>
          <w:rFonts w:hint="default" w:ascii="方正小标宋简体" w:eastAsia="方正小标宋简体"/>
          <w:sz w:val="44"/>
          <w:szCs w:val="44"/>
          <w:highlight w:val="none"/>
          <w:lang w:val="en-US"/>
        </w:rPr>
      </w:pPr>
      <w:bookmarkStart w:id="14" w:name="_Toc419438059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6-15</w:t>
      </w:r>
      <w:bookmarkEnd w:id="14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郑州商品交易所硅铁期货合约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硅铁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1-12月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合约交割月份的第13个交易日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见《郑州商品交易所硅铁期货业务细则》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SF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rPr>
          <w:rFonts w:ascii="仿宋" w:hAnsi="仿宋" w:eastAsia="仿宋"/>
          <w:sz w:val="30"/>
          <w:szCs w:val="30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both"/>
        <w:outlineLvl w:val="0"/>
        <w:rPr>
          <w:rFonts w:hint="default" w:ascii="方正小标宋简体" w:eastAsia="方正小标宋简体"/>
          <w:sz w:val="44"/>
          <w:szCs w:val="44"/>
          <w:highlight w:val="none"/>
          <w:lang w:val="en-US"/>
        </w:rPr>
      </w:pPr>
      <w:bookmarkStart w:id="15" w:name="_Toc1924170136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6-16</w:t>
      </w:r>
      <w:bookmarkEnd w:id="15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郑州商品交易所锰硅期货合约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8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锰硅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1-12月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合约交割月份的第13个交易日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见《郑州商品交易所锰硅期货业务细则》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SM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5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rPr>
          <w:rFonts w:ascii="仿宋" w:hAnsi="仿宋" w:eastAsia="仿宋"/>
          <w:sz w:val="30"/>
          <w:szCs w:val="30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both"/>
        <w:outlineLvl w:val="0"/>
        <w:rPr>
          <w:rFonts w:hint="default" w:ascii="方正小标宋简体" w:eastAsia="方正小标宋简体"/>
          <w:sz w:val="44"/>
          <w:szCs w:val="44"/>
          <w:highlight w:val="none"/>
          <w:lang w:val="en-US"/>
        </w:rPr>
      </w:pPr>
      <w:bookmarkStart w:id="16" w:name="_Toc675421521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6-17</w:t>
      </w:r>
      <w:bookmarkEnd w:id="16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郑州商品交易所棉纱期货合约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496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62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棉纱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5吨/手（公定重量）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每日价格波动限制 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1-12月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合约交割月份的第13个交易日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见《郑州商品交易所棉纱期货业务细则》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CY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widowControl/>
        <w:ind w:firstLine="1432" w:firstLineChars="446"/>
        <w:rPr>
          <w:rFonts w:ascii="黑体" w:hAnsi="黑体" w:eastAsia="黑体"/>
          <w:b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both"/>
        <w:outlineLvl w:val="0"/>
        <w:rPr>
          <w:rFonts w:hint="default" w:ascii="方正小标宋简体" w:eastAsia="方正小标宋简体"/>
          <w:sz w:val="44"/>
          <w:szCs w:val="44"/>
          <w:highlight w:val="none"/>
          <w:lang w:val="en-US"/>
        </w:rPr>
      </w:pPr>
      <w:bookmarkStart w:id="17" w:name="_Toc1527261121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6-18</w:t>
      </w:r>
      <w:bookmarkEnd w:id="17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郑州商品交易所鲜苹果期货合约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496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62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鲜苹果（简称“苹果”）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10吨/手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 xml:space="preserve">每日价格波动限制 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上一交易日结算价±5%及《郑州商品交易所期货交易风险控制管理办法》相关规定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1、3、4、5、10、11、12月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仓单交割：合约交割月份的第13个交易日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车（船）板交割：合约交割月份的次月10日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见《郑州商品交易所鲜苹果期货业务细则》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AP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369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rPr>
          <w:rFonts w:ascii="黑体" w:hAnsi="黑体" w:eastAsia="黑体"/>
          <w:spacing w:val="-6"/>
          <w:sz w:val="32"/>
          <w:highlight w:val="none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both"/>
        <w:outlineLvl w:val="0"/>
        <w:rPr>
          <w:rFonts w:hint="default" w:ascii="方正小标宋简体" w:eastAsia="方正小标宋简体"/>
          <w:sz w:val="44"/>
          <w:szCs w:val="44"/>
          <w:highlight w:val="none"/>
          <w:lang w:val="en-US"/>
        </w:rPr>
      </w:pPr>
      <w:bookmarkStart w:id="18" w:name="_Toc70222397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6-19</w:t>
      </w:r>
      <w:bookmarkEnd w:id="18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郑州商品交易所干制红枣期货合约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87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83"/>
        <w:gridCol w:w="6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干制红枣（简称“红枣”）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上一交易日结算价±5%及《郑州商品交易所期货交易风险控制管理办法》相关规定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1、3、5、7、9、12月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仓单交割：合约交割月份的第13个交易日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车（船）板交割：合约交割月份的次月10日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见《郑州商品交易所干制红枣期货业务细则》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CJ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6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rPr>
          <w:rFonts w:ascii="黑体" w:hAnsi="黑体" w:eastAsia="黑体"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both"/>
        <w:outlineLvl w:val="0"/>
        <w:rPr>
          <w:rFonts w:hint="default" w:ascii="方正小标宋简体" w:eastAsia="方正小标宋简体"/>
          <w:sz w:val="44"/>
          <w:szCs w:val="44"/>
          <w:highlight w:val="none"/>
          <w:lang w:val="en-US"/>
        </w:rPr>
      </w:pPr>
      <w:bookmarkStart w:id="19" w:name="_Toc1963671092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6-20</w:t>
      </w:r>
      <w:bookmarkEnd w:id="19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郑州商品交易所尿素期货合约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84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9"/>
        <w:gridCol w:w="63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尿素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20吨/手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1-12月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合约交割月份的第13个交易日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见《郑州商品交易所尿素期货业务细则》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UR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rPr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both"/>
        <w:outlineLvl w:val="0"/>
        <w:rPr>
          <w:rFonts w:hint="default" w:ascii="方正小标宋简体" w:eastAsia="方正小标宋简体"/>
          <w:sz w:val="44"/>
          <w:szCs w:val="44"/>
          <w:highlight w:val="none"/>
          <w:lang w:val="en-US"/>
        </w:rPr>
      </w:pPr>
      <w:bookmarkStart w:id="20" w:name="_Toc1264559062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6-21</w:t>
      </w:r>
      <w:bookmarkEnd w:id="20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郑州商品交易所纯碱期货合约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84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9"/>
        <w:gridCol w:w="63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纯碱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20吨/手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1-12月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合约交割月份的第13个交易日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见《郑州商品交易所纯碱期货业务细则》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SA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6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rPr>
          <w:rFonts w:ascii="黑体" w:hAnsi="黑体" w:eastAsia="黑体"/>
          <w:sz w:val="32"/>
          <w:szCs w:val="32"/>
          <w:highlight w:val="none"/>
        </w:rPr>
      </w:pPr>
    </w:p>
    <w:p>
      <w:pPr>
        <w:jc w:val="center"/>
        <w:rPr>
          <w:rFonts w:hint="eastAsia" w:ascii="黑体" w:hAnsi="黑体" w:eastAsia="黑体" w:cs="仿宋"/>
          <w:bCs/>
          <w:sz w:val="32"/>
          <w:szCs w:val="32"/>
          <w:highlight w:val="none"/>
        </w:rPr>
      </w:pPr>
    </w:p>
    <w:p>
      <w:pPr>
        <w:jc w:val="center"/>
        <w:rPr>
          <w:rFonts w:hint="eastAsia" w:ascii="黑体" w:hAnsi="黑体" w:eastAsia="黑体" w:cs="仿宋"/>
          <w:bCs/>
          <w:sz w:val="32"/>
          <w:szCs w:val="32"/>
          <w:highlight w:val="none"/>
        </w:rPr>
      </w:pPr>
    </w:p>
    <w:p>
      <w:pPr>
        <w:jc w:val="center"/>
        <w:rPr>
          <w:rFonts w:hint="eastAsia" w:ascii="黑体" w:hAnsi="黑体" w:eastAsia="黑体" w:cs="仿宋"/>
          <w:bCs/>
          <w:sz w:val="32"/>
          <w:szCs w:val="32"/>
          <w:highlight w:val="none"/>
        </w:rPr>
      </w:pPr>
    </w:p>
    <w:p>
      <w:pPr>
        <w:spacing w:line="360" w:lineRule="auto"/>
        <w:jc w:val="both"/>
        <w:outlineLvl w:val="0"/>
        <w:rPr>
          <w:rFonts w:hint="eastAsia" w:ascii="黑体" w:hAnsi="黑体" w:eastAsia="黑体" w:cs="仿宋"/>
          <w:bCs/>
          <w:sz w:val="32"/>
          <w:szCs w:val="32"/>
          <w:highlight w:val="none"/>
        </w:rPr>
      </w:pPr>
      <w:bookmarkStart w:id="21" w:name="_Toc752740192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6-22</w:t>
      </w:r>
      <w:bookmarkEnd w:id="21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郑州商品交易所短纤期货合约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方正小标宋简体" w:eastAsia="方正小标宋简体"/>
          <w:sz w:val="44"/>
          <w:szCs w:val="44"/>
          <w:highlight w:val="none"/>
        </w:rPr>
      </w:pPr>
    </w:p>
    <w:tbl>
      <w:tblPr>
        <w:tblStyle w:val="39"/>
        <w:tblW w:w="517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涤纶短纤（简称“短纤”）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1-12月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合约交割月份的第13个交易日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见《郑州商品交易所涤纶短纤期货业务细则》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PF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widowControl/>
        <w:ind w:firstLine="1432" w:firstLineChars="446"/>
        <w:rPr>
          <w:rFonts w:ascii="黑体" w:hAnsi="黑体" w:eastAsia="黑体"/>
          <w:b/>
          <w:sz w:val="32"/>
          <w:szCs w:val="32"/>
          <w:highlight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both"/>
        <w:outlineLvl w:val="0"/>
        <w:rPr>
          <w:rFonts w:hint="default" w:ascii="方正小标宋简体" w:eastAsia="方正小标宋简体"/>
          <w:sz w:val="44"/>
          <w:szCs w:val="44"/>
          <w:highlight w:val="none"/>
          <w:lang w:val="en-US"/>
        </w:rPr>
      </w:pPr>
      <w:bookmarkStart w:id="22" w:name="_Toc1454035715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6-23</w:t>
      </w:r>
      <w:bookmarkEnd w:id="22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郑州商品交易所花生期货合约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ascii="黑体" w:hAnsi="黑体" w:eastAsia="黑体" w:cs="仿宋"/>
          <w:bCs/>
          <w:sz w:val="32"/>
          <w:szCs w:val="32"/>
          <w:highlight w:val="none"/>
        </w:rPr>
      </w:pPr>
      <w:r>
        <w:rPr>
          <w:rFonts w:ascii="宋体" w:hAnsi="宋体" w:cs="宋体"/>
          <w:b/>
          <w:kern w:val="0"/>
          <w:sz w:val="44"/>
          <w:szCs w:val="44"/>
          <w:highlight w:val="none"/>
        </w:rPr>
        <w:t xml:space="preserve"> </w:t>
      </w:r>
    </w:p>
    <w:tbl>
      <w:tblPr>
        <w:tblStyle w:val="39"/>
        <w:tblW w:w="517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花生仁（简称“花生”）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1、3、4、10、11、12月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仓单交割：合约交割月份的第13个交易日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车（船）板交割：合约交割月份的次月10日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见《郑州商品交易所花生仁期货业务细则》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PK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3510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jc w:val="center"/>
        <w:rPr>
          <w:rFonts w:asciiTheme="minorEastAsia" w:hAnsiTheme="minorEastAsia"/>
          <w:sz w:val="28"/>
          <w:szCs w:val="28"/>
          <w:highlight w:val="none"/>
        </w:rPr>
      </w:pPr>
    </w:p>
    <w:p>
      <w:pPr>
        <w:rPr>
          <w:rFonts w:asciiTheme="minorEastAsia" w:hAnsiTheme="minorEastAsia"/>
          <w:sz w:val="28"/>
          <w:szCs w:val="28"/>
          <w:highlight w:val="none"/>
        </w:rPr>
      </w:pPr>
    </w:p>
    <w:p>
      <w:pPr>
        <w:rPr>
          <w:rFonts w:asciiTheme="minorEastAsia" w:hAnsiTheme="minorEastAsia"/>
          <w:sz w:val="28"/>
          <w:szCs w:val="28"/>
          <w:highlight w:val="none"/>
        </w:rPr>
      </w:pPr>
    </w:p>
    <w:p>
      <w:pPr>
        <w:rPr>
          <w:rFonts w:asciiTheme="minorEastAsia" w:hAnsiTheme="minorEastAsia"/>
          <w:sz w:val="28"/>
          <w:szCs w:val="28"/>
          <w:highlight w:val="none"/>
        </w:rPr>
      </w:pPr>
    </w:p>
    <w:p>
      <w:pPr>
        <w:spacing w:line="360" w:lineRule="auto"/>
        <w:jc w:val="both"/>
        <w:outlineLvl w:val="0"/>
        <w:rPr>
          <w:rFonts w:hint="default" w:ascii="方正小标宋简体" w:eastAsia="方正小标宋简体"/>
          <w:sz w:val="44"/>
          <w:szCs w:val="44"/>
          <w:highlight w:val="none"/>
          <w:lang w:val="en-US"/>
        </w:rPr>
      </w:pPr>
      <w:bookmarkStart w:id="23" w:name="_Toc394683578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6-24</w:t>
      </w:r>
      <w:bookmarkEnd w:id="23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郑州商品交易所对二甲苯期货合约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508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6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36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对二甲苯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36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5吨/手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36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36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2元/吨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36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36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36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1－12月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36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36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36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合约交割月份的第13个交易日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36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见《郑州商品交易所对二甲苯期货业务细则》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36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36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36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PX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36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</w:p>
    <w:p>
      <w:pPr>
        <w:rPr>
          <w:rFonts w:ascii="仿宋" w:hAnsi="仿宋" w:eastAsia="仿宋"/>
          <w:spacing w:val="-6"/>
          <w:sz w:val="32"/>
          <w:highlight w:val="none"/>
        </w:rPr>
      </w:pPr>
    </w:p>
    <w:p>
      <w:pPr>
        <w:tabs>
          <w:tab w:val="left" w:pos="1620"/>
        </w:tabs>
        <w:suppressAutoHyphens/>
        <w:autoSpaceDE w:val="0"/>
        <w:autoSpaceDN w:val="0"/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</w:p>
    <w:p>
      <w:pPr>
        <w:tabs>
          <w:tab w:val="left" w:pos="1620"/>
        </w:tabs>
        <w:suppressAutoHyphens/>
        <w:autoSpaceDE w:val="0"/>
        <w:autoSpaceDN w:val="0"/>
        <w:snapToGrid w:val="0"/>
        <w:spacing w:line="360" w:lineRule="auto"/>
        <w:rPr>
          <w:rFonts w:ascii="仿宋" w:hAnsi="仿宋" w:eastAsia="仿宋"/>
          <w:sz w:val="32"/>
          <w:szCs w:val="32"/>
          <w:highlight w:val="none"/>
        </w:rPr>
      </w:pPr>
    </w:p>
    <w:p>
      <w:pPr>
        <w:tabs>
          <w:tab w:val="left" w:pos="1620"/>
        </w:tabs>
        <w:suppressAutoHyphens/>
        <w:autoSpaceDE w:val="0"/>
        <w:autoSpaceDN w:val="0"/>
        <w:snapToGrid w:val="0"/>
        <w:spacing w:line="360" w:lineRule="auto"/>
        <w:rPr>
          <w:rFonts w:ascii="仿宋" w:hAnsi="仿宋" w:eastAsia="仿宋"/>
          <w:sz w:val="32"/>
          <w:szCs w:val="32"/>
          <w:highlight w:val="none"/>
        </w:rPr>
      </w:pPr>
    </w:p>
    <w:p>
      <w:pPr>
        <w:spacing w:line="360" w:lineRule="auto"/>
        <w:jc w:val="both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bookmarkStart w:id="24" w:name="_Toc1612157255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6-25</w:t>
      </w:r>
      <w:bookmarkEnd w:id="24"/>
    </w:p>
    <w:p>
      <w:pPr>
        <w:spacing w:line="360" w:lineRule="auto"/>
        <w:jc w:val="center"/>
        <w:rPr>
          <w:rFonts w:hint="eastAsia"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郑州商品交易所烧碱期货合约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517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1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交易品种</w:t>
            </w: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烧碱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交易单位</w:t>
            </w: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30吨/手（干吨重量）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报价单位</w:t>
            </w: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最小变动价位</w:t>
            </w: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每日价格波动限制</w:t>
            </w: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上一交易日结算价±4%及《郑州商品交易所期货交易风险控制管理办法》相关规定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最低交易保证金</w:t>
            </w: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合约价值的5％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</w:t>
            </w: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1－12月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交易时间</w:t>
            </w: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最后交易日</w:t>
            </w: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合约交割月份的第10个交易日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最后交割日</w:t>
            </w: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合约交割月份的第13个交易日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交割品级</w:t>
            </w: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见《郑州商品交易所烧碱期货业务细则》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交割地点</w:t>
            </w: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交割方式</w:t>
            </w: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交易代码</w:t>
            </w: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SH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上市交易所</w:t>
            </w:r>
          </w:p>
        </w:tc>
        <w:tc>
          <w:tcPr>
            <w:tcW w:w="61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郑州商品交易所</w:t>
            </w:r>
          </w:p>
        </w:tc>
      </w:tr>
    </w:tbl>
    <w:p>
      <w:pPr>
        <w:spacing w:line="360" w:lineRule="auto"/>
        <w:jc w:val="both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</w:p>
    <w:p>
      <w:pPr>
        <w:spacing w:line="360" w:lineRule="auto"/>
        <w:outlineLvl w:val="9"/>
        <w:rPr>
          <w:rFonts w:ascii="楷体" w:hAnsi="楷体" w:eastAsia="楷体"/>
          <w:sz w:val="24"/>
          <w:highlight w:val="none"/>
        </w:rPr>
      </w:pPr>
    </w:p>
    <w:p>
      <w:pPr>
        <w:suppressAutoHyphens/>
        <w:outlineLvl w:val="9"/>
        <w:rPr>
          <w:rFonts w:eastAsia="黑体"/>
          <w:sz w:val="32"/>
          <w:highlight w:val="none"/>
        </w:rPr>
      </w:pPr>
    </w:p>
    <w:p>
      <w:pPr>
        <w:suppressAutoHyphens/>
        <w:outlineLvl w:val="9"/>
        <w:rPr>
          <w:rFonts w:eastAsia="黑体"/>
          <w:sz w:val="32"/>
          <w:highlight w:val="none"/>
        </w:rPr>
      </w:pPr>
    </w:p>
    <w:p>
      <w:pPr>
        <w:suppressAutoHyphens/>
        <w:outlineLvl w:val="9"/>
        <w:rPr>
          <w:rFonts w:eastAsia="黑体"/>
          <w:sz w:val="32"/>
          <w:highlight w:val="none"/>
        </w:rPr>
      </w:pPr>
    </w:p>
    <w:p>
      <w:pPr>
        <w:spacing w:line="360" w:lineRule="auto"/>
        <w:jc w:val="both"/>
        <w:outlineLvl w:val="0"/>
        <w:rPr>
          <w:rFonts w:hint="default" w:asciiTheme="minorEastAsia" w:hAnsiTheme="minorEastAsia"/>
          <w:sz w:val="28"/>
          <w:szCs w:val="28"/>
          <w:highlight w:val="none"/>
          <w:lang w:val="en-US"/>
        </w:rPr>
      </w:pPr>
      <w:bookmarkStart w:id="25" w:name="_Toc1301250019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6-26</w:t>
      </w:r>
      <w:bookmarkEnd w:id="25"/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郑州商品交易所白糖期权合约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82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6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合约标的物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白糖期货合约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合约类型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看涨期权、看跌期权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交易单位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1手（10吨）白糖期货合约</w:t>
            </w:r>
          </w:p>
        </w:tc>
      </w:tr>
      <w:tr>
        <w:trPr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报价单位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元（人民币）/吨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最小变动价位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0.5元/吨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涨跌停板幅度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与白糖期货合约涨跌停板幅度相同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合约月份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标的期货合约中的连续两个近月，其后月份在标的期货合约结算后持仓量达到5000手（单边）之后的第二个交易日挂牌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交易时间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最后交易日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标的期货合约交割月份前一个月第15个日历日之前（含该日）的倒数第3个交易日，以及交易所规定的其他日期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到期日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同最后交易日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行权价格覆盖标的期货合约上一交易日结算价上下浮动1.5倍当日涨跌停板幅度对应的价格范围。行权价格≤3000元/吨，行权价格间距为50元/吨；3000元/吨＜行权价格≤10000元/吨，行权价格间距为100元/吨；行权价格＞10000元/吨，行权价格间距为200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行权方式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美式。买方可在到期日前任一交易日的交易时间提交行权申请；买方可在到期日15:30之前提交行权申请、放弃申请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仿宋" w:hAnsi="仿宋"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交易代码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看涨期权：SR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合约月份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C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行权价格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eastAsia="仿宋" w:cs="Times New Roman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看跌期权：SR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合约月份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P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—</w:t>
            </w:r>
            <w:r>
              <w:rPr>
                <w:rFonts w:hint="eastAsia" w:ascii="仿宋" w:hAnsi="仿宋" w:eastAsia="仿宋" w:cs="仿宋"/>
                <w:color w:val="000000"/>
                <w:szCs w:val="21"/>
                <w:highlight w:val="none"/>
              </w:rPr>
              <w:t>行权价格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上市交易所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郑州商品交易所</w:t>
            </w:r>
          </w:p>
        </w:tc>
      </w:tr>
    </w:tbl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widowControl/>
        <w:jc w:val="left"/>
        <w:rPr>
          <w:rFonts w:hint="eastAsia" w:ascii="黑体" w:hAnsi="黑体" w:eastAsia="黑体" w:cs="Times New Roman"/>
          <w:sz w:val="32"/>
          <w:szCs w:val="24"/>
          <w:highlight w:val="none"/>
        </w:rPr>
      </w:pPr>
    </w:p>
    <w:p>
      <w:pPr>
        <w:spacing w:line="360" w:lineRule="auto"/>
        <w:jc w:val="both"/>
        <w:outlineLvl w:val="0"/>
        <w:rPr>
          <w:rFonts w:hint="eastAsia" w:ascii="黑体" w:hAnsi="黑体" w:eastAsia="黑体" w:cs="Times New Roman"/>
          <w:sz w:val="32"/>
          <w:szCs w:val="24"/>
          <w:highlight w:val="none"/>
        </w:rPr>
      </w:pPr>
      <w:bookmarkStart w:id="26" w:name="_Toc1249023201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6-27</w:t>
      </w:r>
      <w:bookmarkEnd w:id="26"/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郑州商品交易所棉花期权合约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snapToGrid w:val="0"/>
        <w:jc w:val="left"/>
        <w:rPr>
          <w:rFonts w:hint="eastAsia" w:ascii="楷体" w:hAnsi="楷体" w:eastAsia="楷体"/>
          <w:sz w:val="28"/>
          <w:szCs w:val="28"/>
          <w:highlight w:val="none"/>
        </w:rPr>
      </w:pPr>
    </w:p>
    <w:tbl>
      <w:tblPr>
        <w:tblStyle w:val="39"/>
        <w:tblW w:w="82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6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合约标的物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棉花期货合约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合约类型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看涨期权、看跌期权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交易单位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1手棉花期货合约</w:t>
            </w:r>
          </w:p>
        </w:tc>
      </w:tr>
      <w:tr>
        <w:trPr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报价单位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元（人民币）/吨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最小变动价位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涨跌停板幅度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与棉花期货合约涨跌停板幅度相同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合约月份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标的期货合约中的连续两个近月，其后月份在标的期货合约结算后持仓量达到5000手（单边）之后的第二个交易日挂牌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交易时间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最后交易日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标的期货合约交割月份前一个月第15个日历日之前（含该日）的倒数第3个交易日，以及交易所规定的其他日期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到期日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同最后交易日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覆盖标的期货合约上一交易日结算价上下浮动1.5倍当日涨跌停板幅度对应的价格范围。行权价格≤10000元/吨，行权价格间距为100元/吨；10000元/吨＜行权价格≤20000元/吨，行权价格间距为200元/吨；行权价格＞20000元/吨，行权价格间距为400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行权方式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美式。买方可在到期日前任一交易日的交易时间提交行权申请；买方可在到期日15:30之前提交行权申请、放弃申请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交易代码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看涨期权：CF—合约月份—C—行权价格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看跌期权：CF—合约月份—P—行权价格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上市交易所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郑州商品交易所</w:t>
            </w:r>
          </w:p>
        </w:tc>
      </w:tr>
    </w:tbl>
    <w:p>
      <w:pPr>
        <w:widowControl/>
        <w:jc w:val="left"/>
        <w:rPr>
          <w:rFonts w:hint="eastAsia" w:ascii="黑体" w:hAnsi="黑体" w:eastAsia="黑体" w:cs="Times New Roman"/>
          <w:sz w:val="32"/>
          <w:szCs w:val="24"/>
          <w:highlight w:val="none"/>
        </w:rPr>
      </w:pPr>
    </w:p>
    <w:p>
      <w:pPr>
        <w:spacing w:line="360" w:lineRule="auto"/>
        <w:jc w:val="both"/>
        <w:outlineLvl w:val="0"/>
        <w:rPr>
          <w:rFonts w:hint="eastAsia" w:ascii="方正小标宋简体" w:eastAsia="方正小标宋简体"/>
          <w:sz w:val="44"/>
          <w:szCs w:val="44"/>
          <w:highlight w:val="none"/>
        </w:rPr>
      </w:pPr>
      <w:bookmarkStart w:id="27" w:name="_Toc868750232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6-28</w:t>
      </w:r>
      <w:bookmarkEnd w:id="27"/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郑州商品交易所PTA期权合约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snapToGrid w:val="0"/>
        <w:jc w:val="left"/>
        <w:rPr>
          <w:rFonts w:hint="eastAsia" w:ascii="楷体" w:hAnsi="楷体" w:eastAsia="楷体"/>
          <w:sz w:val="28"/>
          <w:szCs w:val="28"/>
          <w:highlight w:val="none"/>
        </w:rPr>
      </w:pPr>
    </w:p>
    <w:tbl>
      <w:tblPr>
        <w:tblStyle w:val="39"/>
        <w:tblW w:w="804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3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合约标的物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精对苯二甲酸（PTA）期货合约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合约类型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看涨期权、看跌期权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交易单位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1手PTA期货合约</w:t>
            </w:r>
          </w:p>
        </w:tc>
      </w:tr>
      <w:tr>
        <w:trPr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报价单位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元（人民币）/吨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最小变动价位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0.5元/吨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涨跌停板幅度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与PTA期货合约涨跌停板幅度相同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合约月份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标的期货合约中的连续两个近月，其后月份在标的期货合约结算后持仓量达到10000手（单边）之后的第二个交易日挂牌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交易时间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最后交易日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标的期货合约交割月份前一个月第15个日历日之前（含该日）的倒数第3个交易日，以及交易所规定的其他日期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到期日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同最后交易日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覆盖标的期货合约上一交易日结算价上下浮动1.5倍当日涨跌停板幅度对应的价格范围。行权价格≤5000元/吨，行权价格间距为50元/吨；5000元/吨＜行权价格≤10000元/吨，行权价格间距为100元/吨；行权价格＞10000元/吨，行权价格间距为200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行权方式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美式。买方可在到期日前任一交易日的交易时间提交行权申请；买方可在到期日15:30之前提交行权申请、放弃申请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交易代码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看涨期权：TA—合约月份—C—行权价格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看跌期权：TA—合约月份—P—行权价格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上市交易所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郑州商品交易所</w:t>
            </w:r>
          </w:p>
        </w:tc>
      </w:tr>
    </w:tbl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bookmarkStart w:id="28" w:name="_Toc953190327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br w:type="page"/>
      </w:r>
    </w:p>
    <w:p>
      <w:pPr>
        <w:spacing w:line="360" w:lineRule="auto"/>
        <w:jc w:val="both"/>
        <w:outlineLvl w:val="0"/>
        <w:rPr>
          <w:rFonts w:hint="default" w:ascii="黑体" w:hAnsi="黑体" w:eastAsia="黑体"/>
          <w:sz w:val="32"/>
          <w:highlight w:val="none"/>
          <w:lang w:val="en-US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6-29</w:t>
      </w:r>
      <w:bookmarkEnd w:id="28"/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郑州商品交易所甲醇期权合约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snapToGrid w:val="0"/>
        <w:jc w:val="left"/>
        <w:rPr>
          <w:rFonts w:hint="eastAsia" w:ascii="楷体" w:hAnsi="楷体" w:eastAsia="楷体"/>
          <w:sz w:val="28"/>
          <w:szCs w:val="28"/>
          <w:highlight w:val="none"/>
        </w:rPr>
      </w:pPr>
    </w:p>
    <w:tbl>
      <w:tblPr>
        <w:tblStyle w:val="39"/>
        <w:tblW w:w="814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6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合约标的物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甲醇期货合约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合约类型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看涨期权、看跌期权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交易单位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1手甲醇期货合约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报价单位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元（人民币）/吨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最小变动价位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0.5元/吨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涨跌停板幅度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与甲醇期货合约涨跌停板幅度相同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合约月份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标的期货合约中的连续两个近月，其后月份在标的期货合约结算后持仓量达到10000手（单边）之后的第二个交易日挂牌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交易时间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最后交易日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标的期货合约交割月份前一个月第15个日历日之前（含该日）的倒数第3个交易日，以及交易所规定的其他日期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到期日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同最后交易日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覆盖标的期货合约上一交易日结算价上下浮动1.5倍当日涨跌停板幅度对应的价格范围。行权价格≤2500元/吨，行权价格间距为25元/吨；2500元/吨＜行权价格≤5000元/吨，行权价格间距为50元/吨；行权价格＞5000元/吨，行权价格间距为100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行权方式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美式。买方可在到期日前任一交易日的交易时间提交行权申请；买方可在到期日15:30之前提交行权申请、放弃申请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交易代码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看涨期权：MA—合约月份—C—行权价格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看跌期权：MA—合约月份—P—行权价格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上市交易所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郑州商品交易所</w:t>
            </w:r>
          </w:p>
        </w:tc>
      </w:tr>
    </w:tbl>
    <w:p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>
      <w:pPr>
        <w:widowControl/>
        <w:jc w:val="left"/>
        <w:rPr>
          <w:rFonts w:eastAsia="仿宋"/>
          <w:sz w:val="32"/>
          <w:highlight w:val="none"/>
        </w:rPr>
      </w:pPr>
      <w:r>
        <w:rPr>
          <w:rFonts w:eastAsia="仿宋"/>
          <w:b/>
          <w:sz w:val="28"/>
          <w:szCs w:val="28"/>
          <w:highlight w:val="none"/>
        </w:rPr>
        <w:br w:type="page"/>
      </w:r>
    </w:p>
    <w:p>
      <w:pPr>
        <w:spacing w:line="360" w:lineRule="auto"/>
        <w:jc w:val="both"/>
        <w:outlineLvl w:val="0"/>
        <w:rPr>
          <w:rFonts w:hint="eastAsia" w:ascii="方正小标宋简体" w:eastAsia="方正小标宋简体"/>
          <w:sz w:val="44"/>
          <w:szCs w:val="44"/>
          <w:highlight w:val="none"/>
        </w:rPr>
      </w:pPr>
      <w:bookmarkStart w:id="29" w:name="_Toc504686684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6-30</w:t>
      </w:r>
      <w:bookmarkEnd w:id="29"/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郑州商品交易所菜籽粕期权合约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snapToGrid w:val="0"/>
        <w:jc w:val="left"/>
        <w:rPr>
          <w:rFonts w:hint="eastAsia" w:ascii="楷体" w:hAnsi="楷体" w:eastAsia="楷体"/>
          <w:sz w:val="28"/>
          <w:szCs w:val="28"/>
          <w:highlight w:val="none"/>
        </w:rPr>
      </w:pPr>
    </w:p>
    <w:tbl>
      <w:tblPr>
        <w:tblStyle w:val="39"/>
        <w:tblW w:w="8222" w:type="dxa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合约标的物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菜籽粕期货合约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合约类型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看涨期权、看跌期权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交易单位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1手菜籽粕期货合约</w:t>
            </w:r>
          </w:p>
        </w:tc>
      </w:tr>
      <w:t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报价单位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元（人民币）/吨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最小变动价位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0.5元/吨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涨跌停板幅度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与菜籽粕期货合约涨跌停板幅度相同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合约月份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标的期货合约中的连续两个近月，其后月份在标的期货合约结算后持仓量达到5000手（单边）之后的第二个交易日挂牌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交易时间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最后交易日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标的期货合约交割月份前一个月第15个日历日之前（含该日）的倒数第3个交易日，以及交易所规定的其他日期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到期日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同最后交易日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覆盖标的期货合约上一交易日结算价上下浮动1.5倍当日涨跌停板幅度对应的价格范围。行权价格≤2500元/吨，行权价格间距为25元/吨；2500元/吨＜行权价格≤5000元/吨，行权价格间距为50元/吨；行权价格＞5000元/吨，行权价格间距为100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行权方式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美式。买方可在到期日前任一交易日的交易时间提交行权申请；买方可在到期日15:30之前提交行权申请、放弃申请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交易代码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看涨期权：RM—合约月份—C—行权价格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看跌期权：RM—合约月份—P—行权价格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上市交易所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郑州商品交易所</w:t>
            </w:r>
          </w:p>
        </w:tc>
      </w:tr>
    </w:tbl>
    <w:p>
      <w:pPr>
        <w:spacing w:line="360" w:lineRule="auto"/>
        <w:ind w:left="-1" w:leftChars="-1" w:right="55" w:rightChars="26" w:hanging="1"/>
        <w:jc w:val="center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>
      <w:pPr>
        <w:widowControl/>
        <w:jc w:val="left"/>
        <w:rPr>
          <w:rFonts w:eastAsia="仿宋"/>
          <w:sz w:val="32"/>
          <w:highlight w:val="none"/>
        </w:rPr>
      </w:pPr>
      <w:r>
        <w:rPr>
          <w:rFonts w:eastAsia="仿宋"/>
          <w:b/>
          <w:sz w:val="28"/>
          <w:szCs w:val="28"/>
          <w:highlight w:val="none"/>
        </w:rPr>
        <w:br w:type="page"/>
      </w:r>
    </w:p>
    <w:p>
      <w:pPr>
        <w:spacing w:line="360" w:lineRule="auto"/>
        <w:jc w:val="both"/>
        <w:outlineLvl w:val="0"/>
        <w:rPr>
          <w:rFonts w:hint="eastAsia" w:ascii="方正小标宋简体" w:eastAsia="方正小标宋简体"/>
          <w:sz w:val="44"/>
          <w:szCs w:val="44"/>
          <w:highlight w:val="none"/>
        </w:rPr>
      </w:pPr>
      <w:bookmarkStart w:id="30" w:name="_Toc1559463789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6-31</w:t>
      </w:r>
      <w:bookmarkEnd w:id="30"/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郑州商品交易所动力煤期权合约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snapToGrid w:val="0"/>
        <w:jc w:val="left"/>
        <w:rPr>
          <w:rFonts w:hint="eastAsia" w:ascii="楷体" w:hAnsi="楷体" w:eastAsia="楷体"/>
          <w:sz w:val="28"/>
          <w:szCs w:val="28"/>
          <w:highlight w:val="none"/>
        </w:rPr>
      </w:pPr>
    </w:p>
    <w:tbl>
      <w:tblPr>
        <w:tblStyle w:val="39"/>
        <w:tblW w:w="8222" w:type="dxa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合约标的物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动力煤期货合约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合约类型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看涨期权、看跌期权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交易单位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1手动力煤期货合约</w:t>
            </w:r>
          </w:p>
        </w:tc>
      </w:tr>
      <w:t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报价单位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元（人民币）/吨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最小变动价位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0.1元/吨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涨跌停板幅度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与动力煤期货合约涨跌停板幅度相同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合约月份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标的期货合约中的连续两个近月，其后月份在标的期货合约结算后持仓量达到10000手（单边）之后的第二个交易日挂牌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交易时间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最后交易日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标的期货合约交割月份前一个月第15个日历日之前（含该日）的倒数第3个交易日，以及交易所规定的其他日期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到期日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同最后交易日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行权价格覆盖标的期货合约上一交易日结算价上下浮动1.5倍当日涨跌停板幅度对应的价格范围。行权价格≤500元/吨，行权价格间距为5元/吨；行权价格＞500元/吨，行权价格间距为10元/吨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行权方式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美式。买方可在到期日前任一交易日的交易时间提交行权申请；买方可在到期日15:30之前提交行权申请、放弃申请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交易代码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看涨期权：ZC—合约月份—C—行权价格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看跌期权：ZC—合约月份—P—行权价格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上市交易所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郑州商品交易所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Cs w:val="21"/>
          <w:highlight w:val="none"/>
        </w:rPr>
      </w:pPr>
    </w:p>
    <w:p>
      <w:pPr>
        <w:widowControl/>
        <w:jc w:val="left"/>
        <w:rPr>
          <w:rFonts w:eastAsia="仿宋"/>
          <w:sz w:val="32"/>
          <w:highlight w:val="none"/>
        </w:rPr>
      </w:pPr>
      <w:r>
        <w:rPr>
          <w:rFonts w:eastAsia="仿宋"/>
          <w:b/>
          <w:sz w:val="28"/>
          <w:szCs w:val="28"/>
          <w:highlight w:val="none"/>
        </w:rPr>
        <w:br w:type="page"/>
      </w:r>
    </w:p>
    <w:p>
      <w:pPr>
        <w:spacing w:line="360" w:lineRule="auto"/>
        <w:jc w:val="both"/>
        <w:outlineLvl w:val="0"/>
        <w:rPr>
          <w:rFonts w:hint="default" w:ascii="方正小标宋简体" w:eastAsia="方正小标宋简体"/>
          <w:sz w:val="44"/>
          <w:szCs w:val="44"/>
          <w:highlight w:val="none"/>
          <w:lang w:val="en-US"/>
        </w:rPr>
      </w:pPr>
      <w:bookmarkStart w:id="31" w:name="_Toc2026045780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6-32</w:t>
      </w:r>
      <w:bookmarkEnd w:id="31"/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郑州商品交易所菜籽油期权合约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snapToGrid w:val="0"/>
        <w:jc w:val="left"/>
        <w:rPr>
          <w:rFonts w:hint="eastAsia" w:ascii="楷体" w:hAnsi="楷体" w:eastAsia="楷体"/>
          <w:sz w:val="28"/>
          <w:szCs w:val="28"/>
          <w:highlight w:val="none"/>
        </w:rPr>
      </w:pPr>
    </w:p>
    <w:tbl>
      <w:tblPr>
        <w:tblStyle w:val="39"/>
        <w:tblW w:w="8222" w:type="dxa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合约标的物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菜籽油期货合约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合约类型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看涨期权、看跌期权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交易单位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1手菜籽油期货合约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报价单位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元（人民币）/吨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最小变动价位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0.5元/吨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涨跌停板幅度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与菜籽油期货合约涨跌停板幅度相同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合约月份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标的期货合约中的连续两个近月，其后月份在标的期货合约结算后持仓量达到5000手（单边）之后的第二个交易日挂牌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交易时间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最后交易日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标的期货合约交割月份前一个月第15个日历日之前（含该日）的倒数第3个交易日，以及交易所规定的其他日期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到期日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同最后交易日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覆盖标的期货合约上一交易日结算价上下浮动1.5倍当日涨跌停板幅度对应的价格范围。行权价格≤5000元/吨，行权价格间距为50元/吨；5000元/吨＜行权价格≤10000元/吨，行权价格间距为100元/吨；行权价格＞10000元/吨，行权价格间距为200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行权方式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美式。买方可在到期日前任一交易日的交易时间提交行权申请；买方可在到期日15:30之前提交行权申请、放弃申请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交易代码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看涨期权：OI—合约月份—C—行权价格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看跌期权：OI—合约月份—P—行权价格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上市交易所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郑州商品交易所</w:t>
            </w:r>
          </w:p>
        </w:tc>
      </w:tr>
    </w:tbl>
    <w:p>
      <w:pPr>
        <w:spacing w:line="360" w:lineRule="auto"/>
        <w:ind w:left="-1" w:leftChars="-1" w:right="55" w:rightChars="26" w:hanging="1"/>
        <w:jc w:val="center"/>
        <w:rPr>
          <w:rFonts w:hint="eastAsia" w:ascii="Times New Roman" w:hAnsi="Times New Roman" w:eastAsia="仿宋" w:cs="Times New Roman"/>
          <w:b/>
          <w:sz w:val="28"/>
          <w:szCs w:val="28"/>
          <w:highlight w:val="none"/>
        </w:rPr>
      </w:pPr>
    </w:p>
    <w:p>
      <w:pPr>
        <w:widowControl/>
        <w:jc w:val="left"/>
        <w:rPr>
          <w:rFonts w:eastAsia="仿宋"/>
          <w:sz w:val="32"/>
          <w:highlight w:val="none"/>
        </w:rPr>
      </w:pPr>
      <w:r>
        <w:rPr>
          <w:rFonts w:eastAsia="仿宋"/>
          <w:b/>
          <w:sz w:val="28"/>
          <w:szCs w:val="28"/>
          <w:highlight w:val="none"/>
        </w:rPr>
        <w:br w:type="page"/>
      </w:r>
    </w:p>
    <w:p>
      <w:pPr>
        <w:spacing w:line="360" w:lineRule="auto"/>
        <w:jc w:val="both"/>
        <w:outlineLvl w:val="0"/>
        <w:rPr>
          <w:rFonts w:hint="default" w:ascii="方正小标宋简体" w:eastAsia="方正小标宋简体"/>
          <w:sz w:val="44"/>
          <w:szCs w:val="44"/>
          <w:highlight w:val="none"/>
          <w:lang w:val="en-US"/>
        </w:rPr>
      </w:pPr>
      <w:bookmarkStart w:id="32" w:name="_Toc1836364884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6-33</w:t>
      </w:r>
      <w:bookmarkEnd w:id="32"/>
    </w:p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郑州商品交易所花生期权合约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snapToGrid w:val="0"/>
        <w:jc w:val="left"/>
        <w:rPr>
          <w:rFonts w:hint="eastAsia" w:ascii="楷体" w:hAnsi="楷体" w:eastAsia="楷体"/>
          <w:sz w:val="28"/>
          <w:szCs w:val="28"/>
          <w:highlight w:val="none"/>
        </w:rPr>
      </w:pPr>
    </w:p>
    <w:tbl>
      <w:tblPr>
        <w:tblStyle w:val="39"/>
        <w:tblW w:w="8222" w:type="dxa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合约标的物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花生期货合约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合约类型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看涨期权、看跌期权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交易单位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1手花生期货合约</w:t>
            </w:r>
          </w:p>
        </w:tc>
      </w:tr>
      <w:t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报价单位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元（人民币）/吨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最小变动价位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0.5元/吨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涨跌停板幅度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与花生期货合约涨跌停板幅度相同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合约月份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标的期货合约中的连续两个近月，其后月份在标的期货合约结算后持仓量达到5000手（单边）之后的第二个交易日挂牌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交易时间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最后交易日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标的期货合约交割月份前一个月第15个日历日之前（含该日）的倒数第3个交易日，以及交易所规定的其他日期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到期日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同最后交易日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覆盖标的期货合约上一交易日结算价上下浮动1.5倍当日涨跌停板幅度对应的价格范围。行权价格≤5000元/吨，行权价格间距为50元/吨；5000元/吨＜行权价格≤10000元/吨，行权价格间距为100元/吨；行权价格＞10000元/吨，行权价格间距为200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行权方式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美式。买方可在到期日前任一交易日的交易时间提交行权申请；买方可在到期日15:30之前提交行权申请、放弃申请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交易代码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看涨期权：PK—合约月份—C—行权价格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看跌期权：PK—合约月份—P—行权价格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上市交易所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郑州商品交易所</w:t>
            </w:r>
          </w:p>
        </w:tc>
      </w:tr>
    </w:tbl>
    <w:p>
      <w:pPr>
        <w:widowControl/>
        <w:jc w:val="left"/>
        <w:rPr>
          <w:rFonts w:hint="eastAsia" w:ascii="黑体" w:hAnsi="黑体" w:eastAsia="黑体"/>
          <w:sz w:val="32"/>
          <w:highlight w:val="none"/>
        </w:rPr>
      </w:pPr>
    </w:p>
    <w:p>
      <w:pPr>
        <w:rPr>
          <w:highlight w:val="none"/>
        </w:rPr>
      </w:pPr>
    </w:p>
    <w:p>
      <w:pPr>
        <w:spacing w:line="360" w:lineRule="auto"/>
        <w:jc w:val="both"/>
        <w:outlineLvl w:val="0"/>
        <w:rPr>
          <w:rFonts w:hint="eastAsia" w:eastAsia="方正小标宋简体"/>
          <w:sz w:val="44"/>
          <w:szCs w:val="44"/>
          <w:highlight w:val="none"/>
        </w:rPr>
      </w:pPr>
      <w:bookmarkStart w:id="33" w:name="_Toc348131114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6-34</w:t>
      </w:r>
      <w:bookmarkEnd w:id="33"/>
    </w:p>
    <w:p>
      <w:pPr>
        <w:jc w:val="center"/>
        <w:rPr>
          <w:rFonts w:eastAsia="方正小标宋简体"/>
          <w:sz w:val="44"/>
          <w:szCs w:val="44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</w:rPr>
        <w:t>郑州商品交易所对二甲苯期权合约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8222" w:type="dxa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6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合约标的物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对二甲苯期货合约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合约类型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看涨期权、看跌期权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交易单位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1手对二甲苯期货合约</w:t>
            </w:r>
          </w:p>
        </w:tc>
      </w:tr>
      <w:t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报价单位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元（人民币）/吨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最小变动价位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0.5元/吨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涨跌停板幅度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与对二甲苯期货合约涨跌停板幅度相同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合约月份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标的期货合约中的连续两个近月，其后月份在标的期货合约结算后持仓量达到10000手（单边）之后的第二个交易日挂牌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交易时间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最后交易日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标的期货合约交割月份前两个月最后一个日历日之前（含该日）的倒数第3个交易日，以及交易所规定的其他日期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到期日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同最后交易日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行权价格覆盖标的期货合约上一交易日结算价上下浮动1.5倍当日涨跌停</w:t>
            </w:r>
            <w:r>
              <w:rPr>
                <w:rFonts w:hint="eastAsia" w:ascii="仿宋" w:hAnsi="仿宋" w:eastAsia="仿宋" w:cs="仿宋"/>
                <w:szCs w:val="21"/>
                <w:highlight w:val="none"/>
                <w:lang w:eastAsia="zh-CN"/>
              </w:rPr>
              <w:t>板</w:t>
            </w: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幅度对应的价格范围。行权价格≤5000元/吨，行权价格间距为50元/吨；5000元/吨＜行权价格≤10000元/吨，行权价格间距为100元/吨；行权价格＞10000元/吨，行权价格间距为200元/吨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行权方式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美式。买方可在到期日前任一交易日的交易时间提交行权申请；买方可在到期日15:30之前提交行权申请、放弃申请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交易代码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看涨期权：PX－合约月份－C－行权价格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看跌期权：PX－合约月份－P－行权价格</w:t>
            </w:r>
          </w:p>
        </w:tc>
      </w:tr>
      <w:t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上市交易所</w:t>
            </w:r>
          </w:p>
        </w:tc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郑州商品交易所</w:t>
            </w:r>
          </w:p>
        </w:tc>
      </w:tr>
    </w:tbl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spacing w:line="276" w:lineRule="auto"/>
        <w:ind w:right="-42" w:rightChars="-20"/>
        <w:rPr>
          <w:rFonts w:hint="eastAsia" w:ascii="仿宋" w:hAnsi="仿宋" w:eastAsia="仿宋"/>
          <w:szCs w:val="21"/>
          <w:highlight w:val="none"/>
        </w:rPr>
      </w:pPr>
    </w:p>
    <w:p>
      <w:pPr>
        <w:spacing w:line="360" w:lineRule="auto"/>
        <w:jc w:val="both"/>
        <w:outlineLvl w:val="0"/>
        <w:rPr>
          <w:rFonts w:hint="eastAsia" w:ascii="楷体" w:hAnsi="楷体" w:eastAsia="楷体" w:cs="楷体"/>
          <w:sz w:val="24"/>
          <w:szCs w:val="24"/>
          <w:highlight w:val="none"/>
        </w:rPr>
      </w:pPr>
      <w:bookmarkStart w:id="34" w:name="_Toc1895388507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6-35</w:t>
      </w:r>
      <w:bookmarkEnd w:id="34"/>
    </w:p>
    <w:p>
      <w:pPr>
        <w:jc w:val="center"/>
        <w:rPr>
          <w:rFonts w:hint="eastAsia" w:eastAsia="方正小标宋简体"/>
          <w:sz w:val="44"/>
          <w:szCs w:val="44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</w:rPr>
        <w:t>郑州商品交易所烧碱期权合约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67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合约标的物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烧碱期货合约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合约类型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看涨期权、看跌期权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交易单位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1手烧碱期货合约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报价单位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最小变动价位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0.5元/吨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涨跌停板幅度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与烧碱期货合约涨跌停板幅度相同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合约月份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标的期货合约中的连续两个近月，其后月份在标的期货合约结算后持仓量达到10000手（单边）之后的第二个交易日挂牌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交易时间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最后交易日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标的期货合约交割月份前一个月第15个日历日之前（含该日）的倒数第3个交易日，以及交易所规定的其他日期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到期日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同最后交易日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覆盖标的期货合约上一交易日结算价上下浮动1.5倍当日涨跌停板幅度对应的价格范围。行权价格≤2000元/吨，行权价格间距为20元/吨；2000元/吨＜行权价格≤4000元/吨，行权价格间距为40元/吨；行权价格＞4000元/吨，行权价格间距为80元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行权方式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美式。买方可在到期日前任一交易日的交易时间提交行权申请；买方可在到期日15:30之前提交行权申请、放弃申请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交易代码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看涨期权：SH-合约月份-C-行权价格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看跌期权：SH-合约月份-P-行权价格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上市交易所</w:t>
            </w: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郑州商品交易所</w:t>
            </w:r>
          </w:p>
        </w:tc>
      </w:tr>
    </w:tbl>
    <w:p>
      <w:pPr>
        <w:rPr>
          <w:rFonts w:ascii="仿宋" w:hAnsi="仿宋" w:eastAsia="仿宋"/>
          <w:spacing w:val="-6"/>
          <w:sz w:val="32"/>
          <w:highlight w:val="none"/>
        </w:rPr>
      </w:pPr>
    </w:p>
    <w:p>
      <w:pPr>
        <w:spacing w:line="360" w:lineRule="auto"/>
        <w:jc w:val="both"/>
        <w:outlineLvl w:val="0"/>
        <w:rPr>
          <w:highlight w:val="none"/>
        </w:rPr>
      </w:pPr>
      <w:bookmarkStart w:id="35" w:name="_Toc1797886042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6-36</w:t>
      </w:r>
      <w:bookmarkEnd w:id="35"/>
    </w:p>
    <w:p>
      <w:pPr>
        <w:jc w:val="center"/>
        <w:rPr>
          <w:rFonts w:hint="eastAsia" w:eastAsia="方正小标宋简体"/>
          <w:sz w:val="44"/>
          <w:szCs w:val="44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</w:rPr>
        <w:t>郑州商品交易所涤纶短纤期权合约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67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合约标的物</w:t>
            </w:r>
          </w:p>
        </w:tc>
        <w:tc>
          <w:tcPr>
            <w:tcW w:w="3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涤纶短纤期货合约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合约类型</w:t>
            </w:r>
          </w:p>
        </w:tc>
        <w:tc>
          <w:tcPr>
            <w:tcW w:w="3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看涨期权、看跌期权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交易单位</w:t>
            </w:r>
          </w:p>
        </w:tc>
        <w:tc>
          <w:tcPr>
            <w:tcW w:w="3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1手涤纶短纤期货合约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报价单位</w:t>
            </w:r>
          </w:p>
        </w:tc>
        <w:tc>
          <w:tcPr>
            <w:tcW w:w="3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最小变动价位</w:t>
            </w:r>
          </w:p>
        </w:tc>
        <w:tc>
          <w:tcPr>
            <w:tcW w:w="3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0.5元/吨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涨跌停板幅度</w:t>
            </w:r>
          </w:p>
        </w:tc>
        <w:tc>
          <w:tcPr>
            <w:tcW w:w="3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与涤纶短纤期货合约涨跌停板幅度相同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合约月份</w:t>
            </w:r>
          </w:p>
        </w:tc>
        <w:tc>
          <w:tcPr>
            <w:tcW w:w="3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标的期货合约中的连续两个近月，其后月份在标的期货合约结算后持仓量达到10000手（单边）之后的第二个交易日挂牌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交易时间</w:t>
            </w:r>
          </w:p>
        </w:tc>
        <w:tc>
          <w:tcPr>
            <w:tcW w:w="3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最后交易日</w:t>
            </w:r>
          </w:p>
        </w:tc>
        <w:tc>
          <w:tcPr>
            <w:tcW w:w="3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标的期货合约交割月份前一个月第15个日历日之前（含该日）的倒数第3个交易日，以及交易所规定的其他日期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到期日</w:t>
            </w:r>
          </w:p>
        </w:tc>
        <w:tc>
          <w:tcPr>
            <w:tcW w:w="3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同最后交易日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</w:t>
            </w:r>
          </w:p>
        </w:tc>
        <w:tc>
          <w:tcPr>
            <w:tcW w:w="3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覆盖标的期货合约上一交易日结算价上下浮动1.5倍当日涨跌停板幅度对应的价格范围。行权价格≤5000元/吨，行权价格间距为50元/吨；5000元/吨＜行权价格≤10000元/吨，行权价格间距为100元/吨；行权价格＞10000元/吨，行权价格间距为200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行权方式</w:t>
            </w:r>
          </w:p>
        </w:tc>
        <w:tc>
          <w:tcPr>
            <w:tcW w:w="3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美式。买方可在到期日前任一交易日的交易时间提交行权申请；买方可在到期日15:30之前提交行权申请、放弃申请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交易代码</w:t>
            </w:r>
          </w:p>
        </w:tc>
        <w:tc>
          <w:tcPr>
            <w:tcW w:w="3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看涨期权：PF-合约月份-C-行权价格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看跌期权：PF-合约月份-P-行权价格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上市交易所</w:t>
            </w:r>
          </w:p>
        </w:tc>
        <w:tc>
          <w:tcPr>
            <w:tcW w:w="39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郑州商品交易所</w:t>
            </w:r>
          </w:p>
        </w:tc>
      </w:tr>
    </w:tbl>
    <w:p>
      <w:pPr>
        <w:rPr>
          <w:rFonts w:ascii="仿宋" w:hAnsi="仿宋" w:eastAsia="仿宋"/>
          <w:sz w:val="32"/>
          <w:highlight w:val="none"/>
        </w:rPr>
      </w:pPr>
    </w:p>
    <w:p>
      <w:pPr>
        <w:rPr>
          <w:highlight w:val="none"/>
        </w:rPr>
      </w:pPr>
    </w:p>
    <w:p>
      <w:pPr>
        <w:spacing w:line="360" w:lineRule="auto"/>
        <w:jc w:val="both"/>
        <w:outlineLvl w:val="0"/>
        <w:rPr>
          <w:highlight w:val="none"/>
        </w:rPr>
      </w:pPr>
      <w:bookmarkStart w:id="36" w:name="_Toc1724571421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6-37</w:t>
      </w:r>
      <w:bookmarkEnd w:id="36"/>
    </w:p>
    <w:p>
      <w:pPr>
        <w:jc w:val="center"/>
        <w:rPr>
          <w:rFonts w:hint="eastAsia" w:eastAsia="方正小标宋简体"/>
          <w:sz w:val="44"/>
          <w:szCs w:val="44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</w:rPr>
        <w:t>郑州商品交易所纯碱期权合约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841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668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合约标的物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纯碱期货合约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合约类型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看涨期权、看跌期权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交易单位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1手纯碱期货合约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报价单位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最小变动价位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0.5元/吨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涨跌停板幅度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与纯碱期货合约涨跌停板幅度相同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合约月份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标的期货合约中的连续两个近月，其后月份在标的期货合约结算后持仓量达到10000手（单边）之后的第二个交易日挂牌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交易时间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最后交易日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标的期货合约交割月份前一个月第15个日历日之前（含该日）的倒数第3个交易日，以及交易所规定的其他日期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到期日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同最后交易日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覆盖标的期货合约上一交易日结算价上下浮动1.5倍当日涨跌停板幅度对应的价格范围。行权价格≤1000元/吨，行权价格间距为10元/吨；1000元/吨＜行权价格≤2000元/吨，行权价格间距为20元/吨；行权价格＞2000元/吨，行权价格间距为40元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行权方式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美式。买方可在到期日前任一交易日的交易时间提交行权申请；买方可在到期日15:30之前提交行权申请、放弃申请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交易代码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看涨期权：SA-合约月份-C-行权价格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看跌期权：SA-合约月份-P-行权价格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上市交易所</w:t>
            </w:r>
          </w:p>
        </w:tc>
        <w:tc>
          <w:tcPr>
            <w:tcW w:w="6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郑州商品交易所</w:t>
            </w:r>
          </w:p>
        </w:tc>
      </w:tr>
    </w:tbl>
    <w:p>
      <w:pPr>
        <w:rPr>
          <w:rFonts w:ascii="仿宋" w:hAnsi="仿宋" w:eastAsia="仿宋"/>
          <w:sz w:val="32"/>
          <w:highlight w:val="none"/>
        </w:rPr>
      </w:pPr>
    </w:p>
    <w:p>
      <w:pPr>
        <w:rPr>
          <w:highlight w:val="none"/>
        </w:rPr>
      </w:pPr>
    </w:p>
    <w:p>
      <w:pPr>
        <w:spacing w:line="360" w:lineRule="auto"/>
        <w:jc w:val="both"/>
        <w:outlineLvl w:val="0"/>
        <w:rPr>
          <w:highlight w:val="none"/>
        </w:rPr>
      </w:pPr>
      <w:bookmarkStart w:id="37" w:name="_Toc2065870030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6-38</w:t>
      </w:r>
      <w:bookmarkEnd w:id="37"/>
    </w:p>
    <w:p>
      <w:pPr>
        <w:jc w:val="center"/>
        <w:rPr>
          <w:rFonts w:hint="eastAsia" w:eastAsia="方正小标宋简体"/>
          <w:sz w:val="44"/>
          <w:szCs w:val="44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</w:rPr>
        <w:t>郑州商品交易所锰硅期权合约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4913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670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合约标的物</w:t>
            </w:r>
          </w:p>
        </w:tc>
        <w:tc>
          <w:tcPr>
            <w:tcW w:w="4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锰硅期货合约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合约类型</w:t>
            </w:r>
          </w:p>
        </w:tc>
        <w:tc>
          <w:tcPr>
            <w:tcW w:w="4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看涨期权、看跌期权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交易单位</w:t>
            </w:r>
          </w:p>
        </w:tc>
        <w:tc>
          <w:tcPr>
            <w:tcW w:w="4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1手锰硅期货合约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报价单位</w:t>
            </w:r>
          </w:p>
        </w:tc>
        <w:tc>
          <w:tcPr>
            <w:tcW w:w="4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最小变动价位</w:t>
            </w:r>
          </w:p>
        </w:tc>
        <w:tc>
          <w:tcPr>
            <w:tcW w:w="4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1元/吨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涨跌停板幅度</w:t>
            </w:r>
          </w:p>
        </w:tc>
        <w:tc>
          <w:tcPr>
            <w:tcW w:w="4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与锰硅期货合约涨跌停板幅度相同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合约月份</w:t>
            </w:r>
          </w:p>
        </w:tc>
        <w:tc>
          <w:tcPr>
            <w:tcW w:w="4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标的期货合约中的连续两个近月，其后月份在标的期货合约结算后持仓量达到5000手（单边）之后的第二个交易日挂牌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交易时间</w:t>
            </w:r>
          </w:p>
        </w:tc>
        <w:tc>
          <w:tcPr>
            <w:tcW w:w="4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最后交易日</w:t>
            </w:r>
          </w:p>
        </w:tc>
        <w:tc>
          <w:tcPr>
            <w:tcW w:w="4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标的期货合约交割月份前一个月第15个日历日之前（含该日）的倒数第3个交易日，以及交易所规定的其他日期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到期日</w:t>
            </w:r>
          </w:p>
        </w:tc>
        <w:tc>
          <w:tcPr>
            <w:tcW w:w="4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同最后交易日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</w:t>
            </w:r>
          </w:p>
        </w:tc>
        <w:tc>
          <w:tcPr>
            <w:tcW w:w="4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覆盖标的期货合约上一交易日结算价上下浮动1.5倍当日涨跌停板幅度对应的价格范围。行权价格≤5000元/吨，行权价格间距为50元/吨；5000元/吨＜行权价格≤10000元/吨，行权价格间距为100元/吨；行权价格＞10000元/吨，行权价格间距为200元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行权方式</w:t>
            </w:r>
          </w:p>
        </w:tc>
        <w:tc>
          <w:tcPr>
            <w:tcW w:w="4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美式。买方可在到期日前任一交易日的交易时间提交行权申请；买方可在到期日15:30之前提交行权申请、放弃申请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交易代码</w:t>
            </w:r>
          </w:p>
        </w:tc>
        <w:tc>
          <w:tcPr>
            <w:tcW w:w="4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看涨期权：SM-合约月份-C-行权价格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看跌期权：SM-合约月份-P-行权价格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上市交易所</w:t>
            </w:r>
          </w:p>
        </w:tc>
        <w:tc>
          <w:tcPr>
            <w:tcW w:w="40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郑州商品交易所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Cs w:val="21"/>
          <w:highlight w:val="none"/>
        </w:rPr>
      </w:pPr>
    </w:p>
    <w:p>
      <w:pPr>
        <w:rPr>
          <w:highlight w:val="none"/>
        </w:rPr>
      </w:pPr>
    </w:p>
    <w:p>
      <w:pPr>
        <w:spacing w:line="360" w:lineRule="auto"/>
        <w:jc w:val="both"/>
        <w:outlineLvl w:val="0"/>
        <w:rPr>
          <w:highlight w:val="none"/>
        </w:rPr>
      </w:pPr>
      <w:bookmarkStart w:id="38" w:name="_Toc540319693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6-39</w:t>
      </w:r>
      <w:bookmarkEnd w:id="38"/>
    </w:p>
    <w:p>
      <w:pPr>
        <w:jc w:val="center"/>
        <w:rPr>
          <w:rFonts w:hint="eastAsia" w:eastAsia="方正小标宋简体"/>
          <w:sz w:val="44"/>
          <w:szCs w:val="44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</w:rPr>
        <w:t>郑州商品交易所硅铁期权合约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4983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67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12" w:hRule="atLeast"/>
          <w:jc w:val="center"/>
        </w:trPr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合约标的物</w:t>
            </w:r>
          </w:p>
        </w:tc>
        <w:tc>
          <w:tcPr>
            <w:tcW w:w="3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硅铁期货合约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合约类型</w:t>
            </w:r>
          </w:p>
        </w:tc>
        <w:tc>
          <w:tcPr>
            <w:tcW w:w="3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看涨期权、看跌期权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交易单位</w:t>
            </w:r>
          </w:p>
        </w:tc>
        <w:tc>
          <w:tcPr>
            <w:tcW w:w="3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1手硅铁期货合约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12" w:hRule="atLeast"/>
          <w:jc w:val="center"/>
        </w:trPr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报价单位</w:t>
            </w:r>
          </w:p>
        </w:tc>
        <w:tc>
          <w:tcPr>
            <w:tcW w:w="3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12" w:hRule="atLeast"/>
          <w:jc w:val="center"/>
        </w:trPr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最小变动价位</w:t>
            </w:r>
          </w:p>
        </w:tc>
        <w:tc>
          <w:tcPr>
            <w:tcW w:w="3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1元/吨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涨跌停板幅度</w:t>
            </w:r>
          </w:p>
        </w:tc>
        <w:tc>
          <w:tcPr>
            <w:tcW w:w="3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与硅铁期货合约涨跌停板幅度相同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合约月份</w:t>
            </w:r>
          </w:p>
        </w:tc>
        <w:tc>
          <w:tcPr>
            <w:tcW w:w="3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标的期货合约中的连续两个近月，其后月份在标的期货合约结算后持仓量达到5000手（单边）之后的第二个交易日挂牌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交易时间</w:t>
            </w:r>
          </w:p>
        </w:tc>
        <w:tc>
          <w:tcPr>
            <w:tcW w:w="3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最后交易日</w:t>
            </w:r>
          </w:p>
        </w:tc>
        <w:tc>
          <w:tcPr>
            <w:tcW w:w="3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标的期货合约交割月份前一个月第15个日历日之前（含该日）的倒数第3个交易日，以及交易所规定的其他日期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到期日</w:t>
            </w:r>
          </w:p>
        </w:tc>
        <w:tc>
          <w:tcPr>
            <w:tcW w:w="3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同最后交易日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</w:t>
            </w:r>
          </w:p>
        </w:tc>
        <w:tc>
          <w:tcPr>
            <w:tcW w:w="3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覆盖标的期货合约上一交易日结算价上下浮动1.5倍当日涨跌停板幅度对应的价格范围。行权价格≤5000元/吨，行权价格间距为50元/吨；5000元/吨＜行权价格≤10000元/吨，行权价格间距为100元/吨；行权价格＞10000元/吨，行权价格间距为200元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行权方式</w:t>
            </w:r>
          </w:p>
        </w:tc>
        <w:tc>
          <w:tcPr>
            <w:tcW w:w="3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美式。买方可在到期日前任一交易日的交易时间提交行权申请；买方可在到期日15:30之前提交行权申请、放弃申请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454" w:hRule="atLeast"/>
          <w:jc w:val="center"/>
        </w:trPr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交易代码</w:t>
            </w:r>
          </w:p>
        </w:tc>
        <w:tc>
          <w:tcPr>
            <w:tcW w:w="3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看涨期权：SF-合约月份-C-行权价格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看跌期权：SF-合约月份-P-行权价格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上市交易所</w:t>
            </w:r>
          </w:p>
        </w:tc>
        <w:tc>
          <w:tcPr>
            <w:tcW w:w="39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郑州商品交易所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Cs w:val="21"/>
          <w:highlight w:val="none"/>
        </w:rPr>
      </w:pPr>
    </w:p>
    <w:p>
      <w:pPr>
        <w:rPr>
          <w:highlight w:val="none"/>
        </w:rPr>
      </w:pPr>
    </w:p>
    <w:p>
      <w:pPr>
        <w:spacing w:line="360" w:lineRule="auto"/>
        <w:jc w:val="both"/>
        <w:outlineLvl w:val="0"/>
        <w:rPr>
          <w:rFonts w:hint="eastAsia" w:eastAsiaTheme="minorEastAsia"/>
          <w:highlight w:val="none"/>
          <w:lang w:val="en-US" w:eastAsia="zh-CN"/>
        </w:rPr>
      </w:pPr>
      <w:bookmarkStart w:id="39" w:name="_Toc1236172332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6-40</w:t>
      </w:r>
      <w:bookmarkEnd w:id="39"/>
    </w:p>
    <w:p>
      <w:pPr>
        <w:jc w:val="center"/>
        <w:rPr>
          <w:rFonts w:hint="eastAsia" w:eastAsia="方正小标宋简体"/>
          <w:sz w:val="44"/>
          <w:szCs w:val="44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</w:rPr>
        <w:t>郑州商品交易所尿素期权合约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854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681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合约标的物</w:t>
            </w:r>
          </w:p>
        </w:tc>
        <w:tc>
          <w:tcPr>
            <w:tcW w:w="6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尿素期货合约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合约类型</w:t>
            </w:r>
          </w:p>
        </w:tc>
        <w:tc>
          <w:tcPr>
            <w:tcW w:w="6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看涨期权、看跌期权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交易单位</w:t>
            </w:r>
          </w:p>
        </w:tc>
        <w:tc>
          <w:tcPr>
            <w:tcW w:w="6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1手尿素期货合约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报价单位</w:t>
            </w:r>
          </w:p>
        </w:tc>
        <w:tc>
          <w:tcPr>
            <w:tcW w:w="6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最小变动价位</w:t>
            </w:r>
          </w:p>
        </w:tc>
        <w:tc>
          <w:tcPr>
            <w:tcW w:w="6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0.5元/吨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涨跌停板幅度</w:t>
            </w:r>
          </w:p>
        </w:tc>
        <w:tc>
          <w:tcPr>
            <w:tcW w:w="6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与尿素期货合约涨跌停板幅度相同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合约月份</w:t>
            </w:r>
          </w:p>
        </w:tc>
        <w:tc>
          <w:tcPr>
            <w:tcW w:w="6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标的期货合约中的连续两个近月，其后月份在标的期货合约结算后持仓量达到10000手（单边）之后的第二个交易日挂牌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交易时间</w:t>
            </w:r>
          </w:p>
        </w:tc>
        <w:tc>
          <w:tcPr>
            <w:tcW w:w="6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上午9：00—11：30，下午13：30—15：00，以及交易所规定的其他交易时间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最后交易日</w:t>
            </w:r>
          </w:p>
        </w:tc>
        <w:tc>
          <w:tcPr>
            <w:tcW w:w="6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标的期货合约交割月份前一个月第15个日历日之前（含该日）的倒数第3个交易日，以及交易所规定的其他日期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到期日</w:t>
            </w:r>
          </w:p>
        </w:tc>
        <w:tc>
          <w:tcPr>
            <w:tcW w:w="6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同最后交易日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</w:t>
            </w:r>
          </w:p>
        </w:tc>
        <w:tc>
          <w:tcPr>
            <w:tcW w:w="6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覆盖标的期货合约上一交易日结算价上下浮动1.5倍当日涨跌停板幅度对应的价格范围。行权价格≤1000元/吨，行权价格间距为10元/吨；1000元/吨＜行权价格≤2000元/吨，行权价格间距为20元/吨；行权价格＞2000元/吨，行权价格间距为40元/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行权方式</w:t>
            </w:r>
          </w:p>
        </w:tc>
        <w:tc>
          <w:tcPr>
            <w:tcW w:w="6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美式。买方可在到期日前任一交易日的交易时间提交行权申请；买方可在到期日15:30之前提交行权申请、放弃申请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交易代码</w:t>
            </w:r>
          </w:p>
        </w:tc>
        <w:tc>
          <w:tcPr>
            <w:tcW w:w="6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看涨期权：UR-合约月份-C-行权价格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看跌期权：UR-合约月份-P-行权价格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上市交易所</w:t>
            </w:r>
          </w:p>
        </w:tc>
        <w:tc>
          <w:tcPr>
            <w:tcW w:w="6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郑州商品交易所</w:t>
            </w:r>
          </w:p>
        </w:tc>
      </w:tr>
    </w:tbl>
    <w:p>
      <w:pPr>
        <w:rPr>
          <w:rFonts w:ascii="仿宋" w:hAnsi="仿宋" w:eastAsia="仿宋"/>
          <w:sz w:val="32"/>
          <w:highlight w:val="none"/>
        </w:rPr>
      </w:pPr>
    </w:p>
    <w:p>
      <w:pPr>
        <w:rPr>
          <w:highlight w:val="none"/>
        </w:rPr>
      </w:pPr>
    </w:p>
    <w:p>
      <w:pPr>
        <w:spacing w:line="360" w:lineRule="auto"/>
        <w:jc w:val="both"/>
        <w:outlineLvl w:val="0"/>
        <w:rPr>
          <w:highlight w:val="none"/>
        </w:rPr>
      </w:pPr>
      <w:bookmarkStart w:id="40" w:name="_Toc358664965"/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6-41</w:t>
      </w:r>
      <w:bookmarkEnd w:id="40"/>
    </w:p>
    <w:p>
      <w:pPr>
        <w:jc w:val="center"/>
        <w:outlineLvl w:val="0"/>
        <w:rPr>
          <w:rFonts w:hint="eastAsia" w:eastAsia="方正小标宋简体"/>
          <w:sz w:val="44"/>
          <w:szCs w:val="44"/>
          <w:highlight w:val="none"/>
        </w:rPr>
      </w:pPr>
      <w:bookmarkStart w:id="41" w:name="_Toc919136793"/>
      <w:r>
        <w:rPr>
          <w:rFonts w:hint="eastAsia" w:eastAsia="方正小标宋简体"/>
          <w:sz w:val="44"/>
          <w:szCs w:val="44"/>
          <w:highlight w:val="none"/>
        </w:rPr>
        <w:t>郑州商品交易所鲜苹果期权合约</w:t>
      </w:r>
      <w:bookmarkEnd w:id="41"/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</w:rPr>
        <w:t>（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2024年1月4日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郑州商品交易所第八届理事会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第十次会议审议通过，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自</w:t>
      </w:r>
      <w:r>
        <w:rPr>
          <w:rFonts w:hint="eastAsia" w:ascii="楷体" w:hAnsi="楷体" w:eastAsia="楷体" w:cs="楷体"/>
          <w:sz w:val="24"/>
          <w:szCs w:val="24"/>
          <w:highlight w:val="none"/>
          <w:lang w:eastAsia="zh-CN"/>
        </w:rPr>
        <w:t>发布之日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起施行）</w:t>
      </w:r>
    </w:p>
    <w:p>
      <w:pPr>
        <w:rPr>
          <w:rFonts w:hint="eastAsia" w:ascii="楷体" w:hAnsi="楷体" w:eastAsia="楷体" w:cs="楷体"/>
          <w:sz w:val="24"/>
          <w:szCs w:val="24"/>
          <w:highlight w:val="none"/>
        </w:rPr>
      </w:pPr>
    </w:p>
    <w:tbl>
      <w:tblPr>
        <w:tblStyle w:val="39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68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合约标的物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鲜苹果期货合约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合约类型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看涨期权、看跌期权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交易单位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1手鲜苹果期货合约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报价单位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元（人民币）/吨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最小变动价位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0.5元/吨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涨跌停板幅度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与鲜苹果期货合约涨跌停板幅度相同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合约月份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标的期货合约中的连续两个近月，其后月份在标的期货合约结算后持仓量达到5000手（单边）之后的第二个交易日挂牌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交易时间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上午9：00—11：30，下午13：30—15：00，以及交易所规定的其他交易时间</w:t>
            </w:r>
            <w:bookmarkStart w:id="42" w:name="_GoBack"/>
            <w:bookmarkEnd w:id="42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最后交易日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标的期货合约交割月份前两个月最后一个日历日之前（含该日）的倒数第3个交易日，以及交易所规定的其他日期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到期日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同最后交易日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价格覆盖标的期货合约上一交易日结算价上下浮动1.5倍当日涨跌停板幅度对应的价格范围。行权价格≤5000元/吨，行权价格间距为50元/吨；5000元/吨＜行权价格≤10000元/吨，行权价格间距为100元/吨；行权价格＞10000元/吨，行权价格间距为200元/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行权方式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美式。买方可在到期日前任一交易日的交易时间提交行权申请；买方可在到期日15:30之前提交行权申请、放弃申请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交易代码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看涨期权：AP-合约月份-C-行权价格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看跌期权：AP-合约月份-P-行权价格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上市交易所</w:t>
            </w:r>
          </w:p>
        </w:tc>
        <w:tc>
          <w:tcPr>
            <w:tcW w:w="3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</w:rPr>
              <w:t>郑州商品交易所</w:t>
            </w:r>
          </w:p>
        </w:tc>
      </w:tr>
    </w:tbl>
    <w:p>
      <w:pPr>
        <w:rPr>
          <w:highlight w:val="none"/>
        </w:rPr>
      </w:pPr>
    </w:p>
    <w:p>
      <w:pPr>
        <w:rPr>
          <w:rFonts w:asciiTheme="minorEastAsia" w:hAnsiTheme="minorEastAsia"/>
          <w:sz w:val="28"/>
          <w:szCs w:val="28"/>
          <w:highlight w:val="none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DaBiaoSong-B06S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2151380</wp:posOffset>
              </wp:positionH>
              <wp:positionV relativeFrom="paragraph">
                <wp:posOffset>-8890</wp:posOffset>
              </wp:positionV>
              <wp:extent cx="561340" cy="3041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340" cy="3041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33198547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24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9.4pt;margin-top:-0.7pt;height:23.95pt;width:44.2pt;mso-position-horizontal-relative:margin;z-index:251659264;mso-width-relative:page;mso-height-relative:page;" filled="f" stroked="f" coordsize="21600,21600" o:gfxdata="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sdt>
                    <w:sdtPr>
                      <w:id w:val="33198547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24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18"/>
    <w:rsid w:val="00042288"/>
    <w:rsid w:val="00043814"/>
    <w:rsid w:val="0004462E"/>
    <w:rsid w:val="00044E37"/>
    <w:rsid w:val="00064DD9"/>
    <w:rsid w:val="000A0CDB"/>
    <w:rsid w:val="000B455E"/>
    <w:rsid w:val="000C3ACC"/>
    <w:rsid w:val="000E43AD"/>
    <w:rsid w:val="000E7AF8"/>
    <w:rsid w:val="000E7EA9"/>
    <w:rsid w:val="00114631"/>
    <w:rsid w:val="0012192C"/>
    <w:rsid w:val="001348A9"/>
    <w:rsid w:val="00175E99"/>
    <w:rsid w:val="0019776E"/>
    <w:rsid w:val="001A0F4E"/>
    <w:rsid w:val="001A7014"/>
    <w:rsid w:val="001B0C7A"/>
    <w:rsid w:val="00225984"/>
    <w:rsid w:val="002505CC"/>
    <w:rsid w:val="00256C2E"/>
    <w:rsid w:val="00263291"/>
    <w:rsid w:val="00266B49"/>
    <w:rsid w:val="00284B28"/>
    <w:rsid w:val="00286EA3"/>
    <w:rsid w:val="002E1374"/>
    <w:rsid w:val="0031228A"/>
    <w:rsid w:val="003430FD"/>
    <w:rsid w:val="003833C7"/>
    <w:rsid w:val="00390EC4"/>
    <w:rsid w:val="003C60B8"/>
    <w:rsid w:val="003C78F1"/>
    <w:rsid w:val="003D00FB"/>
    <w:rsid w:val="003D5AB9"/>
    <w:rsid w:val="003E7761"/>
    <w:rsid w:val="003F0223"/>
    <w:rsid w:val="003F27B4"/>
    <w:rsid w:val="00400D68"/>
    <w:rsid w:val="00402ED4"/>
    <w:rsid w:val="004153ED"/>
    <w:rsid w:val="004344E2"/>
    <w:rsid w:val="0044273C"/>
    <w:rsid w:val="004B677F"/>
    <w:rsid w:val="004F7F8A"/>
    <w:rsid w:val="005008D5"/>
    <w:rsid w:val="00533258"/>
    <w:rsid w:val="00592EC1"/>
    <w:rsid w:val="00595FE5"/>
    <w:rsid w:val="005A1DE5"/>
    <w:rsid w:val="005B7393"/>
    <w:rsid w:val="005F2CA7"/>
    <w:rsid w:val="00600E9E"/>
    <w:rsid w:val="006140DF"/>
    <w:rsid w:val="006661A8"/>
    <w:rsid w:val="00697C5F"/>
    <w:rsid w:val="006E2640"/>
    <w:rsid w:val="006F07A1"/>
    <w:rsid w:val="006F4BA0"/>
    <w:rsid w:val="007150D5"/>
    <w:rsid w:val="00760A4A"/>
    <w:rsid w:val="00766D69"/>
    <w:rsid w:val="00781313"/>
    <w:rsid w:val="00792455"/>
    <w:rsid w:val="007A3836"/>
    <w:rsid w:val="007A4D91"/>
    <w:rsid w:val="007C0702"/>
    <w:rsid w:val="007C4A60"/>
    <w:rsid w:val="007E09EA"/>
    <w:rsid w:val="007F559B"/>
    <w:rsid w:val="008265CD"/>
    <w:rsid w:val="00834325"/>
    <w:rsid w:val="00840B1E"/>
    <w:rsid w:val="00846454"/>
    <w:rsid w:val="00847557"/>
    <w:rsid w:val="00891C41"/>
    <w:rsid w:val="00902F15"/>
    <w:rsid w:val="0092610A"/>
    <w:rsid w:val="009313FC"/>
    <w:rsid w:val="009713DC"/>
    <w:rsid w:val="009935BD"/>
    <w:rsid w:val="009967C3"/>
    <w:rsid w:val="009A05B0"/>
    <w:rsid w:val="009B250F"/>
    <w:rsid w:val="009F45A4"/>
    <w:rsid w:val="00AA5ED3"/>
    <w:rsid w:val="00AA60BD"/>
    <w:rsid w:val="00B015F8"/>
    <w:rsid w:val="00B0326E"/>
    <w:rsid w:val="00B0673F"/>
    <w:rsid w:val="00B41616"/>
    <w:rsid w:val="00B660AF"/>
    <w:rsid w:val="00B965E7"/>
    <w:rsid w:val="00BB4DC1"/>
    <w:rsid w:val="00BD2177"/>
    <w:rsid w:val="00BF7907"/>
    <w:rsid w:val="00C048D5"/>
    <w:rsid w:val="00C071B0"/>
    <w:rsid w:val="00C2761A"/>
    <w:rsid w:val="00C306B3"/>
    <w:rsid w:val="00C35A2A"/>
    <w:rsid w:val="00C5441F"/>
    <w:rsid w:val="00C54546"/>
    <w:rsid w:val="00C7309D"/>
    <w:rsid w:val="00C7463F"/>
    <w:rsid w:val="00C76BD1"/>
    <w:rsid w:val="00C94201"/>
    <w:rsid w:val="00CC1CA6"/>
    <w:rsid w:val="00CC5B5A"/>
    <w:rsid w:val="00CE58CF"/>
    <w:rsid w:val="00D30400"/>
    <w:rsid w:val="00D4238B"/>
    <w:rsid w:val="00D477E6"/>
    <w:rsid w:val="00D52042"/>
    <w:rsid w:val="00D55DA0"/>
    <w:rsid w:val="00D7590C"/>
    <w:rsid w:val="00D9422B"/>
    <w:rsid w:val="00D97CBF"/>
    <w:rsid w:val="00DC5607"/>
    <w:rsid w:val="00DE2470"/>
    <w:rsid w:val="00DE71E1"/>
    <w:rsid w:val="00DF0080"/>
    <w:rsid w:val="00E80002"/>
    <w:rsid w:val="00E978C5"/>
    <w:rsid w:val="00EB2A36"/>
    <w:rsid w:val="00EB3145"/>
    <w:rsid w:val="00EC15A4"/>
    <w:rsid w:val="00EE4018"/>
    <w:rsid w:val="00EF7AE6"/>
    <w:rsid w:val="00F00D61"/>
    <w:rsid w:val="00F227C2"/>
    <w:rsid w:val="00F302D8"/>
    <w:rsid w:val="00F460E0"/>
    <w:rsid w:val="00F46ABC"/>
    <w:rsid w:val="00F86908"/>
    <w:rsid w:val="00FE7209"/>
    <w:rsid w:val="00FF6495"/>
    <w:rsid w:val="37F782CC"/>
    <w:rsid w:val="3FFF9D59"/>
    <w:rsid w:val="4EBB4958"/>
    <w:rsid w:val="5933FC7B"/>
    <w:rsid w:val="5D7E218A"/>
    <w:rsid w:val="5FEF4F25"/>
    <w:rsid w:val="6BBF0B80"/>
    <w:rsid w:val="77CFA7D6"/>
    <w:rsid w:val="7DEBCAB3"/>
    <w:rsid w:val="80F82445"/>
    <w:rsid w:val="AE7FA737"/>
    <w:rsid w:val="B5CAD557"/>
    <w:rsid w:val="B7ED36EA"/>
    <w:rsid w:val="BA2BF85D"/>
    <w:rsid w:val="EBFBB823"/>
    <w:rsid w:val="EF9D2559"/>
    <w:rsid w:val="FF46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3"/>
    <w:qFormat/>
    <w:uiPriority w:val="0"/>
    <w:pPr>
      <w:keepNext/>
      <w:keepLines/>
      <w:spacing w:before="340" w:after="330" w:line="578" w:lineRule="auto"/>
      <w:ind w:firstLine="95" w:firstLineChars="95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4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55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56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 w:val="28"/>
      <w:szCs w:val="28"/>
    </w:rPr>
  </w:style>
  <w:style w:type="paragraph" w:styleId="6">
    <w:name w:val="heading 5"/>
    <w:basedOn w:val="1"/>
    <w:next w:val="1"/>
    <w:link w:val="57"/>
    <w:qFormat/>
    <w:uiPriority w:val="0"/>
    <w:pPr>
      <w:keepNext/>
      <w:keepLines/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kern w:val="0"/>
      <w:sz w:val="28"/>
      <w:szCs w:val="28"/>
    </w:rPr>
  </w:style>
  <w:style w:type="character" w:default="1" w:styleId="41">
    <w:name w:val="Default Paragraph Font"/>
    <w:semiHidden/>
    <w:unhideWhenUsed/>
    <w:qFormat/>
    <w:uiPriority w:val="1"/>
  </w:style>
  <w:style w:type="table" w:default="1" w:styleId="3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qFormat/>
    <w:uiPriority w:val="0"/>
    <w:pPr>
      <w:ind w:left="1260"/>
      <w:jc w:val="left"/>
    </w:pPr>
    <w:rPr>
      <w:rFonts w:ascii="Calibri" w:hAnsi="Calibri" w:eastAsia="宋体" w:cs="Calibri"/>
      <w:sz w:val="18"/>
      <w:szCs w:val="18"/>
    </w:rPr>
  </w:style>
  <w:style w:type="paragraph" w:styleId="8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styleId="9">
    <w:name w:val="caption"/>
    <w:basedOn w:val="1"/>
    <w:next w:val="1"/>
    <w:qFormat/>
    <w:uiPriority w:val="0"/>
    <w:rPr>
      <w:rFonts w:ascii="Cambria" w:hAnsi="Cambria" w:eastAsia="黑体" w:cs="Times New Roman"/>
      <w:sz w:val="20"/>
      <w:szCs w:val="20"/>
    </w:rPr>
  </w:style>
  <w:style w:type="paragraph" w:styleId="10">
    <w:name w:val="Document Map"/>
    <w:basedOn w:val="1"/>
    <w:link w:val="61"/>
    <w:qFormat/>
    <w:uiPriority w:val="0"/>
    <w:rPr>
      <w:rFonts w:ascii="宋体" w:hAnsi="Times New Roman" w:eastAsia="宋体" w:cs="Times New Roman"/>
      <w:sz w:val="18"/>
      <w:szCs w:val="18"/>
    </w:rPr>
  </w:style>
  <w:style w:type="paragraph" w:styleId="11">
    <w:name w:val="annotation text"/>
    <w:basedOn w:val="1"/>
    <w:link w:val="79"/>
    <w:qFormat/>
    <w:uiPriority w:val="0"/>
    <w:pPr>
      <w:spacing w:line="360" w:lineRule="auto"/>
      <w:jc w:val="left"/>
    </w:pPr>
    <w:rPr>
      <w:rFonts w:ascii="Calibri" w:hAnsi="Calibri" w:eastAsia="仿宋_GB2312" w:cs="Times New Roman"/>
      <w:kern w:val="0"/>
      <w:sz w:val="30"/>
      <w:szCs w:val="20"/>
    </w:rPr>
  </w:style>
  <w:style w:type="paragraph" w:styleId="12">
    <w:name w:val="Salutation"/>
    <w:basedOn w:val="1"/>
    <w:next w:val="1"/>
    <w:link w:val="71"/>
    <w:qFormat/>
    <w:uiPriority w:val="0"/>
    <w:rPr>
      <w:rFonts w:ascii="Calibri" w:hAnsi="Calibri" w:eastAsia="宋体" w:cs="Times New Roman"/>
      <w:kern w:val="0"/>
      <w:sz w:val="20"/>
      <w:szCs w:val="20"/>
    </w:rPr>
  </w:style>
  <w:style w:type="paragraph" w:styleId="13">
    <w:name w:val="Closing"/>
    <w:basedOn w:val="1"/>
    <w:link w:val="72"/>
    <w:qFormat/>
    <w:uiPriority w:val="0"/>
    <w:pPr>
      <w:ind w:left="100" w:leftChars="2100"/>
    </w:pPr>
    <w:rPr>
      <w:rFonts w:ascii="Calibri" w:hAnsi="Calibri" w:eastAsia="宋体" w:cs="Times New Roman"/>
      <w:kern w:val="0"/>
      <w:sz w:val="20"/>
      <w:szCs w:val="20"/>
    </w:rPr>
  </w:style>
  <w:style w:type="paragraph" w:styleId="14">
    <w:name w:val="Body Text"/>
    <w:basedOn w:val="1"/>
    <w:link w:val="83"/>
    <w:qFormat/>
    <w:uiPriority w:val="0"/>
    <w:pPr>
      <w:spacing w:after="120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15">
    <w:name w:val="Body Text Indent"/>
    <w:basedOn w:val="1"/>
    <w:link w:val="85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16">
    <w:name w:val="toc 5"/>
    <w:basedOn w:val="1"/>
    <w:next w:val="1"/>
    <w:qFormat/>
    <w:uiPriority w:val="0"/>
    <w:pPr>
      <w:ind w:left="840"/>
      <w:jc w:val="left"/>
    </w:pPr>
    <w:rPr>
      <w:rFonts w:ascii="Calibri" w:hAnsi="Calibri" w:eastAsia="宋体" w:cs="Calibri"/>
      <w:sz w:val="18"/>
      <w:szCs w:val="18"/>
    </w:rPr>
  </w:style>
  <w:style w:type="paragraph" w:styleId="17">
    <w:name w:val="toc 3"/>
    <w:basedOn w:val="1"/>
    <w:next w:val="1"/>
    <w:qFormat/>
    <w:uiPriority w:val="39"/>
    <w:pPr>
      <w:ind w:left="420"/>
      <w:jc w:val="left"/>
    </w:pPr>
    <w:rPr>
      <w:rFonts w:ascii="Calibri" w:hAnsi="Calibri" w:eastAsia="宋体" w:cs="Calibri"/>
      <w:i/>
      <w:iCs/>
      <w:sz w:val="20"/>
      <w:szCs w:val="20"/>
    </w:rPr>
  </w:style>
  <w:style w:type="paragraph" w:styleId="18">
    <w:name w:val="Plain Text"/>
    <w:basedOn w:val="1"/>
    <w:link w:val="121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paragraph" w:styleId="19">
    <w:name w:val="toc 8"/>
    <w:basedOn w:val="1"/>
    <w:next w:val="1"/>
    <w:qFormat/>
    <w:uiPriority w:val="0"/>
    <w:pPr>
      <w:ind w:left="1470"/>
      <w:jc w:val="left"/>
    </w:pPr>
    <w:rPr>
      <w:rFonts w:ascii="Calibri" w:hAnsi="Calibri" w:eastAsia="宋体" w:cs="Calibri"/>
      <w:sz w:val="18"/>
      <w:szCs w:val="18"/>
    </w:rPr>
  </w:style>
  <w:style w:type="paragraph" w:styleId="20">
    <w:name w:val="Date"/>
    <w:basedOn w:val="1"/>
    <w:next w:val="1"/>
    <w:link w:val="59"/>
    <w:qFormat/>
    <w:uiPriority w:val="0"/>
    <w:rPr>
      <w:rFonts w:ascii="仿宋_GB2312" w:hAnsi="Times New Roman" w:eastAsia="仿宋_GB2312" w:cs="Times New Roman"/>
      <w:sz w:val="32"/>
      <w:szCs w:val="24"/>
    </w:rPr>
  </w:style>
  <w:style w:type="paragraph" w:styleId="21">
    <w:name w:val="Body Text Indent 2"/>
    <w:basedOn w:val="1"/>
    <w:link w:val="69"/>
    <w:qFormat/>
    <w:uiPriority w:val="0"/>
    <w:pPr>
      <w:widowControl/>
      <w:spacing w:after="120" w:line="480" w:lineRule="auto"/>
      <w:ind w:left="420"/>
    </w:pPr>
    <w:rPr>
      <w:rFonts w:ascii="Times New Roman" w:hAnsi="Times New Roman" w:eastAsia="宋体" w:cs="Times New Roman"/>
      <w:kern w:val="0"/>
      <w:sz w:val="20"/>
      <w:szCs w:val="21"/>
    </w:rPr>
  </w:style>
  <w:style w:type="paragraph" w:styleId="22">
    <w:name w:val="endnote text"/>
    <w:basedOn w:val="1"/>
    <w:link w:val="78"/>
    <w:qFormat/>
    <w:uiPriority w:val="0"/>
    <w:pPr>
      <w:snapToGrid w:val="0"/>
      <w:spacing w:line="360" w:lineRule="auto"/>
      <w:jc w:val="left"/>
    </w:pPr>
    <w:rPr>
      <w:rFonts w:ascii="Calibri" w:hAnsi="Calibri" w:eastAsia="仿宋_GB2312" w:cs="Times New Roman"/>
      <w:kern w:val="0"/>
      <w:sz w:val="30"/>
      <w:szCs w:val="20"/>
    </w:rPr>
  </w:style>
  <w:style w:type="paragraph" w:styleId="23">
    <w:name w:val="Balloon Text"/>
    <w:basedOn w:val="1"/>
    <w:link w:val="6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24">
    <w:name w:val="footer"/>
    <w:basedOn w:val="1"/>
    <w:link w:val="4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5">
    <w:name w:val="header"/>
    <w:basedOn w:val="1"/>
    <w:link w:val="4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6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 w:eastAsia="宋体" w:cs="Calibri"/>
      <w:b/>
      <w:bCs/>
      <w:caps/>
      <w:sz w:val="20"/>
      <w:szCs w:val="20"/>
    </w:rPr>
  </w:style>
  <w:style w:type="paragraph" w:styleId="27">
    <w:name w:val="toc 4"/>
    <w:basedOn w:val="1"/>
    <w:next w:val="1"/>
    <w:qFormat/>
    <w:uiPriority w:val="0"/>
    <w:pPr>
      <w:ind w:left="630"/>
      <w:jc w:val="left"/>
    </w:pPr>
    <w:rPr>
      <w:rFonts w:ascii="Calibri" w:hAnsi="Calibri" w:eastAsia="宋体" w:cs="Calibri"/>
      <w:sz w:val="18"/>
      <w:szCs w:val="18"/>
    </w:rPr>
  </w:style>
  <w:style w:type="paragraph" w:styleId="28">
    <w:name w:val="Subtitle"/>
    <w:basedOn w:val="1"/>
    <w:next w:val="1"/>
    <w:link w:val="64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29">
    <w:name w:val="footnote text"/>
    <w:basedOn w:val="1"/>
    <w:link w:val="51"/>
    <w:unhideWhenUsed/>
    <w:qFormat/>
    <w:uiPriority w:val="0"/>
    <w:pPr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0">
    <w:name w:val="toc 6"/>
    <w:basedOn w:val="1"/>
    <w:next w:val="1"/>
    <w:qFormat/>
    <w:uiPriority w:val="0"/>
    <w:pPr>
      <w:ind w:left="1050"/>
      <w:jc w:val="left"/>
    </w:pPr>
    <w:rPr>
      <w:rFonts w:ascii="Calibri" w:hAnsi="Calibri" w:eastAsia="宋体" w:cs="Calibri"/>
      <w:sz w:val="18"/>
      <w:szCs w:val="18"/>
    </w:rPr>
  </w:style>
  <w:style w:type="paragraph" w:styleId="31">
    <w:name w:val="Body Text Indent 3"/>
    <w:basedOn w:val="1"/>
    <w:link w:val="122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kern w:val="0"/>
      <w:sz w:val="16"/>
      <w:szCs w:val="16"/>
    </w:rPr>
  </w:style>
  <w:style w:type="paragraph" w:styleId="32">
    <w:name w:val="toc 2"/>
    <w:basedOn w:val="1"/>
    <w:next w:val="1"/>
    <w:qFormat/>
    <w:uiPriority w:val="39"/>
    <w:pPr>
      <w:ind w:left="210"/>
      <w:jc w:val="left"/>
    </w:pPr>
    <w:rPr>
      <w:rFonts w:ascii="Calibri" w:hAnsi="Calibri" w:eastAsia="宋体" w:cs="Calibri"/>
      <w:smallCaps/>
      <w:sz w:val="20"/>
      <w:szCs w:val="20"/>
    </w:rPr>
  </w:style>
  <w:style w:type="paragraph" w:styleId="33">
    <w:name w:val="toc 9"/>
    <w:basedOn w:val="1"/>
    <w:next w:val="1"/>
    <w:qFormat/>
    <w:uiPriority w:val="0"/>
    <w:pPr>
      <w:ind w:left="1680"/>
      <w:jc w:val="left"/>
    </w:pPr>
    <w:rPr>
      <w:rFonts w:ascii="Calibri" w:hAnsi="Calibri" w:eastAsia="宋体" w:cs="Calibri"/>
      <w:sz w:val="18"/>
      <w:szCs w:val="18"/>
    </w:rPr>
  </w:style>
  <w:style w:type="paragraph" w:styleId="34">
    <w:name w:val="Body Text 2"/>
    <w:basedOn w:val="1"/>
    <w:link w:val="87"/>
    <w:qFormat/>
    <w:uiPriority w:val="0"/>
    <w:pPr>
      <w:spacing w:after="120" w:line="480" w:lineRule="auto"/>
    </w:pPr>
    <w:rPr>
      <w:rFonts w:ascii="Times New Roman" w:hAnsi="Times New Roman" w:eastAsia="宋体" w:cs="Times New Roman"/>
      <w:kern w:val="0"/>
      <w:sz w:val="20"/>
      <w:szCs w:val="24"/>
    </w:rPr>
  </w:style>
  <w:style w:type="paragraph" w:styleId="35">
    <w:name w:val="HTML Preformatted"/>
    <w:basedOn w:val="1"/>
    <w:link w:val="74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Times New Roman"/>
      <w:kern w:val="0"/>
      <w:sz w:val="24"/>
      <w:szCs w:val="24"/>
    </w:rPr>
  </w:style>
  <w:style w:type="paragraph" w:styleId="36">
    <w:name w:val="Normal (Web)"/>
    <w:basedOn w:val="1"/>
    <w:unhideWhenUsed/>
    <w:qFormat/>
    <w:uiPriority w:val="0"/>
    <w:pPr>
      <w:widowControl/>
      <w:spacing w:before="100" w:beforeAutospacing="1" w:after="100" w:afterAutospacing="1" w:line="440" w:lineRule="exact"/>
      <w:ind w:left="200" w:left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7">
    <w:name w:val="Title"/>
    <w:basedOn w:val="1"/>
    <w:next w:val="1"/>
    <w:link w:val="63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0"/>
      <w:sz w:val="32"/>
      <w:szCs w:val="32"/>
    </w:rPr>
  </w:style>
  <w:style w:type="paragraph" w:styleId="38">
    <w:name w:val="annotation subject"/>
    <w:basedOn w:val="11"/>
    <w:next w:val="11"/>
    <w:link w:val="80"/>
    <w:qFormat/>
    <w:uiPriority w:val="0"/>
    <w:rPr>
      <w:b/>
      <w:bCs/>
    </w:rPr>
  </w:style>
  <w:style w:type="table" w:styleId="40">
    <w:name w:val="Table Grid"/>
    <w:basedOn w:val="39"/>
    <w:qFormat/>
    <w:uiPriority w:val="59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2">
    <w:name w:val="Strong"/>
    <w:qFormat/>
    <w:uiPriority w:val="0"/>
    <w:rPr>
      <w:b/>
    </w:rPr>
  </w:style>
  <w:style w:type="character" w:styleId="43">
    <w:name w:val="endnote reference"/>
    <w:basedOn w:val="41"/>
    <w:unhideWhenUsed/>
    <w:qFormat/>
    <w:uiPriority w:val="99"/>
    <w:rPr>
      <w:vertAlign w:val="superscript"/>
    </w:rPr>
  </w:style>
  <w:style w:type="character" w:styleId="44">
    <w:name w:val="page number"/>
    <w:basedOn w:val="41"/>
    <w:qFormat/>
    <w:uiPriority w:val="0"/>
  </w:style>
  <w:style w:type="character" w:styleId="45">
    <w:name w:val="Hyperlink"/>
    <w:qFormat/>
    <w:uiPriority w:val="99"/>
    <w:rPr>
      <w:color w:val="0000FF"/>
      <w:u w:val="single"/>
    </w:rPr>
  </w:style>
  <w:style w:type="character" w:styleId="46">
    <w:name w:val="footnote reference"/>
    <w:unhideWhenUsed/>
    <w:qFormat/>
    <w:uiPriority w:val="0"/>
    <w:rPr>
      <w:vertAlign w:val="superscript"/>
    </w:rPr>
  </w:style>
  <w:style w:type="character" w:customStyle="1" w:styleId="47">
    <w:name w:val="页眉 Char"/>
    <w:basedOn w:val="41"/>
    <w:link w:val="25"/>
    <w:qFormat/>
    <w:uiPriority w:val="99"/>
    <w:rPr>
      <w:sz w:val="18"/>
      <w:szCs w:val="18"/>
    </w:rPr>
  </w:style>
  <w:style w:type="character" w:customStyle="1" w:styleId="48">
    <w:name w:val="页脚 Char"/>
    <w:basedOn w:val="41"/>
    <w:link w:val="24"/>
    <w:qFormat/>
    <w:uiPriority w:val="99"/>
    <w:rPr>
      <w:sz w:val="18"/>
      <w:szCs w:val="18"/>
    </w:rPr>
  </w:style>
  <w:style w:type="paragraph" w:customStyle="1" w:styleId="49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50">
    <w:name w:val="脚注文本 Char"/>
    <w:basedOn w:val="41"/>
    <w:link w:val="29"/>
    <w:qFormat/>
    <w:uiPriority w:val="0"/>
    <w:rPr>
      <w:sz w:val="18"/>
      <w:szCs w:val="18"/>
    </w:rPr>
  </w:style>
  <w:style w:type="character" w:customStyle="1" w:styleId="51">
    <w:name w:val="脚注文本 Char1"/>
    <w:basedOn w:val="41"/>
    <w:link w:val="29"/>
    <w:qFormat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52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53">
    <w:name w:val="标题 1 Char"/>
    <w:basedOn w:val="4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54">
    <w:name w:val="标题 2 Char"/>
    <w:basedOn w:val="41"/>
    <w:link w:val="3"/>
    <w:qFormat/>
    <w:uiPriority w:val="0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55">
    <w:name w:val="标题 3 Char"/>
    <w:basedOn w:val="41"/>
    <w:link w:val="4"/>
    <w:qFormat/>
    <w:uiPriority w:val="0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customStyle="1" w:styleId="56">
    <w:name w:val="标题 4 Char"/>
    <w:basedOn w:val="41"/>
    <w:link w:val="5"/>
    <w:qFormat/>
    <w:uiPriority w:val="0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57">
    <w:name w:val="标题 5 Char"/>
    <w:basedOn w:val="41"/>
    <w:link w:val="6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</w:rPr>
  </w:style>
  <w:style w:type="paragraph" w:customStyle="1" w:styleId="58">
    <w:name w:val="Default"/>
    <w:link w:val="65"/>
    <w:qFormat/>
    <w:uiPriority w:val="0"/>
    <w:pPr>
      <w:widowControl w:val="0"/>
      <w:autoSpaceDE w:val="0"/>
      <w:autoSpaceDN w:val="0"/>
      <w:adjustRightInd w:val="0"/>
    </w:pPr>
    <w:rPr>
      <w:rFonts w:ascii="FangSong" w:hAnsi="Calibri" w:eastAsia="FangSong" w:cs="FangSong"/>
      <w:color w:val="000000"/>
      <w:kern w:val="0"/>
      <w:sz w:val="24"/>
      <w:szCs w:val="24"/>
      <w:lang w:val="en-US" w:eastAsia="zh-CN" w:bidi="ar-SA"/>
    </w:rPr>
  </w:style>
  <w:style w:type="character" w:customStyle="1" w:styleId="59">
    <w:name w:val="日期 Char"/>
    <w:basedOn w:val="41"/>
    <w:link w:val="20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60">
    <w:name w:val="批注框文本 Char"/>
    <w:basedOn w:val="41"/>
    <w:link w:val="23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1">
    <w:name w:val="文档结构图 Char"/>
    <w:basedOn w:val="41"/>
    <w:link w:val="10"/>
    <w:qFormat/>
    <w:uiPriority w:val="0"/>
    <w:rPr>
      <w:rFonts w:ascii="宋体" w:hAnsi="Times New Roman" w:eastAsia="宋体" w:cs="Times New Roman"/>
      <w:sz w:val="18"/>
      <w:szCs w:val="18"/>
    </w:rPr>
  </w:style>
  <w:style w:type="paragraph" w:customStyle="1" w:styleId="62">
    <w:name w:val="题目一"/>
    <w:basedOn w:val="1"/>
    <w:qFormat/>
    <w:uiPriority w:val="0"/>
    <w:pPr>
      <w:tabs>
        <w:tab w:val="left" w:pos="0"/>
        <w:tab w:val="left" w:pos="993"/>
      </w:tabs>
      <w:spacing w:beforeLines="50" w:afterLines="50" w:line="360" w:lineRule="auto"/>
      <w:ind w:left="709"/>
      <w:jc w:val="left"/>
      <w:outlineLvl w:val="0"/>
    </w:pPr>
    <w:rPr>
      <w:rFonts w:ascii="黑体" w:hAnsi="黑体" w:eastAsia="黑体" w:cs="宋体"/>
      <w:bCs/>
      <w:caps/>
      <w:sz w:val="32"/>
      <w:szCs w:val="32"/>
    </w:rPr>
  </w:style>
  <w:style w:type="character" w:customStyle="1" w:styleId="63">
    <w:name w:val="标题 Char"/>
    <w:basedOn w:val="41"/>
    <w:link w:val="37"/>
    <w:qFormat/>
    <w:uiPriority w:val="0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64">
    <w:name w:val="副标题 Char"/>
    <w:basedOn w:val="41"/>
    <w:link w:val="28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65">
    <w:name w:val="Default Char"/>
    <w:link w:val="58"/>
    <w:qFormat/>
    <w:locked/>
    <w:uiPriority w:val="0"/>
    <w:rPr>
      <w:rFonts w:ascii="FangSong" w:hAnsi="Calibri" w:eastAsia="FangSong" w:cs="FangSong"/>
      <w:color w:val="000000"/>
      <w:kern w:val="0"/>
      <w:sz w:val="24"/>
      <w:szCs w:val="24"/>
    </w:rPr>
  </w:style>
  <w:style w:type="paragraph" w:customStyle="1" w:styleId="66">
    <w:name w:val="段"/>
    <w:qFormat/>
    <w:uiPriority w:val="0"/>
    <w:pPr>
      <w:autoSpaceDE w:val="0"/>
      <w:autoSpaceDN w:val="0"/>
      <w:ind w:firstLine="200"/>
      <w:jc w:val="both"/>
    </w:pPr>
    <w:rPr>
      <w:rFonts w:ascii="仿宋_GB2312" w:hAnsi="宋体" w:eastAsia="仿宋_GB2312" w:cs="Times New Roman"/>
      <w:kern w:val="0"/>
      <w:sz w:val="30"/>
      <w:szCs w:val="18"/>
      <w:lang w:val="en-US" w:eastAsia="zh-CN" w:bidi="ar-SA"/>
    </w:rPr>
  </w:style>
  <w:style w:type="character" w:customStyle="1" w:styleId="67">
    <w:name w:val="huanhang1"/>
    <w:qFormat/>
    <w:uiPriority w:val="0"/>
    <w:rPr>
      <w:rFonts w:cs="Times New Roman"/>
    </w:rPr>
  </w:style>
  <w:style w:type="paragraph" w:customStyle="1" w:styleId="68">
    <w:name w:val="a"/>
    <w:basedOn w:val="1"/>
    <w:qFormat/>
    <w:uiPriority w:val="0"/>
    <w:pPr>
      <w:widowControl/>
      <w:autoSpaceDE w:val="0"/>
      <w:autoSpaceDN w:val="0"/>
      <w:ind w:firstLine="200"/>
    </w:pPr>
    <w:rPr>
      <w:rFonts w:ascii="仿宋_GB2312" w:hAnsi="宋体" w:eastAsia="仿宋_GB2312" w:cs="宋体"/>
      <w:kern w:val="0"/>
      <w:sz w:val="30"/>
      <w:szCs w:val="30"/>
    </w:rPr>
  </w:style>
  <w:style w:type="character" w:customStyle="1" w:styleId="69">
    <w:name w:val="正文文本缩进 2 Char"/>
    <w:basedOn w:val="41"/>
    <w:link w:val="21"/>
    <w:qFormat/>
    <w:uiPriority w:val="0"/>
    <w:rPr>
      <w:rFonts w:ascii="Times New Roman" w:hAnsi="Times New Roman" w:eastAsia="宋体" w:cs="Times New Roman"/>
      <w:kern w:val="0"/>
      <w:sz w:val="20"/>
      <w:szCs w:val="21"/>
    </w:rPr>
  </w:style>
  <w:style w:type="character" w:customStyle="1" w:styleId="70">
    <w:name w:val="medium_text1"/>
    <w:qFormat/>
    <w:uiPriority w:val="0"/>
    <w:rPr>
      <w:sz w:val="24"/>
    </w:rPr>
  </w:style>
  <w:style w:type="character" w:customStyle="1" w:styleId="71">
    <w:name w:val="称呼 Char"/>
    <w:basedOn w:val="41"/>
    <w:link w:val="12"/>
    <w:qFormat/>
    <w:uiPriority w:val="0"/>
    <w:rPr>
      <w:rFonts w:ascii="Calibri" w:hAnsi="Calibri" w:eastAsia="宋体" w:cs="Times New Roman"/>
      <w:kern w:val="0"/>
      <w:sz w:val="20"/>
      <w:szCs w:val="20"/>
    </w:rPr>
  </w:style>
  <w:style w:type="character" w:customStyle="1" w:styleId="72">
    <w:name w:val="结束语 Char"/>
    <w:basedOn w:val="41"/>
    <w:link w:val="13"/>
    <w:qFormat/>
    <w:uiPriority w:val="0"/>
    <w:rPr>
      <w:rFonts w:ascii="Calibri" w:hAnsi="Calibri" w:eastAsia="宋体" w:cs="Times New Roman"/>
      <w:kern w:val="0"/>
      <w:sz w:val="20"/>
      <w:szCs w:val="20"/>
    </w:rPr>
  </w:style>
  <w:style w:type="paragraph" w:customStyle="1" w:styleId="73">
    <w:name w:val="Normal DS"/>
    <w:basedOn w:val="1"/>
    <w:qFormat/>
    <w:uiPriority w:val="0"/>
    <w:pPr>
      <w:widowControl/>
      <w:spacing w:after="260"/>
      <w:jc w:val="left"/>
    </w:pPr>
    <w:rPr>
      <w:rFonts w:ascii="Times New Roman" w:hAnsi="Times New Roman" w:eastAsia="宋体" w:cs="Times New Roman"/>
      <w:kern w:val="0"/>
      <w:sz w:val="23"/>
      <w:szCs w:val="20"/>
    </w:rPr>
  </w:style>
  <w:style w:type="character" w:customStyle="1" w:styleId="74">
    <w:name w:val="HTML 预设格式 Char"/>
    <w:basedOn w:val="41"/>
    <w:link w:val="35"/>
    <w:qFormat/>
    <w:uiPriority w:val="0"/>
    <w:rPr>
      <w:rFonts w:ascii="Arial" w:hAnsi="Arial" w:eastAsia="宋体" w:cs="Times New Roman"/>
      <w:kern w:val="0"/>
      <w:sz w:val="24"/>
      <w:szCs w:val="24"/>
    </w:rPr>
  </w:style>
  <w:style w:type="paragraph" w:customStyle="1" w:styleId="75">
    <w:name w:val="TOC 标题1"/>
    <w:basedOn w:val="2"/>
    <w:next w:val="1"/>
    <w:qFormat/>
    <w:uiPriority w:val="0"/>
    <w:pPr>
      <w:keepLines w:val="0"/>
      <w:widowControl/>
      <w:spacing w:before="480" w:after="0" w:line="276" w:lineRule="auto"/>
      <w:ind w:firstLine="0" w:firstLineChars="0"/>
      <w:jc w:val="left"/>
      <w:outlineLvl w:val="9"/>
    </w:pPr>
    <w:rPr>
      <w:rFonts w:ascii="Cambria" w:hAnsi="Cambria"/>
      <w:b w:val="0"/>
      <w:color w:val="365F91"/>
      <w:kern w:val="0"/>
      <w:sz w:val="28"/>
      <w:szCs w:val="28"/>
    </w:rPr>
  </w:style>
  <w:style w:type="paragraph" w:customStyle="1" w:styleId="76">
    <w:name w:val="无间隔1"/>
    <w:link w:val="106"/>
    <w:qFormat/>
    <w:uiPriority w:val="0"/>
    <w:pPr>
      <w:widowControl w:val="0"/>
      <w:jc w:val="both"/>
    </w:pPr>
    <w:rPr>
      <w:rFonts w:ascii="Calibri" w:hAnsi="Calibri" w:eastAsia="仿宋_GB2312" w:cs="Times New Roman"/>
      <w:kern w:val="0"/>
      <w:sz w:val="30"/>
      <w:szCs w:val="22"/>
      <w:lang w:val="en-US" w:eastAsia="zh-CN" w:bidi="ar-SA"/>
    </w:rPr>
  </w:style>
  <w:style w:type="paragraph" w:customStyle="1" w:styleId="77">
    <w:name w:val="Char Char Char Char Char Char Char"/>
    <w:basedOn w:val="1"/>
    <w:qFormat/>
    <w:uiPriority w:val="0"/>
    <w:pPr>
      <w:spacing w:line="360" w:lineRule="auto"/>
    </w:pPr>
    <w:rPr>
      <w:rFonts w:ascii="Times New Roman" w:hAnsi="Times New Roman" w:eastAsia="仿宋_GB2312" w:cs="Times New Roman"/>
      <w:sz w:val="30"/>
      <w:szCs w:val="20"/>
    </w:rPr>
  </w:style>
  <w:style w:type="character" w:customStyle="1" w:styleId="78">
    <w:name w:val="尾注文本 Char"/>
    <w:basedOn w:val="41"/>
    <w:link w:val="22"/>
    <w:qFormat/>
    <w:uiPriority w:val="0"/>
    <w:rPr>
      <w:rFonts w:ascii="Calibri" w:hAnsi="Calibri" w:eastAsia="仿宋_GB2312" w:cs="Times New Roman"/>
      <w:kern w:val="0"/>
      <w:sz w:val="30"/>
      <w:szCs w:val="20"/>
    </w:rPr>
  </w:style>
  <w:style w:type="character" w:customStyle="1" w:styleId="79">
    <w:name w:val="批注文字 Char"/>
    <w:basedOn w:val="41"/>
    <w:link w:val="11"/>
    <w:qFormat/>
    <w:uiPriority w:val="0"/>
    <w:rPr>
      <w:rFonts w:ascii="Calibri" w:hAnsi="Calibri" w:eastAsia="仿宋_GB2312" w:cs="Times New Roman"/>
      <w:kern w:val="0"/>
      <w:sz w:val="30"/>
      <w:szCs w:val="20"/>
    </w:rPr>
  </w:style>
  <w:style w:type="character" w:customStyle="1" w:styleId="80">
    <w:name w:val="批注主题 Char"/>
    <w:basedOn w:val="79"/>
    <w:link w:val="38"/>
    <w:qFormat/>
    <w:uiPriority w:val="0"/>
    <w:rPr>
      <w:b/>
      <w:bCs/>
    </w:rPr>
  </w:style>
  <w:style w:type="paragraph" w:customStyle="1" w:styleId="81">
    <w:name w:val="列出段落2"/>
    <w:basedOn w:val="1"/>
    <w:qFormat/>
    <w:uiPriority w:val="0"/>
    <w:pPr>
      <w:ind w:firstLine="420" w:firstLineChars="200"/>
    </w:pPr>
    <w:rPr>
      <w:rFonts w:ascii="Calibri" w:hAnsi="Calibri" w:eastAsia="仿宋" w:cs="Calibri"/>
      <w:sz w:val="28"/>
      <w:szCs w:val="28"/>
    </w:rPr>
  </w:style>
  <w:style w:type="paragraph" w:customStyle="1" w:styleId="82">
    <w:name w:val="列出段落3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83">
    <w:name w:val="正文文本 Char"/>
    <w:basedOn w:val="41"/>
    <w:link w:val="14"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paragraph" w:customStyle="1" w:styleId="84">
    <w:name w:val="CM15"/>
    <w:basedOn w:val="58"/>
    <w:next w:val="58"/>
    <w:qFormat/>
    <w:uiPriority w:val="0"/>
    <w:pPr>
      <w:spacing w:line="403" w:lineRule="atLeast"/>
    </w:pPr>
    <w:rPr>
      <w:rFonts w:ascii="FZDaBiaoSong-B06S" w:hAnsi="Times New Roman" w:eastAsia="FZDaBiaoSong-B06S" w:cs="FZDaBiaoSong-B06S"/>
      <w:color w:val="auto"/>
    </w:rPr>
  </w:style>
  <w:style w:type="character" w:customStyle="1" w:styleId="85">
    <w:name w:val="正文文本缩进 Char"/>
    <w:basedOn w:val="41"/>
    <w:link w:val="15"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paragraph" w:customStyle="1" w:styleId="86">
    <w:name w:val="CM32"/>
    <w:basedOn w:val="1"/>
    <w:next w:val="1"/>
    <w:qFormat/>
    <w:uiPriority w:val="0"/>
    <w:pPr>
      <w:autoSpaceDE w:val="0"/>
      <w:autoSpaceDN w:val="0"/>
      <w:adjustRightInd w:val="0"/>
      <w:spacing w:line="403" w:lineRule="atLeast"/>
      <w:jc w:val="left"/>
    </w:pPr>
    <w:rPr>
      <w:rFonts w:ascii="FZDaBiaoSong-B06S" w:hAnsi="Times New Roman" w:eastAsia="FZDaBiaoSong-B06S" w:cs="FZDaBiaoSong-B06S"/>
      <w:kern w:val="0"/>
      <w:sz w:val="24"/>
      <w:szCs w:val="24"/>
    </w:rPr>
  </w:style>
  <w:style w:type="character" w:customStyle="1" w:styleId="87">
    <w:name w:val="正文文本 2 Char"/>
    <w:basedOn w:val="41"/>
    <w:link w:val="34"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paragraph" w:customStyle="1" w:styleId="88">
    <w:name w:val="普通(Web)"/>
    <w:basedOn w:val="1"/>
    <w:qFormat/>
    <w:uiPriority w:val="0"/>
    <w:pPr>
      <w:widowControl/>
      <w:spacing w:before="100" w:after="100"/>
      <w:jc w:val="left"/>
    </w:pPr>
    <w:rPr>
      <w:rFonts w:ascii="宋体" w:hAnsi="宋体" w:eastAsia="宋体" w:cs="Times New Roman"/>
      <w:kern w:val="0"/>
      <w:sz w:val="24"/>
      <w:szCs w:val="20"/>
    </w:rPr>
  </w:style>
  <w:style w:type="paragraph" w:customStyle="1" w:styleId="89">
    <w:name w:val="列出段落4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90">
    <w:name w:val="hei141"/>
    <w:qFormat/>
    <w:uiPriority w:val="0"/>
    <w:rPr>
      <w:rFonts w:ascii="宋体" w:hAnsi="宋体" w:eastAsia="宋体"/>
      <w:color w:val="000000"/>
      <w:sz w:val="21"/>
      <w:u w:val="none"/>
    </w:rPr>
  </w:style>
  <w:style w:type="character" w:customStyle="1" w:styleId="91">
    <w:name w:val="st1"/>
    <w:qFormat/>
    <w:uiPriority w:val="0"/>
    <w:rPr>
      <w:rFonts w:cs="Times New Roman"/>
    </w:rPr>
  </w:style>
  <w:style w:type="paragraph" w:customStyle="1" w:styleId="92">
    <w:name w:val="列出段落1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93">
    <w:name w:val="样式1"/>
    <w:basedOn w:val="1"/>
    <w:link w:val="94"/>
    <w:qFormat/>
    <w:uiPriority w:val="0"/>
    <w:pPr>
      <w:keepNext/>
      <w:widowControl/>
      <w:spacing w:beforeLines="50" w:afterLines="50" w:line="560" w:lineRule="exact"/>
      <w:jc w:val="center"/>
      <w:outlineLvl w:val="1"/>
    </w:pPr>
    <w:rPr>
      <w:rFonts w:ascii="Arial" w:hAnsi="Arial" w:eastAsia="黑体" w:cs="Times New Roman"/>
      <w:bCs/>
      <w:color w:val="000000"/>
      <w:kern w:val="0"/>
      <w:sz w:val="28"/>
      <w:szCs w:val="28"/>
    </w:rPr>
  </w:style>
  <w:style w:type="character" w:customStyle="1" w:styleId="94">
    <w:name w:val="样式1 Char"/>
    <w:link w:val="93"/>
    <w:qFormat/>
    <w:locked/>
    <w:uiPriority w:val="0"/>
    <w:rPr>
      <w:rFonts w:ascii="Arial" w:hAnsi="Arial" w:eastAsia="黑体" w:cs="Times New Roman"/>
      <w:bCs/>
      <w:color w:val="000000"/>
      <w:kern w:val="0"/>
      <w:sz w:val="28"/>
      <w:szCs w:val="28"/>
    </w:rPr>
  </w:style>
  <w:style w:type="character" w:customStyle="1" w:styleId="95">
    <w:name w:val="Default Char Char"/>
    <w:qFormat/>
    <w:uiPriority w:val="0"/>
    <w:rPr>
      <w:rFonts w:ascii="仿宋_GB2312" w:eastAsia="仿宋_GB2312"/>
      <w:color w:val="000000"/>
      <w:sz w:val="24"/>
      <w:lang w:val="en-US" w:eastAsia="zh-CN"/>
    </w:rPr>
  </w:style>
  <w:style w:type="paragraph" w:customStyle="1" w:styleId="96">
    <w:name w:val="样式2"/>
    <w:basedOn w:val="1"/>
    <w:link w:val="97"/>
    <w:qFormat/>
    <w:uiPriority w:val="0"/>
    <w:pPr>
      <w:spacing w:line="360" w:lineRule="auto"/>
      <w:ind w:firstLine="602" w:firstLineChars="200"/>
      <w:outlineLvl w:val="3"/>
    </w:pPr>
    <w:rPr>
      <w:rFonts w:ascii="仿宋_GB2312" w:hAnsi="仿宋" w:eastAsia="仿宋_GB2312" w:cs="Times New Roman"/>
      <w:b/>
      <w:kern w:val="0"/>
      <w:sz w:val="30"/>
      <w:szCs w:val="30"/>
    </w:rPr>
  </w:style>
  <w:style w:type="character" w:customStyle="1" w:styleId="97">
    <w:name w:val="样式2 Char"/>
    <w:link w:val="96"/>
    <w:qFormat/>
    <w:locked/>
    <w:uiPriority w:val="0"/>
    <w:rPr>
      <w:rFonts w:ascii="仿宋_GB2312" w:hAnsi="仿宋" w:eastAsia="仿宋_GB2312" w:cs="Times New Roman"/>
      <w:b/>
      <w:kern w:val="0"/>
      <w:sz w:val="30"/>
      <w:szCs w:val="30"/>
    </w:rPr>
  </w:style>
  <w:style w:type="paragraph" w:customStyle="1" w:styleId="98">
    <w:name w:val="1"/>
    <w:basedOn w:val="1"/>
    <w:link w:val="99"/>
    <w:qFormat/>
    <w:uiPriority w:val="0"/>
    <w:pPr>
      <w:keepNext/>
      <w:keepLines/>
      <w:spacing w:before="340" w:after="330" w:line="360" w:lineRule="auto"/>
      <w:jc w:val="center"/>
      <w:outlineLvl w:val="0"/>
    </w:pPr>
    <w:rPr>
      <w:rFonts w:ascii="Times New Roman" w:hAnsi="Times New Roman" w:eastAsia="黑体" w:cs="Times New Roman"/>
      <w:bCs/>
      <w:kern w:val="44"/>
      <w:sz w:val="36"/>
      <w:szCs w:val="44"/>
    </w:rPr>
  </w:style>
  <w:style w:type="character" w:customStyle="1" w:styleId="99">
    <w:name w:val="1 Char"/>
    <w:link w:val="98"/>
    <w:qFormat/>
    <w:locked/>
    <w:uiPriority w:val="0"/>
    <w:rPr>
      <w:rFonts w:ascii="Times New Roman" w:hAnsi="Times New Roman" w:eastAsia="黑体" w:cs="Times New Roman"/>
      <w:bCs/>
      <w:kern w:val="44"/>
      <w:sz w:val="36"/>
      <w:szCs w:val="44"/>
    </w:rPr>
  </w:style>
  <w:style w:type="paragraph" w:customStyle="1" w:styleId="100">
    <w:name w:val="样式3"/>
    <w:basedOn w:val="1"/>
    <w:link w:val="101"/>
    <w:qFormat/>
    <w:uiPriority w:val="0"/>
    <w:pPr>
      <w:ind w:firstLine="599"/>
    </w:pPr>
    <w:rPr>
      <w:rFonts w:ascii="黑体" w:hAnsi="黑体" w:eastAsia="黑体" w:cs="Times New Roman"/>
      <w:kern w:val="0"/>
      <w:sz w:val="30"/>
      <w:szCs w:val="30"/>
    </w:rPr>
  </w:style>
  <w:style w:type="character" w:customStyle="1" w:styleId="101">
    <w:name w:val="样式3 Char"/>
    <w:link w:val="100"/>
    <w:qFormat/>
    <w:locked/>
    <w:uiPriority w:val="0"/>
    <w:rPr>
      <w:rFonts w:ascii="黑体" w:hAnsi="黑体" w:eastAsia="黑体" w:cs="Times New Roman"/>
      <w:kern w:val="0"/>
      <w:sz w:val="30"/>
      <w:szCs w:val="30"/>
    </w:rPr>
  </w:style>
  <w:style w:type="paragraph" w:customStyle="1" w:styleId="102">
    <w:name w:val="表头"/>
    <w:basedOn w:val="1"/>
    <w:link w:val="103"/>
    <w:qFormat/>
    <w:uiPriority w:val="0"/>
    <w:pPr>
      <w:jc w:val="center"/>
    </w:pPr>
    <w:rPr>
      <w:rFonts w:ascii="宋体" w:hAnsi="宋体" w:eastAsia="宋体" w:cs="Times New Roman"/>
      <w:kern w:val="0"/>
      <w:sz w:val="24"/>
      <w:szCs w:val="24"/>
    </w:rPr>
  </w:style>
  <w:style w:type="character" w:customStyle="1" w:styleId="103">
    <w:name w:val="表头 Char"/>
    <w:link w:val="102"/>
    <w:qFormat/>
    <w:locked/>
    <w:uiPriority w:val="0"/>
    <w:rPr>
      <w:rFonts w:ascii="宋体" w:hAnsi="宋体" w:eastAsia="宋体" w:cs="Times New Roman"/>
      <w:kern w:val="0"/>
      <w:sz w:val="24"/>
      <w:szCs w:val="24"/>
    </w:rPr>
  </w:style>
  <w:style w:type="paragraph" w:customStyle="1" w:styleId="104">
    <w:name w:val="表注释"/>
    <w:basedOn w:val="1"/>
    <w:link w:val="105"/>
    <w:qFormat/>
    <w:uiPriority w:val="0"/>
    <w:pPr>
      <w:ind w:firstLine="420" w:firstLineChars="200"/>
    </w:pPr>
    <w:rPr>
      <w:rFonts w:ascii="宋体" w:hAnsi="宋体" w:eastAsia="宋体" w:cs="Times New Roman"/>
      <w:kern w:val="0"/>
      <w:sz w:val="20"/>
      <w:szCs w:val="21"/>
    </w:rPr>
  </w:style>
  <w:style w:type="character" w:customStyle="1" w:styleId="105">
    <w:name w:val="表注释 Char"/>
    <w:link w:val="104"/>
    <w:qFormat/>
    <w:locked/>
    <w:uiPriority w:val="0"/>
    <w:rPr>
      <w:rFonts w:ascii="宋体" w:hAnsi="宋体" w:eastAsia="宋体" w:cs="Times New Roman"/>
      <w:kern w:val="0"/>
      <w:sz w:val="20"/>
      <w:szCs w:val="21"/>
    </w:rPr>
  </w:style>
  <w:style w:type="character" w:customStyle="1" w:styleId="106">
    <w:name w:val="No Spacing Char"/>
    <w:link w:val="76"/>
    <w:qFormat/>
    <w:locked/>
    <w:uiPriority w:val="0"/>
    <w:rPr>
      <w:rFonts w:ascii="Calibri" w:hAnsi="Calibri" w:eastAsia="仿宋_GB2312" w:cs="Times New Roman"/>
      <w:kern w:val="0"/>
      <w:sz w:val="30"/>
    </w:rPr>
  </w:style>
  <w:style w:type="paragraph" w:customStyle="1" w:styleId="107">
    <w:name w:val="cjk"/>
    <w:basedOn w:val="1"/>
    <w:qFormat/>
    <w:uiPriority w:val="0"/>
    <w:pPr>
      <w:widowControl/>
      <w:spacing w:before="100" w:beforeAutospacing="1" w:after="119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108">
    <w:name w:val="Char"/>
    <w:basedOn w:val="1"/>
    <w:qFormat/>
    <w:uiPriority w:val="0"/>
    <w:pPr>
      <w:tabs>
        <w:tab w:val="left" w:pos="360"/>
      </w:tabs>
    </w:pPr>
    <w:rPr>
      <w:rFonts w:ascii="Times New Roman" w:hAnsi="Times New Roman" w:eastAsia="宋体" w:cs="Times New Roman"/>
      <w:sz w:val="24"/>
      <w:szCs w:val="24"/>
    </w:rPr>
  </w:style>
  <w:style w:type="paragraph" w:customStyle="1" w:styleId="109">
    <w:name w:val="CM103"/>
    <w:basedOn w:val="58"/>
    <w:next w:val="58"/>
    <w:qFormat/>
    <w:uiPriority w:val="0"/>
    <w:pPr>
      <w:spacing w:after="1143"/>
    </w:pPr>
    <w:rPr>
      <w:rFonts w:ascii="FZDaBiaoSong-B06S" w:hAnsi="Times New Roman" w:eastAsia="FZDaBiaoSong-B06S" w:cs="FZDaBiaoSong-B06S"/>
      <w:color w:val="auto"/>
    </w:rPr>
  </w:style>
  <w:style w:type="paragraph" w:customStyle="1" w:styleId="110">
    <w:name w:val="CM25"/>
    <w:basedOn w:val="1"/>
    <w:next w:val="1"/>
    <w:qFormat/>
    <w:uiPriority w:val="0"/>
    <w:pPr>
      <w:autoSpaceDE w:val="0"/>
      <w:autoSpaceDN w:val="0"/>
      <w:adjustRightInd w:val="0"/>
      <w:spacing w:line="403" w:lineRule="atLeast"/>
      <w:jc w:val="left"/>
    </w:pPr>
    <w:rPr>
      <w:rFonts w:ascii="FZDaBiaoSong-B06S" w:hAnsi="Times New Roman" w:eastAsia="FZDaBiaoSong-B06S" w:cs="FZDaBiaoSong-B06S"/>
      <w:kern w:val="0"/>
      <w:sz w:val="24"/>
      <w:szCs w:val="24"/>
    </w:rPr>
  </w:style>
  <w:style w:type="paragraph" w:customStyle="1" w:styleId="111">
    <w:name w:val="列出段落5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12">
    <w:name w:val="列出段落6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13">
    <w:name w:val="图表文字"/>
    <w:basedOn w:val="1"/>
    <w:link w:val="114"/>
    <w:qFormat/>
    <w:uiPriority w:val="0"/>
    <w:rPr>
      <w:rFonts w:ascii="Times New Roman" w:hAnsi="Times New Roman" w:eastAsia="仿宋_GB2312" w:cs="Times New Roman"/>
      <w:kern w:val="0"/>
      <w:sz w:val="24"/>
      <w:szCs w:val="24"/>
    </w:rPr>
  </w:style>
  <w:style w:type="character" w:customStyle="1" w:styleId="114">
    <w:name w:val="图表文字 Char"/>
    <w:link w:val="113"/>
    <w:qFormat/>
    <w:locked/>
    <w:uiPriority w:val="0"/>
    <w:rPr>
      <w:rFonts w:ascii="Times New Roman" w:hAnsi="Times New Roman" w:eastAsia="仿宋_GB2312" w:cs="Times New Roman"/>
      <w:kern w:val="0"/>
      <w:sz w:val="24"/>
      <w:szCs w:val="24"/>
    </w:rPr>
  </w:style>
  <w:style w:type="character" w:customStyle="1" w:styleId="115">
    <w:name w:val="new-content"/>
    <w:qFormat/>
    <w:uiPriority w:val="0"/>
    <w:rPr>
      <w:rFonts w:cs="Times New Roman"/>
    </w:rPr>
  </w:style>
  <w:style w:type="paragraph" w:customStyle="1" w:styleId="116">
    <w:name w:val="d-p1"/>
    <w:basedOn w:val="1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7">
    <w:name w:val="left_061"/>
    <w:qFormat/>
    <w:uiPriority w:val="0"/>
    <w:rPr>
      <w:rFonts w:cs="Times New Roman"/>
      <w:color w:val="333333"/>
      <w:sz w:val="20"/>
      <w:szCs w:val="20"/>
    </w:rPr>
  </w:style>
  <w:style w:type="character" w:customStyle="1" w:styleId="118">
    <w:name w:val="图表文字 Char Char"/>
    <w:qFormat/>
    <w:uiPriority w:val="0"/>
    <w:rPr>
      <w:rFonts w:eastAsia="仿宋_GB2312" w:cs="Times New Roman"/>
      <w:sz w:val="24"/>
      <w:szCs w:val="24"/>
    </w:rPr>
  </w:style>
  <w:style w:type="paragraph" w:customStyle="1" w:styleId="119">
    <w:name w:val="self_use_table"/>
    <w:basedOn w:val="9"/>
    <w:link w:val="120"/>
    <w:qFormat/>
    <w:uiPriority w:val="0"/>
    <w:pPr>
      <w:snapToGrid w:val="0"/>
      <w:spacing w:after="200" w:line="360" w:lineRule="auto"/>
      <w:jc w:val="center"/>
    </w:pPr>
    <w:rPr>
      <w:rFonts w:ascii="仿宋_GB2312" w:hAnsi="Times New Roman" w:eastAsia="仿宋_GB2312"/>
      <w:b/>
      <w:bCs/>
      <w:kern w:val="0"/>
      <w:sz w:val="28"/>
      <w:szCs w:val="28"/>
    </w:rPr>
  </w:style>
  <w:style w:type="character" w:customStyle="1" w:styleId="120">
    <w:name w:val="self_use_table Char"/>
    <w:link w:val="119"/>
    <w:qFormat/>
    <w:locked/>
    <w:uiPriority w:val="0"/>
    <w:rPr>
      <w:rFonts w:ascii="仿宋_GB2312" w:hAnsi="Times New Roman" w:eastAsia="仿宋_GB2312" w:cs="Times New Roman"/>
      <w:b/>
      <w:bCs/>
      <w:kern w:val="0"/>
      <w:sz w:val="28"/>
      <w:szCs w:val="28"/>
    </w:rPr>
  </w:style>
  <w:style w:type="character" w:customStyle="1" w:styleId="121">
    <w:name w:val="纯文本 Char"/>
    <w:basedOn w:val="41"/>
    <w:link w:val="18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character" w:customStyle="1" w:styleId="122">
    <w:name w:val="正文文本缩进 3 Char"/>
    <w:basedOn w:val="41"/>
    <w:link w:val="31"/>
    <w:qFormat/>
    <w:uiPriority w:val="0"/>
    <w:rPr>
      <w:rFonts w:ascii="Times New Roman" w:hAnsi="Times New Roman" w:eastAsia="宋体" w:cs="Times New Roman"/>
      <w:kern w:val="0"/>
      <w:sz w:val="16"/>
      <w:szCs w:val="16"/>
    </w:rPr>
  </w:style>
  <w:style w:type="character" w:customStyle="1" w:styleId="123">
    <w:name w:val="wen1"/>
    <w:qFormat/>
    <w:uiPriority w:val="0"/>
    <w:rPr>
      <w:rFonts w:cs="Times New Roman"/>
      <w:color w:val="0000FF"/>
      <w:sz w:val="20"/>
      <w:szCs w:val="20"/>
    </w:rPr>
  </w:style>
  <w:style w:type="character" w:customStyle="1" w:styleId="124">
    <w:name w:val="批注主题 Char1"/>
    <w:qFormat/>
    <w:uiPriority w:val="0"/>
    <w:rPr>
      <w:rFonts w:ascii="Calibri" w:hAnsi="Calibri" w:eastAsia="仿宋_GB2312" w:cs="Times New Roman"/>
      <w:b/>
      <w:bCs/>
      <w:kern w:val="2"/>
      <w:sz w:val="22"/>
      <w:szCs w:val="22"/>
      <w:lang w:val="en-US" w:eastAsia="zh-CN" w:bidi="ar-SA"/>
    </w:rPr>
  </w:style>
  <w:style w:type="character" w:customStyle="1" w:styleId="125">
    <w:name w:val="不明显强调1"/>
    <w:qFormat/>
    <w:uiPriority w:val="0"/>
    <w:rPr>
      <w:rFonts w:cs="Times New Roman"/>
      <w:i/>
      <w:iCs/>
      <w:color w:val="808080"/>
    </w:rPr>
  </w:style>
  <w:style w:type="character" w:customStyle="1" w:styleId="126">
    <w:name w:val="reader-word-layer reader-word-s1-1 Char"/>
    <w:basedOn w:val="41"/>
    <w:link w:val="127"/>
    <w:qFormat/>
    <w:uiPriority w:val="0"/>
    <w:rPr>
      <w:rFonts w:ascii="宋体" w:hAnsi="宋体" w:cs="宋体"/>
      <w:sz w:val="24"/>
      <w:szCs w:val="24"/>
    </w:rPr>
  </w:style>
  <w:style w:type="paragraph" w:customStyle="1" w:styleId="127">
    <w:name w:val="reader-word-layer reader-word-s1-1"/>
    <w:basedOn w:val="1"/>
    <w:link w:val="126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128">
    <w:name w:val="一级条标题"/>
    <w:next w:val="1"/>
    <w:qFormat/>
    <w:uiPriority w:val="99"/>
    <w:pPr>
      <w:spacing w:beforeLines="50" w:afterLines="50"/>
      <w:ind w:left="36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129">
    <w:name w:val="章标题"/>
    <w:next w:val="1"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30">
    <w:name w:val="正文哦"/>
    <w:basedOn w:val="1"/>
    <w:link w:val="131"/>
    <w:qFormat/>
    <w:uiPriority w:val="0"/>
    <w:pPr>
      <w:widowControl/>
      <w:spacing w:afterLines="50" w:line="360" w:lineRule="auto"/>
      <w:ind w:firstLine="640" w:firstLineChars="200"/>
    </w:pPr>
    <w:rPr>
      <w:rFonts w:ascii="仿宋" w:hAnsi="仿宋" w:eastAsia="仿宋" w:cs="Times New Roman"/>
      <w:sz w:val="32"/>
    </w:rPr>
  </w:style>
  <w:style w:type="character" w:customStyle="1" w:styleId="131">
    <w:name w:val="正文哦 Char"/>
    <w:basedOn w:val="41"/>
    <w:link w:val="130"/>
    <w:qFormat/>
    <w:locked/>
    <w:uiPriority w:val="0"/>
    <w:rPr>
      <w:rFonts w:ascii="仿宋" w:hAnsi="仿宋" w:eastAsia="仿宋" w:cs="Times New Roman"/>
      <w:sz w:val="32"/>
    </w:rPr>
  </w:style>
  <w:style w:type="paragraph" w:customStyle="1" w:styleId="132">
    <w:name w:val="正文仿宋"/>
    <w:basedOn w:val="1"/>
    <w:qFormat/>
    <w:uiPriority w:val="99"/>
    <w:pPr>
      <w:widowControl/>
      <w:spacing w:afterLines="50" w:line="276" w:lineRule="auto"/>
      <w:ind w:firstLine="643" w:firstLineChars="201"/>
      <w:jc w:val="left"/>
    </w:pPr>
    <w:rPr>
      <w:rFonts w:ascii="仿宋" w:hAnsi="仿宋" w:eastAsia="仿宋" w:cs="仿宋_GB2312"/>
      <w:color w:val="000000"/>
      <w:kern w:val="0"/>
      <w:sz w:val="32"/>
      <w:szCs w:val="32"/>
      <w:lang w:bidi="en-US"/>
    </w:rPr>
  </w:style>
  <w:style w:type="paragraph" w:customStyle="1" w:styleId="133">
    <w:name w:val="WPSOffice手动目录 1"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1322</Words>
  <Characters>7541</Characters>
  <Lines>62</Lines>
  <Paragraphs>17</Paragraphs>
  <TotalTime>1</TotalTime>
  <ScaleCrop>false</ScaleCrop>
  <LinksUpToDate>false</LinksUpToDate>
  <CharactersWithSpaces>8846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2022-05-28T17:59:00Z</dcterms:created>
  <dc:creator>多绥婷</dc:creator>
  <cp:lastModifiedBy>管玉箫</cp:lastModifiedBy>
  <dcterms:modified xsi:type="dcterms:W3CDTF">2024-02-06T16:28:43Z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ACBDCBF74C19FECAC68CB865046BD143</vt:lpwstr>
  </property>
</Properties>
</file>