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2" w:name="_GoBack"/>
      <w:r>
        <w:rPr>
          <w:rFonts w:hint="eastAsia" w:ascii="黑体" w:hAnsi="黑体" w:eastAsia="黑体" w:cs="黑体"/>
          <w:sz w:val="32"/>
          <w:szCs w:val="32"/>
        </w:rPr>
        <w:t>附件2</w:t>
      </w:r>
    </w:p>
    <w:p>
      <w:pPr>
        <w:tabs>
          <w:tab w:val="left" w:pos="1620"/>
        </w:tabs>
        <w:autoSpaceDE w:val="0"/>
        <w:autoSpaceDN w:val="0"/>
        <w:jc w:val="center"/>
        <w:outlineLvl w:val="1"/>
        <w:rPr>
          <w:rFonts w:ascii="宋体" w:hAnsi="宋体" w:eastAsia="宋体" w:cs="Times New Roman"/>
          <w:b/>
          <w:sz w:val="44"/>
          <w:szCs w:val="44"/>
        </w:rPr>
      </w:pPr>
      <w:bookmarkStart w:id="0" w:name="_Toc104392868"/>
      <w:bookmarkStart w:id="1" w:name="_Toc108604268"/>
      <w:r>
        <w:rPr>
          <w:rFonts w:hint="eastAsia" w:ascii="宋体" w:hAnsi="宋体" w:eastAsia="宋体" w:cs="Times New Roman"/>
          <w:b/>
          <w:sz w:val="44"/>
          <w:szCs w:val="44"/>
        </w:rPr>
        <w:t>郑州商品交易所平板玻璃期货业务细则</w:t>
      </w:r>
      <w:bookmarkEnd w:id="0"/>
      <w:bookmarkEnd w:id="1"/>
    </w:p>
    <w:bookmarkEnd w:id="2"/>
    <w:p>
      <w:pPr>
        <w:spacing w:before="240" w:after="240"/>
        <w:rPr>
          <w:rFonts w:hint="eastAsia" w:ascii="宋体" w:hAnsi="宋体"/>
          <w:sz w:val="24"/>
        </w:rPr>
      </w:pPr>
      <w:r>
        <w:rPr>
          <w:rFonts w:hint="eastAsia" w:ascii="宋体" w:hAnsi="宋体"/>
          <w:sz w:val="24"/>
        </w:rPr>
        <w:t>（2022年7月29日郑州商品交易所第七届理事会第二十五次会议审议通过，2022年8月31日〔2022〕74号公告发布，自2022年12月1日开始施行</w:t>
      </w:r>
      <w:r>
        <w:rPr>
          <w:rFonts w:hint="eastAsia" w:ascii="宋体" w:hAnsi="宋体"/>
          <w:sz w:val="24"/>
          <w:lang w:val="en-US" w:eastAsia="zh-CN"/>
        </w:rPr>
        <w:t>;</w:t>
      </w:r>
      <w:r>
        <w:rPr>
          <w:rFonts w:hint="eastAsia" w:ascii="宋体" w:hAnsi="宋体"/>
          <w:sz w:val="24"/>
        </w:rPr>
        <w:t>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14</w:t>
      </w:r>
      <w:r>
        <w:rPr>
          <w:rFonts w:hint="eastAsia" w:ascii="宋体" w:hAnsi="宋体"/>
          <w:sz w:val="24"/>
        </w:rPr>
        <w:t>日郑州商品交易所第八届理事会第</w:t>
      </w:r>
      <w:r>
        <w:rPr>
          <w:rFonts w:hint="eastAsia" w:ascii="宋体" w:hAnsi="宋体"/>
          <w:sz w:val="24"/>
          <w:lang w:eastAsia="zh-CN"/>
        </w:rPr>
        <w:t>九</w:t>
      </w:r>
      <w:r>
        <w:rPr>
          <w:rFonts w:hint="eastAsia" w:ascii="宋体" w:hAnsi="宋体"/>
          <w:sz w:val="24"/>
        </w:rPr>
        <w:t>次会议审议通过，</w:t>
      </w:r>
      <w:r>
        <w:rPr>
          <w:rFonts w:hint="default" w:ascii="宋体" w:hAnsi="宋体"/>
          <w:sz w:val="24"/>
          <w:lang w:val="en-US"/>
        </w:rPr>
        <w:t>2024</w:t>
      </w:r>
      <w:r>
        <w:rPr>
          <w:rFonts w:hint="eastAsia" w:ascii="宋体" w:hAnsi="宋体"/>
          <w:sz w:val="24"/>
        </w:rPr>
        <w:t>年</w:t>
      </w:r>
      <w:r>
        <w:rPr>
          <w:rFonts w:hint="default" w:ascii="宋体" w:hAnsi="宋体"/>
          <w:sz w:val="24"/>
          <w:lang w:val="en-US" w:eastAsia="zh-CN"/>
        </w:rPr>
        <w:t>1</w:t>
      </w:r>
      <w:r>
        <w:rPr>
          <w:rFonts w:hint="eastAsia" w:ascii="宋体" w:hAnsi="宋体"/>
          <w:sz w:val="24"/>
        </w:rPr>
        <w:t>月</w:t>
      </w:r>
      <w:r>
        <w:rPr>
          <w:rFonts w:hint="default" w:ascii="宋体" w:hAnsi="宋体"/>
          <w:sz w:val="24"/>
          <w:lang w:val="en-US" w:eastAsia="zh-CN"/>
        </w:rPr>
        <w:t>8</w:t>
      </w:r>
      <w:r>
        <w:rPr>
          <w:rFonts w:hint="eastAsia" w:ascii="宋体" w:hAnsi="宋体"/>
          <w:sz w:val="24"/>
        </w:rPr>
        <w:t>日〔202</w:t>
      </w:r>
      <w:r>
        <w:rPr>
          <w:rFonts w:hint="default" w:ascii="宋体" w:hAnsi="宋体"/>
          <w:sz w:val="24"/>
          <w:lang w:val="en-US" w:eastAsia="zh-CN"/>
        </w:rPr>
        <w:t>4</w:t>
      </w:r>
      <w:r>
        <w:rPr>
          <w:rFonts w:hint="eastAsia" w:ascii="宋体" w:hAnsi="宋体"/>
          <w:sz w:val="24"/>
        </w:rPr>
        <w:t>〕</w:t>
      </w:r>
      <w:r>
        <w:rPr>
          <w:rFonts w:hint="eastAsia" w:ascii="宋体" w:hAnsi="宋体"/>
          <w:sz w:val="24"/>
          <w:highlight w:val="none"/>
          <w:lang w:val="en-US" w:eastAsia="zh-CN"/>
        </w:rPr>
        <w:t>6</w:t>
      </w:r>
      <w:r>
        <w:rPr>
          <w:rFonts w:hint="eastAsia" w:ascii="宋体" w:hAnsi="宋体"/>
          <w:sz w:val="24"/>
        </w:rPr>
        <w:t>号公告发布，自</w:t>
      </w:r>
      <w:r>
        <w:rPr>
          <w:rFonts w:hint="eastAsia" w:ascii="宋体" w:hAnsi="宋体"/>
          <w:sz w:val="24"/>
          <w:lang w:val="en-US" w:eastAsia="zh-CN"/>
        </w:rPr>
        <w:t>玻璃期货2502合约起施行</w:t>
      </w:r>
      <w:r>
        <w:rPr>
          <w:rFonts w:hint="eastAsia" w:ascii="宋体" w:hAnsi="宋体"/>
          <w:sz w:val="24"/>
        </w:rPr>
        <w:t>）</w:t>
      </w:r>
    </w:p>
    <w:p>
      <w:pPr>
        <w:tabs>
          <w:tab w:val="left" w:pos="1620"/>
        </w:tabs>
        <w:autoSpaceDE w:val="0"/>
        <w:autoSpaceDN w:val="0"/>
        <w:jc w:val="center"/>
        <w:rPr>
          <w:rFonts w:ascii="黑体" w:hAnsi="黑体" w:eastAsia="黑体" w:cs="Times New Roman"/>
          <w:color w:val="000000"/>
          <w:sz w:val="30"/>
          <w:szCs w:val="30"/>
        </w:rPr>
      </w:pPr>
      <w:r>
        <w:rPr>
          <w:rFonts w:hint="eastAsia" w:ascii="黑体" w:hAnsi="黑体" w:eastAsia="黑体" w:cs="宋体"/>
          <w:color w:val="000000"/>
          <w:kern w:val="0"/>
          <w:sz w:val="30"/>
          <w:szCs w:val="30"/>
        </w:rPr>
        <w:t>第一章 总 则</w:t>
      </w:r>
    </w:p>
    <w:p>
      <w:pPr>
        <w:tabs>
          <w:tab w:val="left" w:pos="1620"/>
        </w:tabs>
        <w:autoSpaceDE w:val="0"/>
        <w:autoSpaceDN w:val="0"/>
        <w:ind w:firstLine="697" w:firstLineChars="249"/>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eastAsia="宋体" w:cs="宋体"/>
          <w:color w:val="000000"/>
          <w:kern w:val="0"/>
          <w:sz w:val="28"/>
          <w:szCs w:val="28"/>
        </w:rPr>
        <w:t>为了规范郑州商品交易所（以下简称交易所）平板玻璃（以下简称玻璃）期货相关业务，根据《郑州商品交易所交易规则》及玻璃期货合约，制定本细则。</w:t>
      </w:r>
    </w:p>
    <w:p>
      <w:pPr>
        <w:tabs>
          <w:tab w:val="left" w:pos="1620"/>
        </w:tabs>
        <w:autoSpaceDE w:val="0"/>
        <w:autoSpaceDN w:val="0"/>
        <w:ind w:firstLine="600"/>
        <w:jc w:val="left"/>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eastAsia="宋体" w:cs="宋体"/>
          <w:color w:val="000000"/>
          <w:kern w:val="0"/>
          <w:sz w:val="28"/>
          <w:szCs w:val="28"/>
        </w:rPr>
        <w:t>交易所、会员、客户、交割厂库（以下简称厂库）、指定质检机构及期货市场其他参与者应当遵守本细则。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第二章 交易业务</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第三条 </w:t>
      </w:r>
      <w:r>
        <w:rPr>
          <w:rFonts w:hint="eastAsia" w:ascii="宋体" w:hAnsi="宋体" w:eastAsia="宋体" w:cs="宋体"/>
          <w:color w:val="000000"/>
          <w:kern w:val="0"/>
          <w:sz w:val="28"/>
          <w:szCs w:val="28"/>
        </w:rPr>
        <w:t>玻璃期货合约交易单位为20吨/手。</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第四条 </w:t>
      </w:r>
      <w:r>
        <w:rPr>
          <w:rFonts w:hint="eastAsia" w:ascii="宋体" w:hAnsi="宋体" w:eastAsia="宋体" w:cs="宋体"/>
          <w:color w:val="000000"/>
          <w:kern w:val="0"/>
          <w:sz w:val="28"/>
          <w:szCs w:val="28"/>
        </w:rPr>
        <w:t>玻璃期货合约报价单位为元（人民币）/吨。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eastAsia="宋体" w:cs="宋体"/>
          <w:color w:val="000000"/>
          <w:kern w:val="0"/>
          <w:sz w:val="28"/>
          <w:szCs w:val="28"/>
        </w:rPr>
        <w:t>玻璃期货合约最小变动价位为1元/吨。</w:t>
      </w:r>
    </w:p>
    <w:p>
      <w:pPr>
        <w:tabs>
          <w:tab w:val="left" w:pos="1620"/>
        </w:tabs>
        <w:autoSpaceDE w:val="0"/>
        <w:autoSpaceDN w:val="0"/>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eastAsia="宋体" w:cs="宋体"/>
          <w:color w:val="000000"/>
          <w:kern w:val="0"/>
          <w:sz w:val="28"/>
          <w:szCs w:val="28"/>
        </w:rPr>
        <w:t>玻璃期货合约交割月份为1至12月</w:t>
      </w:r>
      <w:r>
        <w:rPr>
          <w:rFonts w:hint="eastAsia" w:ascii="宋体" w:hAnsi="宋体" w:eastAsia="宋体" w:cs="宋体"/>
          <w:kern w:val="0"/>
          <w:sz w:val="28"/>
          <w:szCs w:val="28"/>
        </w:rPr>
        <w:t>。</w:t>
      </w:r>
    </w:p>
    <w:p>
      <w:pPr>
        <w:tabs>
          <w:tab w:val="left" w:pos="1620"/>
        </w:tabs>
        <w:autoSpaceDE w:val="0"/>
        <w:autoSpaceDN w:val="0"/>
        <w:ind w:firstLine="560" w:firstLineChars="200"/>
        <w:rPr>
          <w:rFonts w:ascii="Times New Roman" w:hAnsi="Times New Roman" w:eastAsia="宋体" w:cs="Times New Roman"/>
          <w:sz w:val="28"/>
          <w:szCs w:val="28"/>
        </w:rPr>
      </w:pPr>
      <w:r>
        <w:rPr>
          <w:rFonts w:hint="eastAsia" w:ascii="黑体" w:hAnsi="黑体" w:eastAsia="黑体" w:cs="宋体"/>
          <w:color w:val="000000"/>
          <w:kern w:val="0"/>
          <w:sz w:val="28"/>
          <w:szCs w:val="28"/>
        </w:rPr>
        <w:t xml:space="preserve">第七条 </w:t>
      </w:r>
      <w:r>
        <w:rPr>
          <w:rFonts w:hint="eastAsia" w:ascii="宋体" w:hAnsi="宋体" w:eastAsia="宋体" w:cs="宋体"/>
          <w:kern w:val="0"/>
          <w:sz w:val="28"/>
          <w:szCs w:val="28"/>
        </w:rPr>
        <w:t>玻璃期货</w:t>
      </w:r>
      <w:r>
        <w:rPr>
          <w:rFonts w:hint="eastAsia" w:ascii="Times New Roman" w:hAnsi="Times New Roman" w:eastAsia="宋体" w:cs="Times New Roman"/>
          <w:sz w:val="28"/>
          <w:szCs w:val="28"/>
        </w:rPr>
        <w:t>合约</w:t>
      </w:r>
      <w:r>
        <w:rPr>
          <w:rFonts w:hint="eastAsia" w:ascii="宋体" w:hAnsi="宋体" w:eastAsia="宋体" w:cs="宋体"/>
          <w:color w:val="000000"/>
          <w:kern w:val="0"/>
          <w:sz w:val="28"/>
          <w:szCs w:val="28"/>
        </w:rPr>
        <w:t>交易指令</w:t>
      </w:r>
      <w:r>
        <w:rPr>
          <w:rFonts w:hint="eastAsia" w:ascii="Times New Roman" w:hAnsi="Times New Roman" w:eastAsia="宋体" w:cs="Times New Roman"/>
          <w:sz w:val="28"/>
          <w:szCs w:val="28"/>
        </w:rPr>
        <w:t>每次最小下单量为</w:t>
      </w:r>
      <w:r>
        <w:rPr>
          <w:rFonts w:ascii="宋体" w:hAnsi="宋体" w:cs="Times New Roman"/>
          <w:sz w:val="28"/>
          <w:szCs w:val="28"/>
        </w:rPr>
        <w:t>1</w:t>
      </w:r>
      <w:r>
        <w:rPr>
          <w:rFonts w:hint="eastAsia" w:ascii="Times New Roman" w:hAnsi="Times New Roman" w:eastAsia="宋体" w:cs="Times New Roman"/>
          <w:sz w:val="28"/>
          <w:szCs w:val="28"/>
        </w:rPr>
        <w:t>手，限价指令每次最大下单量为</w:t>
      </w:r>
      <w:r>
        <w:rPr>
          <w:rFonts w:ascii="宋体" w:hAnsi="宋体" w:cs="Times New Roman"/>
          <w:sz w:val="28"/>
          <w:szCs w:val="28"/>
        </w:rPr>
        <w:t>1000</w:t>
      </w:r>
      <w:r>
        <w:rPr>
          <w:rFonts w:hint="eastAsia" w:ascii="Times New Roman" w:hAnsi="Times New Roman" w:eastAsia="宋体" w:cs="Times New Roman"/>
          <w:sz w:val="28"/>
          <w:szCs w:val="28"/>
        </w:rPr>
        <w:t>手，市价指令每次最大下单量为</w:t>
      </w:r>
      <w:r>
        <w:rPr>
          <w:rFonts w:ascii="宋体" w:hAnsi="宋体" w:cs="Times New Roman"/>
          <w:sz w:val="28"/>
          <w:szCs w:val="28"/>
        </w:rPr>
        <w:t>200</w:t>
      </w:r>
      <w:r>
        <w:rPr>
          <w:rFonts w:hint="eastAsia" w:ascii="Times New Roman" w:hAnsi="Times New Roman" w:eastAsia="宋体" w:cs="Times New Roman"/>
          <w:sz w:val="28"/>
          <w:szCs w:val="28"/>
        </w:rPr>
        <w:t>手。</w:t>
      </w:r>
    </w:p>
    <w:p>
      <w:pPr>
        <w:tabs>
          <w:tab w:val="left" w:pos="1620"/>
        </w:tabs>
        <w:autoSpaceDE w:val="0"/>
        <w:autoSpaceDN w:val="0"/>
        <w:ind w:firstLine="560" w:firstLineChars="200"/>
        <w:rPr>
          <w:rFonts w:ascii="宋体" w:hAnsi="宋体" w:eastAsia="宋体" w:cs="宋体"/>
          <w:kern w:val="0"/>
          <w:sz w:val="28"/>
          <w:szCs w:val="28"/>
        </w:rPr>
      </w:pPr>
      <w:r>
        <w:rPr>
          <w:rFonts w:hint="eastAsia" w:ascii="宋体" w:hAnsi="宋体"/>
          <w:sz w:val="28"/>
          <w:szCs w:val="28"/>
        </w:rPr>
        <w:t>交易所可以根据市场情况，对玻璃期货合约交易指令每次最小下单量、每次最大下单量进行调整，具体标准由交易所另行公布。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eastAsia="宋体" w:cs="宋体"/>
          <w:color w:val="000000"/>
          <w:kern w:val="0"/>
          <w:sz w:val="28"/>
          <w:szCs w:val="28"/>
        </w:rPr>
        <w:t>玻璃期货合约交易时间分为夜盘交易时间和日盘交易时间。夜盘交易时间为每周一至周五（法定节假日除外）下午9:00-11：00。日盘交易时间为每周一至周五（法定节假日除外）上午9:00-11:30，下午1:30-3:00；其中，上午10:15-10:30为休息时间。</w:t>
      </w:r>
    </w:p>
    <w:p>
      <w:pPr>
        <w:tabs>
          <w:tab w:val="left" w:pos="1620"/>
        </w:tabs>
        <w:autoSpaceDE w:val="0"/>
        <w:autoSpaceDN w:val="0"/>
        <w:ind w:firstLine="560" w:firstLineChars="200"/>
        <w:rPr>
          <w:rFonts w:ascii="宋体" w:hAnsi="宋体" w:eastAsia="宋体" w:cs="宋体"/>
          <w:kern w:val="0"/>
          <w:sz w:val="28"/>
          <w:szCs w:val="28"/>
        </w:rPr>
      </w:pPr>
      <w:r>
        <w:rPr>
          <w:rFonts w:hint="eastAsia" w:ascii="宋体" w:hAnsi="宋体" w:eastAsia="宋体" w:cs="Times New Roman"/>
          <w:sz w:val="28"/>
          <w:szCs w:val="28"/>
        </w:rPr>
        <w:t>交易所暂停、取消玻璃期货夜盘交易或者对夜盘交易时间进行调整的，以交易所公告为准。</w:t>
      </w:r>
    </w:p>
    <w:p>
      <w:pPr>
        <w:tabs>
          <w:tab w:val="left" w:pos="1620"/>
        </w:tabs>
        <w:autoSpaceDE w:val="0"/>
        <w:autoSpaceDN w:val="0"/>
        <w:ind w:firstLine="560" w:firstLineChars="200"/>
        <w:rPr>
          <w:rFonts w:ascii="宋体" w:hAnsi="宋体" w:eastAsia="宋体" w:cs="Times New Roman"/>
          <w:sz w:val="28"/>
          <w:szCs w:val="28"/>
        </w:rPr>
      </w:pPr>
      <w:r>
        <w:rPr>
          <w:rFonts w:hint="eastAsia" w:ascii="黑体" w:hAnsi="黑体" w:eastAsia="黑体" w:cs="宋体"/>
          <w:color w:val="000000"/>
          <w:kern w:val="0"/>
          <w:sz w:val="28"/>
          <w:szCs w:val="28"/>
        </w:rPr>
        <w:t xml:space="preserve">第九条 </w:t>
      </w:r>
      <w:r>
        <w:rPr>
          <w:rFonts w:hint="eastAsia" w:ascii="宋体" w:hAnsi="宋体" w:eastAsia="宋体" w:cs="宋体"/>
          <w:color w:val="000000"/>
          <w:kern w:val="0"/>
          <w:sz w:val="28"/>
          <w:szCs w:val="28"/>
        </w:rPr>
        <w:t>玻璃</w:t>
      </w:r>
      <w:r>
        <w:rPr>
          <w:rFonts w:hint="eastAsia" w:ascii="宋体" w:hAnsi="宋体" w:eastAsia="宋体" w:cs="Times New Roman"/>
          <w:sz w:val="28"/>
          <w:szCs w:val="28"/>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第十条 </w:t>
      </w:r>
      <w:r>
        <w:rPr>
          <w:rFonts w:hint="eastAsia" w:ascii="宋体" w:hAnsi="宋体" w:eastAsia="宋体" w:cs="宋体"/>
          <w:color w:val="000000"/>
          <w:kern w:val="0"/>
          <w:sz w:val="28"/>
          <w:szCs w:val="28"/>
        </w:rPr>
        <w:t>玻璃期货合约交易代码为FG。</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第三章 交割业务</w:t>
      </w:r>
    </w:p>
    <w:p>
      <w:pPr>
        <w:tabs>
          <w:tab w:val="left" w:pos="1620"/>
        </w:tabs>
        <w:autoSpaceDE w:val="0"/>
        <w:autoSpaceDN w:val="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第一节 一般规定</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第十一条 </w:t>
      </w:r>
      <w:r>
        <w:rPr>
          <w:rFonts w:hint="eastAsia" w:ascii="宋体" w:hAnsi="宋体" w:eastAsia="宋体" w:cs="宋体"/>
          <w:color w:val="000000"/>
          <w:kern w:val="0"/>
          <w:sz w:val="28"/>
          <w:szCs w:val="28"/>
        </w:rPr>
        <w:t>玻璃期货适用期货转现货和厂库标准仓单交割。</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玻璃期货滚动交割的配对方式适用响应配对。</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eastAsia="宋体" w:cs="宋体"/>
          <w:color w:val="000000"/>
          <w:kern w:val="0"/>
          <w:sz w:val="28"/>
          <w:szCs w:val="28"/>
        </w:rPr>
        <w:t>玻璃期货的交割单位为20吨</w:t>
      </w:r>
      <w:r>
        <w:rPr>
          <w:rFonts w:hint="eastAsia" w:ascii="宋体" w:hAnsi="宋体" w:eastAsia="宋体" w:cs="宋体"/>
          <w:kern w:val="0"/>
          <w:sz w:val="28"/>
          <w:szCs w:val="28"/>
        </w:rPr>
        <w:t>。</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eastAsia="宋体" w:cs="宋体"/>
          <w:color w:val="000000"/>
          <w:kern w:val="0"/>
          <w:sz w:val="28"/>
          <w:szCs w:val="28"/>
        </w:rPr>
        <w:t>玻璃期货合约的最后交割日为合约交割月份的第13个交易日。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eastAsia="宋体" w:cs="宋体"/>
          <w:color w:val="000000"/>
          <w:kern w:val="0"/>
          <w:sz w:val="28"/>
          <w:szCs w:val="28"/>
        </w:rPr>
        <w:t>玻璃期货标准仓单为厂库标准仓单。</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玻璃期货标准仓单为非通用标准仓单。</w:t>
      </w:r>
    </w:p>
    <w:p>
      <w:pPr>
        <w:tabs>
          <w:tab w:val="left" w:pos="1620"/>
        </w:tabs>
        <w:autoSpaceDE w:val="0"/>
        <w:autoSpaceDN w:val="0"/>
        <w:ind w:firstLine="560" w:firstLineChars="200"/>
        <w:rPr>
          <w:rFonts w:ascii="宋体" w:hAnsi="宋体" w:cs="Times New Roman"/>
          <w:sz w:val="28"/>
          <w:szCs w:val="28"/>
        </w:rPr>
      </w:pPr>
      <w:r>
        <w:rPr>
          <w:rFonts w:hint="eastAsia" w:ascii="黑体" w:hAnsi="黑体" w:eastAsia="黑体" w:cs="宋体"/>
          <w:color w:val="000000"/>
          <w:kern w:val="0"/>
          <w:sz w:val="28"/>
          <w:szCs w:val="28"/>
        </w:rPr>
        <w:t xml:space="preserve">第十五条 </w:t>
      </w:r>
      <w:r>
        <w:rPr>
          <w:rFonts w:hint="eastAsia" w:ascii="宋体" w:hAnsi="宋体" w:cs="Times New Roman"/>
          <w:sz w:val="28"/>
          <w:szCs w:val="28"/>
        </w:rPr>
        <w:t>每年1月、3月、5月、7月、9月、11月第15个交易日之前（含该日）注册的玻璃期货标准仓单，应当在当年</w:t>
      </w:r>
      <w:r>
        <w:rPr>
          <w:rFonts w:ascii="宋体" w:hAnsi="宋体" w:cs="Times New Roman"/>
          <w:sz w:val="28"/>
          <w:szCs w:val="28"/>
        </w:rPr>
        <w:t>1</w:t>
      </w:r>
      <w:r>
        <w:rPr>
          <w:rFonts w:hint="eastAsia" w:ascii="宋体" w:hAnsi="宋体" w:cs="Times New Roman"/>
          <w:sz w:val="28"/>
          <w:szCs w:val="28"/>
        </w:rPr>
        <w:t>月、</w:t>
      </w:r>
      <w:r>
        <w:rPr>
          <w:rFonts w:ascii="宋体" w:hAnsi="宋体" w:cs="Times New Roman"/>
          <w:sz w:val="28"/>
          <w:szCs w:val="28"/>
        </w:rPr>
        <w:t>3</w:t>
      </w:r>
      <w:r>
        <w:rPr>
          <w:rFonts w:hint="eastAsia" w:ascii="宋体" w:hAnsi="宋体" w:cs="Times New Roman"/>
          <w:sz w:val="28"/>
          <w:szCs w:val="28"/>
        </w:rPr>
        <w:t>月、</w:t>
      </w:r>
      <w:r>
        <w:rPr>
          <w:rFonts w:ascii="宋体" w:hAnsi="宋体" w:cs="Times New Roman"/>
          <w:sz w:val="28"/>
          <w:szCs w:val="28"/>
        </w:rPr>
        <w:t>5</w:t>
      </w:r>
      <w:r>
        <w:rPr>
          <w:rFonts w:hint="eastAsia" w:ascii="宋体" w:hAnsi="宋体" w:cs="Times New Roman"/>
          <w:sz w:val="28"/>
          <w:szCs w:val="28"/>
        </w:rPr>
        <w:t>月、</w:t>
      </w:r>
      <w:r>
        <w:rPr>
          <w:rFonts w:ascii="宋体" w:hAnsi="宋体" w:cs="Times New Roman"/>
          <w:sz w:val="28"/>
          <w:szCs w:val="28"/>
        </w:rPr>
        <w:t>7</w:t>
      </w:r>
      <w:r>
        <w:rPr>
          <w:rFonts w:hint="eastAsia" w:ascii="宋体" w:hAnsi="宋体" w:cs="Times New Roman"/>
          <w:sz w:val="28"/>
          <w:szCs w:val="28"/>
        </w:rPr>
        <w:t>月、</w:t>
      </w:r>
      <w:r>
        <w:rPr>
          <w:rFonts w:ascii="宋体" w:hAnsi="宋体" w:cs="Times New Roman"/>
          <w:sz w:val="28"/>
          <w:szCs w:val="28"/>
        </w:rPr>
        <w:t>9</w:t>
      </w:r>
      <w:r>
        <w:rPr>
          <w:rFonts w:hint="eastAsia" w:ascii="宋体" w:hAnsi="宋体" w:cs="Times New Roman"/>
          <w:sz w:val="28"/>
          <w:szCs w:val="28"/>
        </w:rPr>
        <w:t>月、</w:t>
      </w:r>
      <w:r>
        <w:rPr>
          <w:rFonts w:ascii="宋体" w:hAnsi="宋体" w:cs="Times New Roman"/>
          <w:sz w:val="28"/>
          <w:szCs w:val="28"/>
        </w:rPr>
        <w:t>11</w:t>
      </w:r>
      <w:r>
        <w:rPr>
          <w:rFonts w:hint="eastAsia" w:ascii="宋体" w:hAnsi="宋体" w:cs="Times New Roman"/>
          <w:sz w:val="28"/>
          <w:szCs w:val="28"/>
        </w:rPr>
        <w:t>月的第15个交易日之前（含该日）全部注销。</w:t>
      </w:r>
    </w:p>
    <w:p>
      <w:pPr>
        <w:tabs>
          <w:tab w:val="left" w:pos="1620"/>
        </w:tabs>
        <w:autoSpaceDE w:val="0"/>
        <w:autoSpaceDN w:val="0"/>
        <w:ind w:firstLine="560" w:firstLineChars="200"/>
        <w:rPr>
          <w:rFonts w:ascii="Times New Roman" w:hAnsi="Times New Roman" w:eastAsia="宋体" w:cs="Times New Roman"/>
          <w:sz w:val="28"/>
          <w:szCs w:val="28"/>
        </w:rPr>
      </w:pPr>
      <w:r>
        <w:rPr>
          <w:rFonts w:hint="eastAsia" w:ascii="黑体" w:hAnsi="黑体" w:eastAsia="黑体" w:cs="宋体"/>
          <w:color w:val="000000"/>
          <w:kern w:val="0"/>
          <w:sz w:val="28"/>
          <w:szCs w:val="28"/>
        </w:rPr>
        <w:t xml:space="preserve">第十六条 </w:t>
      </w:r>
      <w:r>
        <w:rPr>
          <w:rFonts w:hint="eastAsia" w:ascii="Times New Roman" w:hAnsi="Times New Roman" w:eastAsia="宋体" w:cs="Times New Roman"/>
          <w:sz w:val="28"/>
          <w:szCs w:val="28"/>
        </w:rPr>
        <w:t>玻璃期货交割开具增值税专用发票。</w:t>
      </w:r>
    </w:p>
    <w:p>
      <w:pPr>
        <w:tabs>
          <w:tab w:val="left" w:pos="1620"/>
        </w:tabs>
        <w:autoSpaceDE w:val="0"/>
        <w:autoSpaceDN w:val="0"/>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第十七条 </w:t>
      </w:r>
      <w:r>
        <w:rPr>
          <w:rFonts w:hint="eastAsia" w:ascii="宋体" w:hAnsi="宋体" w:eastAsia="宋体" w:cs="宋体"/>
          <w:kern w:val="0"/>
          <w:sz w:val="28"/>
          <w:szCs w:val="28"/>
        </w:rPr>
        <w:t>玻璃</w:t>
      </w:r>
      <w:r>
        <w:rPr>
          <w:rFonts w:ascii="宋体" w:hAnsi="宋体" w:eastAsia="宋体" w:cs="宋体"/>
          <w:kern w:val="0"/>
          <w:sz w:val="28"/>
          <w:szCs w:val="28"/>
        </w:rPr>
        <w:t>期货厂库及</w:t>
      </w:r>
      <w:r>
        <w:rPr>
          <w:rFonts w:hint="eastAsia" w:ascii="宋体" w:hAnsi="宋体" w:eastAsia="宋体" w:cs="宋体"/>
          <w:kern w:val="0"/>
          <w:sz w:val="28"/>
          <w:szCs w:val="28"/>
        </w:rPr>
        <w:t>相关</w:t>
      </w:r>
      <w:r>
        <w:rPr>
          <w:rFonts w:ascii="宋体" w:hAnsi="宋体" w:eastAsia="宋体" w:cs="宋体"/>
          <w:kern w:val="0"/>
          <w:sz w:val="28"/>
          <w:szCs w:val="28"/>
        </w:rPr>
        <w:t>升贴水由交易所确定并公布</w:t>
      </w:r>
      <w:r>
        <w:rPr>
          <w:rFonts w:hint="eastAsia" w:ascii="宋体" w:hAnsi="宋体" w:eastAsia="宋体" w:cs="宋体"/>
          <w:kern w:val="0"/>
          <w:sz w:val="28"/>
          <w:szCs w:val="28"/>
        </w:rPr>
        <w:t>，交易所可以视情况对玻璃期货厂库及相关升贴水进行调整。</w:t>
      </w:r>
    </w:p>
    <w:p>
      <w:pPr>
        <w:tabs>
          <w:tab w:val="left" w:pos="1620"/>
        </w:tabs>
        <w:autoSpaceDE w:val="0"/>
        <w:autoSpaceDN w:val="0"/>
        <w:ind w:firstLine="560" w:firstLineChars="200"/>
        <w:rPr>
          <w:rFonts w:ascii="Times New Roman" w:hAnsi="Times New Roman" w:eastAsia="宋体" w:cs="Times New Roman"/>
          <w:sz w:val="28"/>
          <w:szCs w:val="28"/>
        </w:rPr>
      </w:pPr>
      <w:r>
        <w:rPr>
          <w:rFonts w:hint="eastAsia" w:ascii="黑体" w:hAnsi="黑体" w:eastAsia="黑体" w:cs="宋体"/>
          <w:color w:val="000000"/>
          <w:kern w:val="0"/>
          <w:sz w:val="28"/>
          <w:szCs w:val="28"/>
        </w:rPr>
        <w:t xml:space="preserve">第十八条 </w:t>
      </w:r>
      <w:r>
        <w:rPr>
          <w:rFonts w:hint="eastAsia" w:ascii="宋体" w:hAnsi="宋体" w:eastAsia="宋体" w:cs="宋体"/>
          <w:color w:val="000000"/>
          <w:kern w:val="0"/>
          <w:sz w:val="28"/>
          <w:szCs w:val="28"/>
        </w:rPr>
        <w:t>玻璃期货的交割基准价为</w:t>
      </w:r>
      <w:r>
        <w:rPr>
          <w:rFonts w:hint="eastAsia" w:ascii="Times New Roman" w:hAnsi="Times New Roman" w:eastAsia="宋体" w:cs="Times New Roman"/>
          <w:sz w:val="28"/>
          <w:szCs w:val="28"/>
        </w:rPr>
        <w:t>基准交割品在基准交割地裸包出库时汽车板交货的含税价格。</w:t>
      </w:r>
    </w:p>
    <w:p>
      <w:pPr>
        <w:tabs>
          <w:tab w:val="left" w:pos="1620"/>
        </w:tabs>
        <w:autoSpaceDE w:val="0"/>
        <w:autoSpaceDN w:val="0"/>
        <w:ind w:firstLine="560" w:firstLineChars="200"/>
        <w:rPr>
          <w:rFonts w:ascii="Times New Roman" w:hAnsi="Times New Roman" w:eastAsia="宋体" w:cs="Times New Roman"/>
          <w:sz w:val="28"/>
          <w:szCs w:val="28"/>
        </w:rPr>
      </w:pPr>
      <w:r>
        <w:rPr>
          <w:rFonts w:hint="eastAsia" w:ascii="黑体" w:hAnsi="黑体" w:eastAsia="黑体" w:cs="宋体"/>
          <w:color w:val="000000"/>
          <w:kern w:val="0"/>
          <w:sz w:val="28"/>
          <w:szCs w:val="28"/>
        </w:rPr>
        <w:t xml:space="preserve">第十九条 </w:t>
      </w:r>
      <w:r>
        <w:rPr>
          <w:rFonts w:hint="eastAsia" w:ascii="Times New Roman" w:hAnsi="Times New Roman" w:eastAsia="宋体" w:cs="Times New Roman"/>
          <w:sz w:val="28"/>
          <w:szCs w:val="28"/>
        </w:rPr>
        <w:t>玻璃用汽车提货的，装到汽车板前的一切费用由厂库承担，装到汽车板后的一切费用由提货人承担。玻璃用轮船提货的，提货人需要支付短驳费和码头使用费。</w:t>
      </w:r>
    </w:p>
    <w:p>
      <w:pPr>
        <w:tabs>
          <w:tab w:val="left" w:pos="1620"/>
        </w:tabs>
        <w:autoSpaceDE w:val="0"/>
        <w:autoSpaceDN w:val="0"/>
        <w:ind w:firstLine="560" w:firstLineChars="200"/>
        <w:rPr>
          <w:rFonts w:ascii="宋体" w:hAnsi="宋体" w:eastAsia="宋体" w:cs="Times New Roman"/>
          <w:sz w:val="28"/>
          <w:szCs w:val="28"/>
        </w:rPr>
      </w:pPr>
      <w:r>
        <w:rPr>
          <w:rFonts w:hint="eastAsia" w:ascii="宋体" w:hAnsi="宋体" w:eastAsia="宋体" w:cs="Times New Roman"/>
          <w:sz w:val="28"/>
          <w:szCs w:val="28"/>
        </w:rPr>
        <w:t>玻璃期货交割手续费、仓储费、检验费等交割相关费用标准由交易所另行公布。</w:t>
      </w:r>
    </w:p>
    <w:p>
      <w:pPr>
        <w:tabs>
          <w:tab w:val="left" w:pos="1620"/>
        </w:tabs>
        <w:autoSpaceDE w:val="0"/>
        <w:autoSpaceDN w:val="0"/>
        <w:ind w:firstLine="560" w:firstLineChars="200"/>
        <w:rPr>
          <w:rFonts w:ascii="Times New Roman" w:hAnsi="Times New Roman" w:eastAsia="宋体" w:cs="Times New Roman"/>
          <w:sz w:val="28"/>
          <w:szCs w:val="28"/>
        </w:rPr>
      </w:pPr>
      <w:r>
        <w:rPr>
          <w:rFonts w:hint="eastAsia" w:ascii="黑体" w:hAnsi="黑体" w:eastAsia="黑体" w:cs="宋体"/>
          <w:color w:val="000000"/>
          <w:kern w:val="0"/>
          <w:sz w:val="28"/>
          <w:szCs w:val="28"/>
        </w:rPr>
        <w:t xml:space="preserve">第二十条 </w:t>
      </w:r>
      <w:r>
        <w:rPr>
          <w:rFonts w:hint="eastAsia" w:ascii="Times New Roman" w:hAnsi="Times New Roman" w:eastAsia="宋体" w:cs="Times New Roman"/>
          <w:sz w:val="28"/>
          <w:szCs w:val="28"/>
        </w:rPr>
        <w:t>玻璃买方客户有需要的，厂库应当提供包装物及包装辅助物，收费方式及标准随厂库一并公告。</w:t>
      </w:r>
    </w:p>
    <w:p>
      <w:pPr>
        <w:tabs>
          <w:tab w:val="left" w:pos="1620"/>
        </w:tabs>
        <w:autoSpaceDE w:val="0"/>
        <w:autoSpaceDN w:val="0"/>
        <w:ind w:firstLine="560" w:firstLineChars="200"/>
        <w:rPr>
          <w:rFonts w:ascii="Times New Roman" w:hAnsi="Times New Roman" w:eastAsia="宋体" w:cs="Times New Roman"/>
          <w:sz w:val="28"/>
          <w:szCs w:val="28"/>
        </w:rPr>
      </w:pPr>
      <w:r>
        <w:rPr>
          <w:rFonts w:hint="eastAsia" w:ascii="黑体" w:hAnsi="黑体" w:eastAsia="黑体" w:cs="宋体"/>
          <w:color w:val="000000"/>
          <w:kern w:val="0"/>
          <w:sz w:val="28"/>
          <w:szCs w:val="28"/>
        </w:rPr>
        <w:t xml:space="preserve">第二十一条 </w:t>
      </w:r>
      <w:r>
        <w:rPr>
          <w:rFonts w:hint="eastAsia" w:ascii="宋体" w:hAnsi="宋体" w:eastAsia="宋体" w:cs="宋体"/>
          <w:kern w:val="0"/>
          <w:sz w:val="28"/>
          <w:szCs w:val="28"/>
        </w:rPr>
        <w:t>玻璃期货标准仓单生成、流通、注销等相关业务，本细则未规定的，适用《郑州商品交易所标准仓单管理办法》相关规定。</w:t>
      </w:r>
    </w:p>
    <w:p>
      <w:pPr>
        <w:tabs>
          <w:tab w:val="left" w:pos="1620"/>
        </w:tabs>
        <w:autoSpaceDE w:val="0"/>
        <w:autoSpaceDN w:val="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第二节 交割标准</w:t>
      </w:r>
    </w:p>
    <w:p>
      <w:pPr>
        <w:autoSpaceDE w:val="0"/>
        <w:autoSpaceDN w:val="0"/>
        <w:adjustRightInd w:val="0"/>
        <w:ind w:firstLine="560" w:firstLineChars="200"/>
        <w:jc w:val="left"/>
        <w:rPr>
          <w:rFonts w:ascii="宋体" w:hAnsi="Calibri" w:eastAsia="宋体" w:cs="Times New Roman"/>
          <w:color w:val="000000"/>
          <w:kern w:val="0"/>
          <w:sz w:val="28"/>
          <w:szCs w:val="28"/>
        </w:rPr>
      </w:pPr>
      <w:r>
        <w:rPr>
          <w:rFonts w:hint="eastAsia" w:ascii="黑体" w:hAnsi="黑体" w:eastAsia="黑体" w:cs="宋体"/>
          <w:color w:val="000000"/>
          <w:kern w:val="0"/>
          <w:sz w:val="28"/>
          <w:szCs w:val="28"/>
        </w:rPr>
        <w:t xml:space="preserve">第二十二条 </w:t>
      </w:r>
      <w:r>
        <w:rPr>
          <w:rFonts w:hint="eastAsia" w:ascii="宋体" w:hAnsi="Calibri" w:eastAsia="宋体" w:cs="Times New Roman"/>
          <w:color w:val="000000"/>
          <w:kern w:val="0"/>
          <w:sz w:val="28"/>
          <w:szCs w:val="28"/>
        </w:rPr>
        <w:t>玻璃期货交割适用国家标准及本细则规定。</w:t>
      </w:r>
    </w:p>
    <w:p>
      <w:pPr>
        <w:ind w:firstLine="560" w:firstLineChars="200"/>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 xml:space="preserve">第二十三条 </w:t>
      </w:r>
      <w:r>
        <w:rPr>
          <w:rFonts w:hint="eastAsia" w:ascii="Times New Roman" w:hAnsi="Times New Roman" w:eastAsia="宋体" w:cs="Times New Roman"/>
          <w:sz w:val="28"/>
          <w:szCs w:val="28"/>
        </w:rPr>
        <w:t>基准交割品：符合《中华人民共和国国家标准 平板玻璃》（GB 11614-2022）（以下简称《玻璃国标》）的5mm普通级无色透明平板玻璃，规格为3.66m×2.44m。</w:t>
      </w:r>
    </w:p>
    <w:p>
      <w:pPr>
        <w:ind w:firstLine="560" w:firstLineChars="200"/>
        <w:rPr>
          <w:rFonts w:hint="eastAsia" w:ascii="Times New Roman" w:hAnsi="Times New Roman" w:eastAsia="宋体" w:cs="Times New Roman"/>
          <w:sz w:val="28"/>
          <w:szCs w:val="28"/>
        </w:rPr>
      </w:pPr>
      <w:r>
        <w:rPr>
          <w:rFonts w:hint="eastAsia" w:ascii="黑体" w:hAnsi="黑体" w:eastAsia="黑体" w:cs="宋体"/>
          <w:color w:val="000000"/>
          <w:kern w:val="0"/>
          <w:sz w:val="28"/>
          <w:szCs w:val="28"/>
        </w:rPr>
        <w:t xml:space="preserve">第二十四条 </w:t>
      </w:r>
      <w:r>
        <w:rPr>
          <w:rFonts w:hint="eastAsia" w:ascii="Times New Roman" w:hAnsi="Times New Roman" w:eastAsia="宋体" w:cs="Times New Roman"/>
          <w:sz w:val="28"/>
          <w:szCs w:val="28"/>
        </w:rPr>
        <w:t xml:space="preserve">替代交割品及升贴水：符合《玻璃国标》规定的6mm普通级无色透明平板玻璃，规格为3.66m×2.44m，无升贴水。 </w:t>
      </w:r>
    </w:p>
    <w:p>
      <w:pPr>
        <w:jc w:val="center"/>
        <w:rPr>
          <w:rFonts w:ascii="宋体" w:hAnsi="宋体" w:eastAsia="宋体" w:cs="宋体"/>
          <w:b/>
          <w:kern w:val="0"/>
          <w:sz w:val="28"/>
          <w:szCs w:val="28"/>
        </w:rPr>
      </w:pPr>
      <w:r>
        <w:rPr>
          <w:rFonts w:hint="eastAsia" w:ascii="宋体" w:hAnsi="宋体" w:eastAsia="宋体" w:cs="宋体"/>
          <w:b/>
          <w:kern w:val="0"/>
          <w:sz w:val="28"/>
          <w:szCs w:val="28"/>
        </w:rPr>
        <w:t>第三节 厂库标准仓单交割</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第二十五条 </w:t>
      </w:r>
      <w:r>
        <w:rPr>
          <w:rFonts w:hint="eastAsia" w:ascii="宋体" w:hAnsi="宋体" w:eastAsia="宋体" w:cs="宋体"/>
          <w:kern w:val="0"/>
          <w:sz w:val="28"/>
          <w:szCs w:val="28"/>
        </w:rPr>
        <w:t>玻璃厂库允许注册标准仓单的最大数量由交易所确定，交易所可以根据情况予以调整。</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玻璃厂库申请注册标准仓单前，应当按照交易所规定提供标准仓单注册担保。</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第二十六条 </w:t>
      </w:r>
      <w:r>
        <w:rPr>
          <w:rFonts w:hint="eastAsia" w:ascii="宋体" w:hAnsi="宋体" w:eastAsia="宋体" w:cs="宋体"/>
          <w:kern w:val="0"/>
          <w:sz w:val="28"/>
          <w:szCs w:val="28"/>
        </w:rPr>
        <w:t>玻璃厂库标准仓单注销后，提货人应当在交易所开具《提货通知单》之日起10个工作日内，凭提货人身份证、提货人所在单位证明及《提货通知单》验证密码到厂库办理提货手续，确认商品质量，确定运输方式，并预交各项费用。</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提货人办理提货手续时，应当就发货速度及最后完成出库时间与厂库协商一致，协商不成的，厂库应当按照交易所批准的日发货速度发货。</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本细则所称厂库日发货速度，是指厂库在24小时内安排期货商品发货的最低数量。厂库日发货速度由交易所确定和调整。</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第二十七</w:t>
      </w:r>
      <w:r>
        <w:rPr>
          <w:rFonts w:ascii="黑体" w:hAnsi="黑体" w:eastAsia="黑体" w:cs="宋体"/>
          <w:color w:val="000000"/>
          <w:kern w:val="0"/>
          <w:sz w:val="28"/>
          <w:szCs w:val="28"/>
        </w:rPr>
        <w:t xml:space="preserve">条 </w:t>
      </w:r>
      <w:r>
        <w:rPr>
          <w:rFonts w:hint="eastAsia" w:ascii="宋体" w:hAnsi="宋体" w:eastAsia="宋体" w:cs="宋体"/>
          <w:kern w:val="0"/>
          <w:sz w:val="28"/>
          <w:szCs w:val="28"/>
        </w:rPr>
        <w:t>玻璃基准交割品和替代交割品以外的厚度、规格和品级等，提货人可以与厂库协商，并自行结算。</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第二十八</w:t>
      </w:r>
      <w:r>
        <w:rPr>
          <w:rFonts w:ascii="黑体" w:hAnsi="黑体" w:eastAsia="黑体" w:cs="宋体"/>
          <w:color w:val="000000"/>
          <w:kern w:val="0"/>
          <w:sz w:val="28"/>
          <w:szCs w:val="28"/>
        </w:rPr>
        <w:t xml:space="preserve">条 </w:t>
      </w:r>
      <w:r>
        <w:rPr>
          <w:rFonts w:hint="eastAsia" w:ascii="宋体" w:hAnsi="宋体" w:eastAsia="宋体" w:cs="宋体"/>
          <w:kern w:val="0"/>
          <w:sz w:val="28"/>
          <w:szCs w:val="28"/>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第二十九条 </w:t>
      </w:r>
      <w:r>
        <w:rPr>
          <w:rFonts w:hint="eastAsia" w:ascii="宋体" w:hAnsi="宋体" w:eastAsia="宋体" w:cs="宋体"/>
          <w:kern w:val="0"/>
          <w:sz w:val="28"/>
          <w:szCs w:val="28"/>
        </w:rPr>
        <w:t>玻璃出库重量按照标准厚度折算，其中，每张玻璃标准仓单对应的国标5mm平板玻璃的提货面积不得少于1600平米，每张玻璃标准仓单对应的国标6mm平板玻璃的提货面积不得少于1334平米。玻璃每次提货（指一张提货单）的溢短不超过一个包装单位（架），由买方决定，溢短部分由双方自行结算，结算价格参考最近交割月交割结算价。</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提货人在货物交收时应当到交收地点监发，未到场监发的，视为对货物重量没有异议。</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第三十条 </w:t>
      </w:r>
      <w:r>
        <w:rPr>
          <w:rFonts w:hint="eastAsia" w:ascii="宋体" w:hAnsi="宋体" w:eastAsia="宋体" w:cs="宋体"/>
          <w:kern w:val="0"/>
          <w:sz w:val="28"/>
          <w:szCs w:val="28"/>
        </w:rPr>
        <w:t>厂库应当保证交割商品的质量符合交易所规定的交割标准，双方协商一致的除外。</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玻璃出库时，厂库应当向提货人提供《质量合格证书》，生产日期早于标准仓单注销日60天（含60天）的玻璃，提货人可以拒收。</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第三十一条 </w:t>
      </w:r>
      <w:r>
        <w:rPr>
          <w:rFonts w:hint="eastAsia" w:ascii="宋体" w:hAnsi="宋体" w:eastAsia="宋体" w:cs="宋体"/>
          <w:kern w:val="0"/>
          <w:sz w:val="28"/>
          <w:szCs w:val="28"/>
        </w:rPr>
        <w:t>提货人或者厂库对玻璃重量、质量有异议的，由提货人和厂库协商解决；协商不成的，可以向交易所申请一次复检，并由申请方预交复检及相关费用。</w:t>
      </w:r>
      <w:r>
        <w:rPr>
          <w:rFonts w:hint="eastAsia" w:ascii="宋体" w:hAnsi="宋体" w:eastAsia="宋体" w:cs="宋体"/>
          <w:color w:val="000000"/>
          <w:kern w:val="0"/>
          <w:sz w:val="28"/>
          <w:szCs w:val="28"/>
        </w:rPr>
        <w:t>复检申请应当在玻璃出库前提出。</w:t>
      </w:r>
      <w:r>
        <w:rPr>
          <w:rFonts w:hint="eastAsia" w:ascii="宋体" w:hAnsi="宋体" w:eastAsia="宋体" w:cs="宋体"/>
          <w:kern w:val="0"/>
          <w:sz w:val="28"/>
          <w:szCs w:val="28"/>
        </w:rPr>
        <w:t>玻璃复检对象为申请方提出质量异议的对应货物。复检具体流程按照《郑州商品交易所标准仓单管理办法》“厂库商品出库复检”有关规定办理。</w:t>
      </w:r>
    </w:p>
    <w:p>
      <w:pPr>
        <w:ind w:firstLine="560" w:firstLineChars="200"/>
        <w:rPr>
          <w:rFonts w:ascii="宋体" w:hAnsi="宋体" w:eastAsia="宋体" w:cs="宋体"/>
          <w:kern w:val="0"/>
          <w:sz w:val="28"/>
          <w:szCs w:val="28"/>
          <w:shd w:val="pct10" w:color="auto" w:fill="FFFFFF"/>
        </w:rPr>
      </w:pPr>
      <w:r>
        <w:rPr>
          <w:rFonts w:hint="eastAsia" w:ascii="黑体" w:hAnsi="黑体" w:eastAsia="黑体" w:cs="宋体"/>
          <w:color w:val="000000"/>
          <w:kern w:val="0"/>
          <w:sz w:val="28"/>
          <w:szCs w:val="28"/>
        </w:rPr>
        <w:t xml:space="preserve">第三十二条 </w:t>
      </w:r>
      <w:r>
        <w:rPr>
          <w:rFonts w:hint="eastAsia" w:ascii="宋体" w:hAnsi="宋体" w:eastAsia="宋体" w:cs="宋体"/>
          <w:kern w:val="0"/>
          <w:sz w:val="28"/>
          <w:szCs w:val="28"/>
        </w:rPr>
        <w:t>厂库或者提货人因故不能按照约定计划发货或者提货的，双方应当及时协商并妥善调整发货速度或者发货计划，并且过错方应当支付滞纳金。滞纳金额 = ∑</w:t>
      </w:r>
      <w:r>
        <w:rPr>
          <w:rFonts w:ascii="宋体" w:hAnsi="宋体" w:eastAsia="宋体" w:cs="宋体"/>
          <w:kern w:val="0"/>
          <w:sz w:val="28"/>
          <w:szCs w:val="28"/>
        </w:rPr>
        <w:t>[5</w:t>
      </w:r>
      <w:r>
        <w:rPr>
          <w:rFonts w:hint="eastAsia" w:ascii="宋体" w:hAnsi="宋体" w:eastAsia="宋体" w:cs="宋体"/>
          <w:kern w:val="0"/>
          <w:sz w:val="28"/>
          <w:szCs w:val="28"/>
        </w:rPr>
        <w:t>（元</w:t>
      </w:r>
      <w:r>
        <w:rPr>
          <w:rFonts w:ascii="宋体" w:hAnsi="宋体" w:eastAsia="宋体" w:cs="宋体"/>
          <w:kern w:val="0"/>
          <w:sz w:val="28"/>
          <w:szCs w:val="28"/>
        </w:rPr>
        <w:t>/吨•天）×延误天数×应发（收）而未发（收）商品数量]。</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因厂库原因在约定的最后发货日起5个日历日内仍不能完成所有商品发货的，提货人可以要求厂库终止发货并支付赔偿金。赔偿金额=玻璃期货最近交割月最高交割结算价×应发未发的商品数量×120%。</w:t>
      </w:r>
    </w:p>
    <w:p>
      <w:pPr>
        <w:ind w:firstLine="560" w:firstLineChars="200"/>
        <w:rPr>
          <w:rFonts w:ascii="宋体" w:hAnsi="宋体" w:eastAsia="宋体" w:cs="宋体"/>
          <w:color w:val="000000"/>
          <w:kern w:val="0"/>
          <w:sz w:val="28"/>
          <w:szCs w:val="28"/>
        </w:rPr>
      </w:pPr>
      <w:r>
        <w:rPr>
          <w:rFonts w:hint="eastAsia" w:ascii="宋体" w:hAnsi="宋体" w:eastAsia="宋体" w:cs="宋体"/>
          <w:kern w:val="0"/>
          <w:sz w:val="28"/>
          <w:szCs w:val="28"/>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rPr>
      </w:pPr>
      <w:r>
        <w:rPr>
          <w:rFonts w:hint="eastAsia" w:ascii="宋体" w:hAnsi="宋体" w:eastAsia="宋体" w:cs="宋体"/>
          <w:color w:val="000000"/>
          <w:kern w:val="0"/>
          <w:sz w:val="28"/>
          <w:szCs w:val="28"/>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第三十三条 </w:t>
      </w:r>
      <w:r>
        <w:rPr>
          <w:rFonts w:hint="eastAsia" w:ascii="宋体" w:hAnsi="宋体" w:eastAsia="宋体" w:cs="宋体"/>
          <w:kern w:val="0"/>
          <w:sz w:val="28"/>
          <w:szCs w:val="28"/>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eastAsia="宋体" w:cs="宋体"/>
          <w:kern w:val="0"/>
          <w:sz w:val="28"/>
          <w:szCs w:val="28"/>
        </w:rPr>
        <w:t>厂库发生违约行为，且厂库未赔偿或者赔偿金额不足的，交易所可以动用厂库提供的担保对提货人进行赔偿。</w:t>
      </w:r>
    </w:p>
    <w:p>
      <w:pPr>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第三十五条 </w:t>
      </w:r>
      <w:r>
        <w:rPr>
          <w:rFonts w:hint="eastAsia" w:ascii="宋体" w:hAnsi="宋体" w:eastAsia="宋体" w:cs="宋体"/>
          <w:kern w:val="0"/>
          <w:sz w:val="28"/>
          <w:szCs w:val="28"/>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第四章 风险管理</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第三十六条 </w:t>
      </w:r>
      <w:r>
        <w:rPr>
          <w:rFonts w:hint="eastAsia" w:ascii="宋体" w:hAnsi="宋体" w:eastAsia="宋体" w:cs="宋体"/>
          <w:color w:val="000000"/>
          <w:kern w:val="0"/>
          <w:sz w:val="28"/>
          <w:szCs w:val="28"/>
        </w:rPr>
        <w:t>玻璃期货合约最低交易保证金标准为合约价值的5%。</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宋体" w:hAnsi="宋体" w:eastAsia="宋体" w:cs="宋体"/>
          <w:color w:val="000000"/>
          <w:kern w:val="0"/>
          <w:sz w:val="28"/>
          <w:szCs w:val="28"/>
        </w:rPr>
        <w:t>玻璃期货合约交易保证金标准见下表：</w:t>
      </w:r>
    </w:p>
    <w:tbl>
      <w:tblPr>
        <w:tblStyle w:val="6"/>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ind w:left="142" w:hanging="141" w:hangingChars="59"/>
              <w:jc w:val="center"/>
              <w:rPr>
                <w:rFonts w:ascii="宋体" w:hAnsi="宋体" w:eastAsia="宋体" w:cs="宋体"/>
                <w:kern w:val="0"/>
                <w:sz w:val="24"/>
                <w:szCs w:val="24"/>
              </w:rPr>
            </w:pPr>
            <w:r>
              <w:rPr>
                <w:rFonts w:hint="eastAsia" w:ascii="宋体" w:hAnsi="宋体" w:eastAsia="宋体" w:cs="宋体"/>
                <w:kern w:val="0"/>
                <w:sz w:val="24"/>
                <w:szCs w:val="24"/>
              </w:rPr>
              <w:t>交易时间段</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rPr>
            </w:pPr>
            <w:r>
              <w:rPr>
                <w:rFonts w:ascii="宋体" w:hAnsi="宋体" w:eastAsia="宋体" w:cs="宋体"/>
                <w:kern w:val="0"/>
                <w:sz w:val="24"/>
                <w:szCs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自合约挂牌至交割月前一个月第15个日历日期间的交易日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rPr>
            </w:pPr>
            <w:r>
              <w:rPr>
                <w:rFonts w:hint="eastAsia" w:ascii="宋体" w:hAnsi="宋体" w:eastAsia="宋体" w:cs="宋体"/>
                <w:color w:val="000000"/>
                <w:kern w:val="0"/>
                <w:sz w:val="24"/>
                <w:szCs w:val="24"/>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自交割月前一个月第16个日历日至交割月前一个月最后一个日历日期间的交易日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rPr>
            </w:pPr>
            <w:r>
              <w:rPr>
                <w:rFonts w:hint="eastAsia" w:ascii="宋体" w:hAnsi="宋体" w:eastAsia="宋体" w:cs="宋体"/>
                <w:color w:val="000000"/>
                <w:kern w:val="0"/>
                <w:sz w:val="24"/>
                <w:szCs w:val="24"/>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交割月份</w:t>
            </w:r>
          </w:p>
        </w:tc>
        <w:tc>
          <w:tcPr>
            <w:tcW w:w="2976" w:type="dxa"/>
            <w:noWrap w:val="0"/>
            <w:vAlign w:val="center"/>
          </w:tcPr>
          <w:p>
            <w:pPr>
              <w:tabs>
                <w:tab w:val="left" w:pos="1620"/>
              </w:tabs>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合约价值的20%</w:t>
            </w:r>
          </w:p>
        </w:tc>
      </w:tr>
    </w:tbl>
    <w:p>
      <w:pPr>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第三十七条 </w:t>
      </w:r>
      <w:r>
        <w:rPr>
          <w:rFonts w:hint="eastAsia" w:ascii="宋体" w:hAnsi="宋体" w:eastAsia="宋体" w:cs="宋体"/>
          <w:kern w:val="0"/>
          <w:sz w:val="28"/>
          <w:szCs w:val="28"/>
        </w:rPr>
        <w:t>玻璃期货合约每日涨跌停板幅度为前一交易日结算价的±4%。</w:t>
      </w:r>
    </w:p>
    <w:p>
      <w:pPr>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第三十八条 </w:t>
      </w:r>
      <w:r>
        <w:rPr>
          <w:rFonts w:hint="eastAsia" w:ascii="宋体" w:hAnsi="宋体" w:eastAsia="宋体" w:cs="宋体"/>
          <w:kern w:val="0"/>
          <w:sz w:val="28"/>
          <w:szCs w:val="28"/>
        </w:rPr>
        <w:t>玻璃</w:t>
      </w:r>
      <w:r>
        <w:rPr>
          <w:rFonts w:hint="eastAsia" w:ascii="宋体" w:hAnsi="宋体" w:eastAsia="宋体" w:cs="宋体"/>
          <w:color w:val="000000"/>
          <w:kern w:val="0"/>
          <w:sz w:val="28"/>
          <w:szCs w:val="28"/>
        </w:rPr>
        <w:t>期货合约限仓标准见下表：</w:t>
      </w:r>
    </w:p>
    <w:tbl>
      <w:tblPr>
        <w:tblStyle w:val="6"/>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02"/>
        <w:gridCol w:w="326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2" w:type="dxa"/>
            <w:noWrap w:val="0"/>
            <w:vAlign w:val="center"/>
          </w:tcPr>
          <w:p>
            <w:pPr>
              <w:tabs>
                <w:tab w:val="left" w:pos="1620"/>
              </w:tabs>
              <w:autoSpaceDE w:val="0"/>
              <w:autoSpaceDN w:val="0"/>
              <w:ind w:left="142" w:hanging="141" w:hangingChars="59"/>
              <w:jc w:val="center"/>
              <w:rPr>
                <w:rFonts w:ascii="宋体" w:hAnsi="宋体" w:eastAsia="宋体" w:cs="宋体"/>
                <w:kern w:val="0"/>
                <w:sz w:val="24"/>
                <w:szCs w:val="24"/>
              </w:rPr>
            </w:pPr>
            <w:r>
              <w:rPr>
                <w:rFonts w:hint="eastAsia" w:ascii="宋体" w:hAnsi="宋体" w:eastAsia="宋体" w:cs="宋体"/>
                <w:kern w:val="0"/>
                <w:sz w:val="24"/>
                <w:szCs w:val="24"/>
              </w:rPr>
              <w:t>交易时间段</w:t>
            </w:r>
          </w:p>
        </w:tc>
        <w:tc>
          <w:tcPr>
            <w:tcW w:w="5103" w:type="dxa"/>
            <w:gridSpan w:val="2"/>
            <w:noWrap w:val="0"/>
            <w:vAlign w:val="center"/>
          </w:tcPr>
          <w:p>
            <w:pPr>
              <w:tabs>
                <w:tab w:val="left" w:pos="1620"/>
              </w:tabs>
              <w:autoSpaceDE w:val="0"/>
              <w:autoSpaceDN w:val="0"/>
              <w:rPr>
                <w:rFonts w:ascii="宋体" w:hAnsi="宋体" w:eastAsia="宋体" w:cs="宋体"/>
                <w:kern w:val="0"/>
                <w:sz w:val="24"/>
                <w:szCs w:val="24"/>
              </w:rPr>
            </w:pPr>
            <w:r>
              <w:rPr>
                <w:rFonts w:hint="eastAsia" w:ascii="宋体" w:hAnsi="宋体" w:eastAsia="宋体" w:cs="宋体"/>
                <w:kern w:val="0"/>
                <w:sz w:val="24"/>
                <w:szCs w:val="24"/>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3402" w:type="dxa"/>
            <w:vMerge w:val="restart"/>
            <w:noWrap w:val="0"/>
            <w:vAlign w:val="center"/>
          </w:tcPr>
          <w:p>
            <w:pPr>
              <w:tabs>
                <w:tab w:val="left" w:pos="1620"/>
              </w:tabs>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自合约挂牌至交割月前一个月第15个日历日期间的交易日</w:t>
            </w:r>
          </w:p>
        </w:tc>
        <w:tc>
          <w:tcPr>
            <w:tcW w:w="3261" w:type="dxa"/>
            <w:noWrap w:val="0"/>
            <w:vAlign w:val="center"/>
          </w:tcPr>
          <w:p>
            <w:pPr>
              <w:tabs>
                <w:tab w:val="left" w:pos="1620"/>
              </w:tabs>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期货合约单边持仓量＜20万</w:t>
            </w:r>
          </w:p>
        </w:tc>
        <w:tc>
          <w:tcPr>
            <w:tcW w:w="1842" w:type="dxa"/>
            <w:noWrap w:val="0"/>
            <w:vAlign w:val="center"/>
          </w:tcPr>
          <w:p>
            <w:pPr>
              <w:tabs>
                <w:tab w:val="left" w:pos="1620"/>
              </w:tabs>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3402" w:type="dxa"/>
            <w:vMerge w:val="continue"/>
            <w:noWrap w:val="0"/>
            <w:vAlign w:val="center"/>
          </w:tcPr>
          <w:p>
            <w:pPr>
              <w:tabs>
                <w:tab w:val="left" w:pos="1620"/>
              </w:tabs>
              <w:autoSpaceDE w:val="0"/>
              <w:autoSpaceDN w:val="0"/>
              <w:rPr>
                <w:rFonts w:ascii="宋体" w:hAnsi="宋体" w:eastAsia="宋体" w:cs="宋体"/>
                <w:color w:val="000000"/>
                <w:kern w:val="0"/>
                <w:sz w:val="24"/>
                <w:szCs w:val="24"/>
              </w:rPr>
            </w:pPr>
          </w:p>
        </w:tc>
        <w:tc>
          <w:tcPr>
            <w:tcW w:w="3261" w:type="dxa"/>
            <w:noWrap w:val="0"/>
            <w:vAlign w:val="center"/>
          </w:tcPr>
          <w:p>
            <w:pPr>
              <w:tabs>
                <w:tab w:val="left" w:pos="1620"/>
              </w:tabs>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期货合约单边持仓量≥20万</w:t>
            </w:r>
          </w:p>
        </w:tc>
        <w:tc>
          <w:tcPr>
            <w:tcW w:w="1842" w:type="dxa"/>
            <w:noWrap w:val="0"/>
            <w:vAlign w:val="center"/>
          </w:tcPr>
          <w:p>
            <w:pPr>
              <w:tabs>
                <w:tab w:val="left" w:pos="1620"/>
              </w:tabs>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期货合约单边持仓量×10%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trPr>
        <w:tc>
          <w:tcPr>
            <w:tcW w:w="3402" w:type="dxa"/>
            <w:noWrap w:val="0"/>
            <w:vAlign w:val="center"/>
          </w:tcPr>
          <w:p>
            <w:pPr>
              <w:tabs>
                <w:tab w:val="left" w:pos="1620"/>
              </w:tabs>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自交割月前一个月第16个日历日至交割月前一个月最后一个日历日期间的交易日</w:t>
            </w:r>
          </w:p>
        </w:tc>
        <w:tc>
          <w:tcPr>
            <w:tcW w:w="5103" w:type="dxa"/>
            <w:gridSpan w:val="2"/>
            <w:noWrap w:val="0"/>
            <w:vAlign w:val="center"/>
          </w:tcPr>
          <w:p>
            <w:pPr>
              <w:tabs>
                <w:tab w:val="left" w:pos="1620"/>
              </w:tabs>
              <w:autoSpaceDE w:val="0"/>
              <w:autoSpaceDN w:val="0"/>
              <w:jc w:val="center"/>
              <w:rPr>
                <w:rFonts w:ascii="宋体" w:hAnsi="宋体" w:eastAsia="宋体" w:cs="宋体"/>
                <w:kern w:val="0"/>
                <w:sz w:val="24"/>
                <w:szCs w:val="24"/>
              </w:rPr>
            </w:pPr>
            <w:r>
              <w:rPr>
                <w:rFonts w:hint="eastAsia" w:ascii="宋体" w:hAnsi="宋体" w:eastAsia="宋体" w:cs="宋体"/>
                <w:color w:val="000000"/>
                <w:kern w:val="0"/>
                <w:sz w:val="24"/>
                <w:szCs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2" w:type="dxa"/>
            <w:noWrap w:val="0"/>
            <w:vAlign w:val="center"/>
          </w:tcPr>
          <w:p>
            <w:pPr>
              <w:tabs>
                <w:tab w:val="left" w:pos="1620"/>
              </w:tabs>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交割月份</w:t>
            </w:r>
          </w:p>
        </w:tc>
        <w:tc>
          <w:tcPr>
            <w:tcW w:w="5103" w:type="dxa"/>
            <w:gridSpan w:val="2"/>
            <w:noWrap w:val="0"/>
            <w:vAlign w:val="top"/>
          </w:tcPr>
          <w:p>
            <w:pPr>
              <w:tabs>
                <w:tab w:val="left" w:pos="1620"/>
              </w:tabs>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p>
            <w:pPr>
              <w:tabs>
                <w:tab w:val="left" w:pos="1620"/>
              </w:tabs>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（自然人客户最大单边持仓量为0）</w:t>
            </w:r>
          </w:p>
        </w:tc>
      </w:tr>
    </w:tbl>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第三十九条 </w:t>
      </w:r>
      <w:r>
        <w:rPr>
          <w:rFonts w:hint="eastAsia" w:ascii="宋体" w:hAnsi="宋体" w:eastAsia="宋体" w:cs="宋体"/>
          <w:color w:val="000000"/>
          <w:kern w:val="0"/>
          <w:sz w:val="28"/>
          <w:szCs w:val="28"/>
        </w:rPr>
        <w:t>根据《郑州商品交易所期货交易风险控制管理办法》等有关规定，交易所对玻璃期货合约交易保证金标准、涨跌停板幅度进行调整的，按照相关标准执行。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第五章 附 则</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第四十条 </w:t>
      </w:r>
      <w:r>
        <w:rPr>
          <w:rFonts w:hint="eastAsia" w:ascii="宋体" w:hAnsi="宋体" w:eastAsia="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第四十一条 </w:t>
      </w:r>
      <w:r>
        <w:rPr>
          <w:rFonts w:hint="eastAsia" w:ascii="宋体" w:hAnsi="宋体" w:eastAsia="宋体" w:cs="宋体"/>
          <w:color w:val="000000"/>
          <w:kern w:val="0"/>
          <w:sz w:val="28"/>
          <w:szCs w:val="28"/>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黑体" w:hAnsi="黑体" w:eastAsia="黑体" w:cs="宋体"/>
          <w:kern w:val="0"/>
          <w:sz w:val="28"/>
          <w:szCs w:val="32"/>
        </w:rPr>
        <w:t xml:space="preserve">第四十二条 </w:t>
      </w:r>
      <w:r>
        <w:rPr>
          <w:rFonts w:hint="eastAsia" w:ascii="宋体" w:hAnsi="宋体" w:eastAsia="宋体" w:cs="宋体"/>
          <w:color w:val="000000"/>
          <w:kern w:val="0"/>
          <w:sz w:val="28"/>
          <w:szCs w:val="28"/>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rPr>
      </w:pPr>
      <w:r>
        <w:rPr>
          <w:rFonts w:hint="eastAsia" w:ascii="黑体" w:hAnsi="黑体" w:eastAsia="黑体" w:cs="宋体"/>
          <w:kern w:val="0"/>
          <w:sz w:val="28"/>
          <w:szCs w:val="32"/>
        </w:rPr>
        <w:t xml:space="preserve">第四十三条 </w:t>
      </w:r>
      <w:r>
        <w:rPr>
          <w:rFonts w:hint="eastAsia" w:ascii="宋体" w:hAnsi="宋体" w:eastAsia="宋体" w:cs="宋体"/>
          <w:color w:val="000000"/>
          <w:kern w:val="0"/>
          <w:sz w:val="28"/>
          <w:szCs w:val="28"/>
        </w:rPr>
        <w:t>本细则自</w:t>
      </w:r>
      <w:r>
        <w:rPr>
          <w:rFonts w:hint="default" w:ascii="宋体" w:hAnsi="宋体" w:cs="宋体"/>
          <w:color w:val="000000"/>
          <w:kern w:val="0"/>
          <w:sz w:val="28"/>
          <w:szCs w:val="28"/>
          <w:lang w:val="en-US"/>
        </w:rPr>
        <w:t>2024</w:t>
      </w:r>
      <w:r>
        <w:rPr>
          <w:rFonts w:hint="eastAsia" w:ascii="宋体" w:hAnsi="宋体" w:eastAsia="宋体" w:cs="宋体"/>
          <w:color w:val="000000"/>
          <w:kern w:val="0"/>
          <w:sz w:val="28"/>
          <w:szCs w:val="28"/>
        </w:rPr>
        <w:t>年</w:t>
      </w:r>
      <w:r>
        <w:rPr>
          <w:rFonts w:hint="default" w:ascii="宋体" w:hAnsi="宋体" w:cs="宋体"/>
          <w:color w:val="000000"/>
          <w:kern w:val="0"/>
          <w:sz w:val="28"/>
          <w:szCs w:val="28"/>
          <w:lang w:val="en-US" w:eastAsia="zh-CN"/>
        </w:rPr>
        <w:t>1</w:t>
      </w:r>
      <w:r>
        <w:rPr>
          <w:rFonts w:hint="eastAsia" w:ascii="宋体" w:hAnsi="宋体" w:eastAsia="宋体" w:cs="宋体"/>
          <w:color w:val="000000"/>
          <w:kern w:val="0"/>
          <w:sz w:val="28"/>
          <w:szCs w:val="28"/>
        </w:rPr>
        <w:t>月</w:t>
      </w:r>
      <w:r>
        <w:rPr>
          <w:rFonts w:hint="default" w:ascii="宋体" w:hAnsi="宋体" w:cs="宋体"/>
          <w:color w:val="000000"/>
          <w:kern w:val="0"/>
          <w:sz w:val="28"/>
          <w:szCs w:val="28"/>
          <w:lang w:val="en-US" w:eastAsia="zh-CN"/>
        </w:rPr>
        <w:t>8</w:t>
      </w:r>
      <w:r>
        <w:rPr>
          <w:rFonts w:hint="eastAsia" w:ascii="宋体" w:hAnsi="宋体" w:eastAsia="宋体" w:cs="宋体"/>
          <w:color w:val="000000"/>
          <w:kern w:val="0"/>
          <w:sz w:val="28"/>
          <w:szCs w:val="28"/>
        </w:rPr>
        <w:t>日起施行。</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7E7321F"/>
    <w:rsid w:val="1B6F72BF"/>
    <w:rsid w:val="34900165"/>
    <w:rsid w:val="3BFBF89A"/>
    <w:rsid w:val="3EFEFF72"/>
    <w:rsid w:val="57833478"/>
    <w:rsid w:val="5F7A60E1"/>
    <w:rsid w:val="69CC6672"/>
    <w:rsid w:val="78031D0F"/>
    <w:rsid w:val="7DFCD712"/>
    <w:rsid w:val="7FE36AD6"/>
    <w:rsid w:val="8DDF03E9"/>
    <w:rsid w:val="97FE9840"/>
    <w:rsid w:val="BFFF8CE4"/>
    <w:rsid w:val="DDEF7023"/>
    <w:rsid w:val="EA4C1AC9"/>
    <w:rsid w:val="EEFE57EF"/>
    <w:rsid w:val="F3DE4951"/>
    <w:rsid w:val="F5F61D07"/>
    <w:rsid w:val="F5FF1EB1"/>
    <w:rsid w:val="F7FD0B0E"/>
    <w:rsid w:val="FFFE1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2019-09-16T06:10:00Z</dcterms:created>
  <dc:creator>CN=李小鹏/OU=办公室/O=CZCE</dc:creator>
  <cp:lastModifiedBy>邢艳艳</cp:lastModifiedBy>
  <dcterms:modified xsi:type="dcterms:W3CDTF">2024-01-08T14:14:19Z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68DF87B5298447718ABF74BC182A0739</vt:lpwstr>
  </property>
</Properties>
</file>