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eastAsia="黑体" w:cs="仿宋"/>
          <w:kern w:val="0"/>
          <w:sz w:val="32"/>
          <w:szCs w:val="32"/>
        </w:rPr>
      </w:pPr>
      <w:bookmarkStart w:id="0" w:name="_GoBack"/>
      <w:r>
        <w:rPr>
          <w:rFonts w:hint="eastAsia" w:ascii="黑体" w:hAnsi="黑体" w:eastAsia="黑体"/>
          <w:kern w:val="0"/>
          <w:sz w:val="32"/>
          <w:szCs w:val="44"/>
        </w:rPr>
        <w:t>附件4</w:t>
      </w:r>
    </w:p>
    <w:p>
      <w:pPr>
        <w:widowControl/>
        <w:shd w:val="clear" w:color="auto" w:fill="FFFFFF"/>
        <w:spacing w:after="50" w:line="105" w:lineRule="atLeast"/>
        <w:jc w:val="center"/>
        <w:rPr>
          <w:rFonts w:ascii="黑体" w:hAnsi="黑体" w:eastAsia="黑体" w:cs="黑体"/>
          <w:color w:val="333333"/>
          <w:kern w:val="0"/>
          <w:sz w:val="44"/>
          <w:szCs w:val="44"/>
          <w:shd w:val="clear" w:color="auto" w:fill="FFFFFF"/>
        </w:rPr>
      </w:pPr>
      <w:r>
        <w:rPr>
          <w:rFonts w:hint="eastAsia" w:ascii="黑体" w:hAnsi="黑体" w:eastAsia="黑体" w:cs="黑体"/>
          <w:color w:val="333333"/>
          <w:sz w:val="44"/>
          <w:szCs w:val="44"/>
          <w:shd w:val="clear" w:color="auto" w:fill="FFFFFF"/>
        </w:rPr>
        <w:t>郑州商品交易所普通小麦期货业务细则</w:t>
      </w:r>
    </w:p>
    <w:bookmarkEnd w:id="0"/>
    <w:p>
      <w:pPr>
        <w:widowControl/>
        <w:shd w:val="clear" w:color="auto" w:fill="FFFFFF"/>
        <w:spacing w:after="50" w:line="105" w:lineRule="atLeast"/>
        <w:jc w:val="left"/>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（2022年7月29日郑州商品交易所第七届理事会第二十五次会议审议通过，2022年8月31日</w:t>
      </w:r>
      <w:r>
        <w:fldChar w:fldCharType="begin"/>
      </w:r>
      <w:r>
        <w:instrText xml:space="preserve"> HYPERLINK "http://www.czce.com.cn/cn/gyjys/jysdt/ggytz/webinfo/2022/08/1655821536701939.htm" </w:instrText>
      </w:r>
      <w:r>
        <w:fldChar w:fldCharType="separate"/>
      </w:r>
      <w:r>
        <w:rPr>
          <w:rFonts w:hint="eastAsia" w:ascii="宋体" w:hAnsi="宋体" w:cs="宋体"/>
          <w:color w:val="333333"/>
          <w:kern w:val="0"/>
          <w:sz w:val="24"/>
          <w:shd w:val="clear" w:color="auto" w:fill="FFFFFF"/>
        </w:rPr>
        <w:t>〔2022〕</w:t>
      </w:r>
      <w:r>
        <w:rPr>
          <w:rFonts w:hint="eastAsia" w:ascii="宋体" w:hAnsi="宋体" w:cs="宋体"/>
          <w:color w:val="333333"/>
          <w:kern w:val="0"/>
          <w:sz w:val="24"/>
          <w:shd w:val="clear" w:color="auto" w:fill="FFFFFF"/>
        </w:rPr>
        <w:fldChar w:fldCharType="end"/>
      </w:r>
      <w:r>
        <w:fldChar w:fldCharType="begin"/>
      </w:r>
      <w:r>
        <w:instrText xml:space="preserve"> HYPERLINK "http://www.czce.com.cn/cn/gyjys/jysdt/ggytz/webinfo/2022/08/1655821536701939.htm" </w:instrText>
      </w:r>
      <w:r>
        <w:fldChar w:fldCharType="separate"/>
      </w:r>
      <w:r>
        <w:rPr>
          <w:rFonts w:hint="eastAsia" w:ascii="宋体" w:hAnsi="宋体" w:cs="宋体"/>
          <w:color w:val="333333"/>
          <w:kern w:val="0"/>
          <w:sz w:val="24"/>
          <w:shd w:val="clear" w:color="auto" w:fill="FFFFFF"/>
        </w:rPr>
        <w:t>74</w:t>
      </w:r>
      <w:r>
        <w:rPr>
          <w:rFonts w:hint="eastAsia" w:ascii="宋体" w:hAnsi="宋体" w:cs="宋体"/>
          <w:color w:val="333333"/>
          <w:kern w:val="0"/>
          <w:sz w:val="24"/>
          <w:shd w:val="clear" w:color="auto" w:fill="FFFFFF"/>
        </w:rPr>
        <w:fldChar w:fldCharType="end"/>
      </w:r>
      <w:r>
        <w:fldChar w:fldCharType="begin"/>
      </w:r>
      <w:r>
        <w:instrText xml:space="preserve"> HYPERLINK "http://www.czce.com.cn/cn/gyjys/jysdt/ggytz/webinfo/2022/08/1655821536701939.htm" </w:instrText>
      </w:r>
      <w:r>
        <w:fldChar w:fldCharType="separate"/>
      </w:r>
      <w:r>
        <w:rPr>
          <w:rFonts w:hint="eastAsia" w:ascii="宋体" w:hAnsi="宋体" w:cs="宋体"/>
          <w:color w:val="333333"/>
          <w:kern w:val="0"/>
          <w:sz w:val="24"/>
          <w:shd w:val="clear" w:color="auto" w:fill="FFFFFF"/>
        </w:rPr>
        <w:t>号</w:t>
      </w:r>
      <w:r>
        <w:rPr>
          <w:rFonts w:hint="eastAsia" w:ascii="宋体" w:hAnsi="宋体" w:cs="宋体"/>
          <w:color w:val="333333"/>
          <w:kern w:val="0"/>
          <w:sz w:val="24"/>
          <w:shd w:val="clear" w:color="auto" w:fill="FFFFFF"/>
        </w:rPr>
        <w:fldChar w:fldCharType="end"/>
      </w:r>
      <w:r>
        <w:rPr>
          <w:rFonts w:hint="eastAsia" w:ascii="宋体" w:hAnsi="宋体" w:cs="宋体"/>
          <w:color w:val="333333"/>
          <w:kern w:val="0"/>
          <w:sz w:val="24"/>
          <w:shd w:val="clear" w:color="auto" w:fill="FFFFFF"/>
        </w:rPr>
        <w:t>公告发布，自2022年12月1日开始施行；2023年9月17日郑州商品交易所第八届理事会第六次会议审议通过，2023年10月</w:t>
      </w:r>
      <w:r>
        <w:rPr>
          <w:rFonts w:hint="eastAsia" w:ascii="宋体" w:hAnsi="宋体" w:cs="宋体"/>
          <w:color w:val="333333"/>
          <w:kern w:val="0"/>
          <w:sz w:val="24"/>
          <w:highlight w:val="none"/>
          <w:shd w:val="clear" w:color="auto" w:fill="FFFFFF"/>
          <w:lang w:val="en-US" w:eastAsia="zh-CN"/>
        </w:rPr>
        <w:t>16</w:t>
      </w:r>
      <w:r>
        <w:rPr>
          <w:rFonts w:hint="eastAsia" w:ascii="宋体" w:hAnsi="宋体" w:cs="宋体"/>
          <w:color w:val="333333"/>
          <w:kern w:val="0"/>
          <w:sz w:val="24"/>
          <w:shd w:val="clear" w:color="auto" w:fill="FFFFFF"/>
        </w:rPr>
        <w:t>日</w:t>
      </w:r>
      <w:r>
        <w:fldChar w:fldCharType="begin"/>
      </w:r>
      <w:r>
        <w:instrText xml:space="preserve"> HYPERLINK "http://www.czce.com.cn/cn/gyjys/jysdt/ggytz/webinfo/2022/08/1655821536701939.htm" </w:instrText>
      </w:r>
      <w:r>
        <w:fldChar w:fldCharType="separate"/>
      </w:r>
      <w:r>
        <w:rPr>
          <w:rFonts w:hint="eastAsia" w:ascii="宋体" w:hAnsi="宋体" w:cs="宋体"/>
          <w:color w:val="333333"/>
          <w:kern w:val="0"/>
          <w:sz w:val="24"/>
          <w:shd w:val="clear" w:color="auto" w:fill="FFFFFF"/>
        </w:rPr>
        <w:t>〔2023〕</w:t>
      </w:r>
      <w:r>
        <w:rPr>
          <w:rFonts w:hint="eastAsia" w:ascii="宋体" w:hAnsi="宋体" w:cs="宋体"/>
          <w:color w:val="333333"/>
          <w:kern w:val="0"/>
          <w:sz w:val="24"/>
          <w:shd w:val="clear" w:color="auto" w:fill="FFFFFF"/>
        </w:rPr>
        <w:fldChar w:fldCharType="end"/>
      </w:r>
      <w:r>
        <w:rPr>
          <w:rFonts w:hint="eastAsia" w:ascii="宋体" w:hAnsi="宋体" w:cs="宋体"/>
          <w:color w:val="333333"/>
          <w:kern w:val="0"/>
          <w:sz w:val="24"/>
          <w:shd w:val="clear" w:color="auto" w:fill="FFFFFF"/>
          <w:lang w:val="en-US" w:eastAsia="zh-CN"/>
        </w:rPr>
        <w:t>111</w:t>
      </w:r>
      <w:r>
        <w:rPr>
          <w:rFonts w:hint="eastAsia" w:ascii="宋体" w:hAnsi="宋体" w:cs="宋体"/>
          <w:color w:val="333333"/>
          <w:kern w:val="0"/>
          <w:sz w:val="24"/>
          <w:shd w:val="clear" w:color="auto" w:fill="FFFFFF"/>
        </w:rPr>
        <w:fldChar w:fldCharType="begin"/>
      </w:r>
      <w:r>
        <w:rPr>
          <w:rFonts w:hint="eastAsia" w:ascii="宋体" w:hAnsi="宋体" w:cs="宋体"/>
          <w:color w:val="333333"/>
          <w:kern w:val="0"/>
          <w:sz w:val="24"/>
          <w:shd w:val="clear" w:color="auto" w:fill="FFFFFF"/>
        </w:rPr>
        <w:instrText xml:space="preserve"> HYPERLINK "http://www.czce.com.cn/cn/gyjys/jysdt/ggytz/webinfo/2022/08/1655821536701939.htm" </w:instrText>
      </w:r>
      <w:r>
        <w:rPr>
          <w:rFonts w:hint="eastAsia" w:ascii="宋体" w:hAnsi="宋体" w:cs="宋体"/>
          <w:color w:val="333333"/>
          <w:kern w:val="0"/>
          <w:sz w:val="24"/>
          <w:shd w:val="clear" w:color="auto" w:fill="FFFFFF"/>
        </w:rPr>
        <w:fldChar w:fldCharType="separate"/>
      </w:r>
      <w:r>
        <w:rPr>
          <w:rFonts w:hint="eastAsia" w:ascii="宋体" w:hAnsi="宋体" w:cs="宋体"/>
          <w:color w:val="333333"/>
          <w:kern w:val="0"/>
          <w:sz w:val="24"/>
          <w:shd w:val="clear" w:color="auto" w:fill="FFFFFF"/>
        </w:rPr>
        <w:t>号</w:t>
      </w:r>
      <w:r>
        <w:rPr>
          <w:rFonts w:hint="eastAsia" w:ascii="宋体" w:hAnsi="宋体" w:cs="宋体"/>
          <w:color w:val="333333"/>
          <w:kern w:val="0"/>
          <w:sz w:val="24"/>
          <w:shd w:val="clear" w:color="auto" w:fill="FFFFFF"/>
        </w:rPr>
        <w:fldChar w:fldCharType="end"/>
      </w:r>
      <w:r>
        <w:rPr>
          <w:rFonts w:hint="eastAsia" w:ascii="宋体" w:hAnsi="宋体" w:cs="宋体"/>
          <w:color w:val="333333"/>
          <w:kern w:val="0"/>
          <w:sz w:val="24"/>
          <w:shd w:val="clear" w:color="auto" w:fill="FFFFFF"/>
        </w:rPr>
        <w:t>公告发布，修订部分自2024年3月1日起施行）</w:t>
      </w:r>
    </w:p>
    <w:p>
      <w:pPr>
        <w:widowControl/>
        <w:shd w:val="clear" w:color="auto" w:fill="FFFFFF"/>
        <w:spacing w:after="50" w:line="105" w:lineRule="atLeast"/>
        <w:jc w:val="center"/>
        <w:rPr>
          <w:rFonts w:ascii="微软雅黑" w:hAnsi="微软雅黑" w:eastAsia="微软雅黑" w:cs="微软雅黑"/>
          <w:color w:val="333333"/>
          <w:sz w:val="7"/>
          <w:szCs w:val="7"/>
        </w:rPr>
      </w:pPr>
      <w:r>
        <w:rPr>
          <w:rFonts w:ascii="黑体" w:hAnsi="宋体" w:eastAsia="黑体" w:cs="黑体"/>
          <w:color w:val="000000"/>
          <w:kern w:val="0"/>
          <w:sz w:val="30"/>
          <w:szCs w:val="30"/>
          <w:shd w:val="clear" w:color="auto" w:fill="FFFFFF"/>
        </w:rPr>
        <w:t>第一章</w:t>
      </w:r>
      <w:r>
        <w:rPr>
          <w:rFonts w:hint="eastAsia" w:ascii="黑体" w:hAnsi="宋体" w:eastAsia="黑体" w:cs="黑体"/>
          <w:color w:val="000000"/>
          <w:kern w:val="0"/>
          <w:sz w:val="30"/>
          <w:szCs w:val="30"/>
          <w:shd w:val="clear" w:color="auto" w:fill="FFFFFF"/>
        </w:rPr>
        <w:t> 总 则</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第一条 </w:t>
      </w:r>
      <w:r>
        <w:rPr>
          <w:rFonts w:hint="eastAsia" w:ascii="宋体" w:hAnsi="宋体" w:cs="宋体"/>
          <w:color w:val="000000"/>
          <w:kern w:val="0"/>
          <w:sz w:val="28"/>
          <w:szCs w:val="28"/>
          <w:shd w:val="clear" w:color="auto" w:fill="FFFFFF"/>
        </w:rPr>
        <w:t>为了规范郑州商品交易所（以下简称交易所）普通小麦（以下简称普麦）期货相关业务，根据《郑州商品交易所交易规则》及普麦期货合约，制定本细则。</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第二条 </w:t>
      </w:r>
      <w:r>
        <w:rPr>
          <w:rFonts w:hint="eastAsia" w:ascii="宋体" w:hAnsi="宋体" w:cs="宋体"/>
          <w:color w:val="000000"/>
          <w:kern w:val="0"/>
          <w:sz w:val="28"/>
          <w:szCs w:val="28"/>
          <w:shd w:val="clear" w:color="auto" w:fill="FFFFFF"/>
        </w:rPr>
        <w:t>交易所、会员、客户、交割仓库（以下简称仓库）、车（船）板交割服务机构（以下简称交割服务机构）、指定质检机构及期货市场其他参与者应当遵守本细则。</w:t>
      </w:r>
    </w:p>
    <w:p>
      <w:pPr>
        <w:widowControl/>
        <w:shd w:val="clear" w:color="auto" w:fill="FFFFFF"/>
        <w:spacing w:after="50" w:line="150" w:lineRule="atLeast"/>
        <w:jc w:val="center"/>
        <w:rPr>
          <w:rFonts w:ascii="微软雅黑" w:hAnsi="微软雅黑" w:eastAsia="微软雅黑" w:cs="微软雅黑"/>
          <w:color w:val="333333"/>
          <w:sz w:val="7"/>
          <w:szCs w:val="7"/>
        </w:rPr>
      </w:pPr>
      <w:r>
        <w:rPr>
          <w:rFonts w:hint="eastAsia" w:ascii="黑体" w:hAnsi="宋体" w:eastAsia="黑体" w:cs="黑体"/>
          <w:color w:val="000000"/>
          <w:kern w:val="0"/>
          <w:sz w:val="30"/>
          <w:szCs w:val="30"/>
          <w:shd w:val="clear" w:color="auto" w:fill="FFFFFF"/>
        </w:rPr>
        <w:t>第二章 交易业务</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第三条 </w:t>
      </w:r>
      <w:r>
        <w:rPr>
          <w:rFonts w:hint="eastAsia" w:ascii="宋体" w:hAnsi="宋体" w:cs="宋体"/>
          <w:color w:val="000000"/>
          <w:kern w:val="0"/>
          <w:sz w:val="28"/>
          <w:szCs w:val="28"/>
          <w:shd w:val="clear" w:color="auto" w:fill="FFFFFF"/>
        </w:rPr>
        <w:t>普麦期货合约交易单位为50吨/手。</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第四条 </w:t>
      </w:r>
      <w:r>
        <w:rPr>
          <w:rFonts w:hint="eastAsia" w:ascii="宋体" w:hAnsi="宋体" w:cs="宋体"/>
          <w:color w:val="000000"/>
          <w:kern w:val="0"/>
          <w:sz w:val="28"/>
          <w:szCs w:val="28"/>
          <w:shd w:val="clear" w:color="auto" w:fill="FFFFFF"/>
        </w:rPr>
        <w:t>普麦期货合约报价单位为元（人民币）/吨。</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第五条 </w:t>
      </w:r>
      <w:r>
        <w:rPr>
          <w:rFonts w:hint="eastAsia" w:ascii="宋体" w:hAnsi="宋体" w:cs="宋体"/>
          <w:color w:val="000000"/>
          <w:kern w:val="0"/>
          <w:sz w:val="28"/>
          <w:szCs w:val="28"/>
          <w:shd w:val="clear" w:color="auto" w:fill="FFFFFF"/>
        </w:rPr>
        <w:t>普麦期货合约最小变动价位为1元/吨。</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第六条 </w:t>
      </w:r>
      <w:r>
        <w:rPr>
          <w:rFonts w:hint="eastAsia" w:ascii="宋体" w:hAnsi="宋体" w:cs="宋体"/>
          <w:color w:val="000000"/>
          <w:kern w:val="0"/>
          <w:sz w:val="28"/>
          <w:szCs w:val="28"/>
          <w:shd w:val="clear" w:color="auto" w:fill="FFFFFF"/>
        </w:rPr>
        <w:t>普麦</w:t>
      </w:r>
      <w:r>
        <w:rPr>
          <w:rFonts w:hint="eastAsia" w:ascii="宋体" w:hAnsi="宋体" w:cs="宋体"/>
          <w:color w:val="333333"/>
          <w:kern w:val="0"/>
          <w:sz w:val="28"/>
          <w:szCs w:val="28"/>
          <w:shd w:val="clear" w:color="auto" w:fill="FFFFFF"/>
        </w:rPr>
        <w:t>期货合约交割月份为1、3、5、7、9、11月。</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第七条 </w:t>
      </w:r>
      <w:r>
        <w:rPr>
          <w:rFonts w:hint="eastAsia" w:ascii="宋体" w:hAnsi="宋体" w:cs="宋体"/>
          <w:color w:val="333333"/>
          <w:kern w:val="0"/>
          <w:sz w:val="28"/>
          <w:szCs w:val="28"/>
          <w:shd w:val="clear" w:color="auto" w:fill="FFFFFF"/>
        </w:rPr>
        <w:t>普麦期货合约</w:t>
      </w:r>
      <w:r>
        <w:rPr>
          <w:rFonts w:hint="eastAsia" w:ascii="宋体" w:hAnsi="宋体" w:cs="宋体"/>
          <w:color w:val="000000"/>
          <w:kern w:val="0"/>
          <w:sz w:val="28"/>
          <w:szCs w:val="28"/>
          <w:shd w:val="clear" w:color="auto" w:fill="FFFFFF"/>
        </w:rPr>
        <w:t>交易指令</w:t>
      </w:r>
      <w:r>
        <w:rPr>
          <w:rFonts w:hint="eastAsia" w:ascii="宋体" w:hAnsi="宋体" w:cs="宋体"/>
          <w:color w:val="333333"/>
          <w:kern w:val="0"/>
          <w:sz w:val="28"/>
          <w:szCs w:val="28"/>
          <w:shd w:val="clear" w:color="auto" w:fill="FFFFFF"/>
        </w:rPr>
        <w:t>每次最小下单量为1手，限价指令每次最大下单量为</w:t>
      </w:r>
      <w:r>
        <w:rPr>
          <w:rFonts w:eastAsia="微软雅黑"/>
          <w:color w:val="333333"/>
          <w:kern w:val="0"/>
          <w:sz w:val="28"/>
          <w:szCs w:val="28"/>
          <w:shd w:val="clear" w:color="auto" w:fill="FFFFFF"/>
        </w:rPr>
        <w:t>1000</w:t>
      </w:r>
      <w:r>
        <w:rPr>
          <w:rFonts w:hint="eastAsia" w:ascii="宋体" w:hAnsi="宋体" w:cs="宋体"/>
          <w:color w:val="333333"/>
          <w:kern w:val="0"/>
          <w:sz w:val="28"/>
          <w:szCs w:val="28"/>
          <w:shd w:val="clear" w:color="auto" w:fill="FFFFFF"/>
        </w:rPr>
        <w:t>手，市价指令每次最大下单量为</w:t>
      </w:r>
      <w:r>
        <w:rPr>
          <w:rFonts w:eastAsia="微软雅黑"/>
          <w:color w:val="333333"/>
          <w:kern w:val="0"/>
          <w:sz w:val="28"/>
          <w:szCs w:val="28"/>
          <w:shd w:val="clear" w:color="auto" w:fill="FFFFFF"/>
        </w:rPr>
        <w:t>200</w:t>
      </w:r>
      <w:r>
        <w:rPr>
          <w:rFonts w:hint="eastAsia" w:ascii="宋体" w:hAnsi="宋体" w:cs="宋体"/>
          <w:color w:val="333333"/>
          <w:kern w:val="0"/>
          <w:sz w:val="28"/>
          <w:szCs w:val="28"/>
          <w:shd w:val="clear" w:color="auto" w:fill="FFFFFF"/>
        </w:rPr>
        <w:t>手。</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交易所可以根据市场情况，对普麦期货合约交易指令每次最小下单量、每次最大下单量进行调整，具体标准由交易所另行公布。</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第八条 </w:t>
      </w:r>
      <w:r>
        <w:rPr>
          <w:rFonts w:hint="eastAsia" w:ascii="宋体" w:hAnsi="宋体" w:cs="宋体"/>
          <w:color w:val="000000"/>
          <w:kern w:val="0"/>
          <w:sz w:val="28"/>
          <w:szCs w:val="28"/>
          <w:shd w:val="clear" w:color="auto" w:fill="FFFFFF"/>
        </w:rPr>
        <w:t>普麦期货合约交易时间为每周一至周五（法定节假日除外）上午9:00-11:30，下午1:30-3:00；其中，上午10:15-10:30为休息时间。</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000000"/>
          <w:kern w:val="0"/>
          <w:sz w:val="28"/>
          <w:szCs w:val="28"/>
          <w:shd w:val="clear" w:color="auto" w:fill="FFFFFF"/>
        </w:rPr>
        <w:t>交易所另行公告普麦期货合约开展夜盘交易的，以交易所公告为准。交易所可以根据市场情况，暂停、取消普麦期货合约夜盘交易或者对夜盘交易时间进行调整，具体由交易所另行公告。</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第九条 </w:t>
      </w:r>
      <w:r>
        <w:rPr>
          <w:rFonts w:hint="eastAsia" w:ascii="宋体" w:hAnsi="宋体" w:cs="宋体"/>
          <w:color w:val="333333"/>
          <w:kern w:val="0"/>
          <w:sz w:val="28"/>
          <w:szCs w:val="28"/>
          <w:shd w:val="clear" w:color="auto" w:fill="FFFFFF"/>
        </w:rPr>
        <w:t>普麦期货合约最后交易日为合约交割月份的第10个交易日。</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第十条 </w:t>
      </w:r>
      <w:r>
        <w:rPr>
          <w:rFonts w:hint="eastAsia" w:ascii="宋体" w:hAnsi="宋体" w:cs="宋体"/>
          <w:color w:val="000000"/>
          <w:kern w:val="0"/>
          <w:sz w:val="28"/>
          <w:szCs w:val="28"/>
          <w:shd w:val="clear" w:color="auto" w:fill="FFFFFF"/>
        </w:rPr>
        <w:t>普麦期货合约交易代码为PM。</w:t>
      </w:r>
    </w:p>
    <w:p>
      <w:pPr>
        <w:widowControl/>
        <w:shd w:val="clear" w:color="auto" w:fill="FFFFFF"/>
        <w:spacing w:after="50" w:line="150" w:lineRule="atLeast"/>
        <w:jc w:val="center"/>
        <w:rPr>
          <w:rFonts w:ascii="微软雅黑" w:hAnsi="微软雅黑" w:eastAsia="微软雅黑" w:cs="微软雅黑"/>
          <w:color w:val="333333"/>
          <w:sz w:val="7"/>
          <w:szCs w:val="7"/>
        </w:rPr>
      </w:pPr>
      <w:r>
        <w:rPr>
          <w:rFonts w:hint="eastAsia" w:ascii="黑体" w:hAnsi="宋体" w:eastAsia="黑体" w:cs="黑体"/>
          <w:color w:val="000000"/>
          <w:kern w:val="0"/>
          <w:sz w:val="30"/>
          <w:szCs w:val="30"/>
          <w:shd w:val="clear" w:color="auto" w:fill="FFFFFF"/>
        </w:rPr>
        <w:t>第三章 交割业务</w:t>
      </w:r>
    </w:p>
    <w:p>
      <w:pPr>
        <w:widowControl/>
        <w:shd w:val="clear" w:color="auto" w:fill="FFFFFF"/>
        <w:spacing w:after="50" w:line="150" w:lineRule="atLeast"/>
        <w:jc w:val="center"/>
        <w:rPr>
          <w:rFonts w:ascii="微软雅黑" w:hAnsi="微软雅黑" w:eastAsia="微软雅黑" w:cs="微软雅黑"/>
          <w:color w:val="333333"/>
          <w:sz w:val="7"/>
          <w:szCs w:val="7"/>
        </w:rPr>
      </w:pPr>
      <w:r>
        <w:rPr>
          <w:rFonts w:hint="eastAsia" w:ascii="宋体" w:hAnsi="宋体" w:cs="宋体"/>
          <w:b/>
          <w:bCs/>
          <w:color w:val="333333"/>
          <w:kern w:val="0"/>
          <w:sz w:val="28"/>
          <w:szCs w:val="28"/>
          <w:shd w:val="clear" w:color="auto" w:fill="FFFFFF"/>
        </w:rPr>
        <w:t>第一节 一般规定</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第十一条 </w:t>
      </w:r>
      <w:r>
        <w:rPr>
          <w:rFonts w:hint="eastAsia" w:ascii="宋体" w:hAnsi="宋体" w:cs="宋体"/>
          <w:color w:val="000000"/>
          <w:kern w:val="0"/>
          <w:sz w:val="28"/>
          <w:szCs w:val="28"/>
          <w:shd w:val="clear" w:color="auto" w:fill="FFFFFF"/>
        </w:rPr>
        <w:t>普麦期货适用期货转现货、仓库标准仓单交割和车（船）板交割。</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普麦期货滚动交割的配对方式为响应配对。</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000000"/>
          <w:kern w:val="0"/>
          <w:sz w:val="28"/>
          <w:szCs w:val="28"/>
          <w:shd w:val="clear" w:color="auto" w:fill="FFFFFF"/>
        </w:rPr>
        <w:t>普麦买卖双方参与集中交割的，卖方应当在第一交割日闭市前，公布用于交割的标准仓单数量及车（船）板交割货物信息。未主动公布的，交易所于当日闭市后公布卖方所有可流通标准仓单。卖方未公布车（船）板交割货物信息的，交易所按标准仓单交割对待。</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000000"/>
          <w:kern w:val="0"/>
          <w:sz w:val="28"/>
          <w:szCs w:val="28"/>
          <w:shd w:val="clear" w:color="auto" w:fill="FFFFFF"/>
        </w:rPr>
        <w:t>具体交割流程按照《郑州商品交易所期货交割管理办法》及本细则相关规定执行。</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第十二条 </w:t>
      </w:r>
      <w:r>
        <w:rPr>
          <w:rFonts w:hint="eastAsia" w:ascii="宋体" w:hAnsi="宋体" w:cs="宋体"/>
          <w:color w:val="000000"/>
          <w:kern w:val="0"/>
          <w:sz w:val="28"/>
          <w:szCs w:val="28"/>
          <w:shd w:val="clear" w:color="auto" w:fill="FFFFFF"/>
        </w:rPr>
        <w:t>普麦期货的交割单位为50吨</w:t>
      </w:r>
      <w:r>
        <w:rPr>
          <w:rFonts w:hint="eastAsia" w:ascii="宋体" w:hAnsi="宋体" w:cs="宋体"/>
          <w:color w:val="333333"/>
          <w:kern w:val="0"/>
          <w:sz w:val="28"/>
          <w:szCs w:val="28"/>
          <w:shd w:val="clear" w:color="auto" w:fill="FFFFFF"/>
        </w:rPr>
        <w:t>。</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第十三条 </w:t>
      </w:r>
      <w:r>
        <w:rPr>
          <w:rFonts w:hint="eastAsia" w:ascii="宋体" w:hAnsi="宋体" w:cs="宋体"/>
          <w:color w:val="000000"/>
          <w:kern w:val="0"/>
          <w:sz w:val="28"/>
          <w:szCs w:val="28"/>
          <w:shd w:val="clear" w:color="auto" w:fill="FFFFFF"/>
        </w:rPr>
        <w:t>普麦期货标准仓单交割的最后交割日为合约交割月份的第13个交易日；车（船）板交割的最后交割日为合约交割月份的次月20日。</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第十四条 </w:t>
      </w:r>
      <w:r>
        <w:rPr>
          <w:rFonts w:hint="eastAsia" w:ascii="宋体" w:hAnsi="宋体" w:cs="宋体"/>
          <w:color w:val="000000"/>
          <w:kern w:val="0"/>
          <w:sz w:val="28"/>
          <w:szCs w:val="28"/>
          <w:shd w:val="clear" w:color="auto" w:fill="FFFFFF"/>
        </w:rPr>
        <w:t>普麦期货标准仓单为仓库标准仓单。</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000000"/>
          <w:kern w:val="0"/>
          <w:sz w:val="28"/>
          <w:szCs w:val="28"/>
          <w:shd w:val="clear" w:color="auto" w:fill="FFFFFF"/>
        </w:rPr>
        <w:t>普麦期货标准仓单为通用标准仓单。</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第十五条 </w:t>
      </w:r>
      <w:r>
        <w:rPr>
          <w:rFonts w:hint="eastAsia" w:ascii="宋体" w:hAnsi="宋体" w:cs="宋体"/>
          <w:color w:val="000000"/>
          <w:kern w:val="0"/>
          <w:sz w:val="28"/>
          <w:szCs w:val="28"/>
          <w:shd w:val="clear" w:color="auto" w:fill="FFFFFF"/>
        </w:rPr>
        <w:t>普麦期货标准仓单有效期为每年9月的最后一个工作日。</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第十六条 </w:t>
      </w:r>
      <w:r>
        <w:rPr>
          <w:rFonts w:hint="eastAsia" w:ascii="宋体" w:hAnsi="宋体" w:cs="宋体"/>
          <w:color w:val="000000"/>
          <w:kern w:val="0"/>
          <w:sz w:val="28"/>
          <w:szCs w:val="28"/>
          <w:shd w:val="clear" w:color="auto" w:fill="FFFFFF"/>
        </w:rPr>
        <w:t>普麦期货交割开具增值税专用发票。</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第十七条 </w:t>
      </w:r>
      <w:r>
        <w:rPr>
          <w:rFonts w:hint="eastAsia" w:ascii="宋体" w:hAnsi="宋体" w:cs="宋体"/>
          <w:color w:val="333333"/>
          <w:kern w:val="0"/>
          <w:sz w:val="28"/>
          <w:szCs w:val="28"/>
          <w:shd w:val="clear" w:color="auto" w:fill="FFFFFF"/>
        </w:rPr>
        <w:t>普麦期货仓库、交割服务机构及相关升贴水由交易所确定并公布，交易所可以视情况对普麦期货仓库、交割服务机构及相关升贴水进行调整。</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第十八条 </w:t>
      </w:r>
      <w:r>
        <w:rPr>
          <w:rFonts w:hint="eastAsia" w:ascii="宋体" w:hAnsi="宋体" w:cs="宋体"/>
          <w:color w:val="000000"/>
          <w:kern w:val="0"/>
          <w:sz w:val="28"/>
          <w:szCs w:val="28"/>
          <w:shd w:val="clear" w:color="auto" w:fill="FFFFFF"/>
        </w:rPr>
        <w:t>普麦期货标准仓单的替代交割品升贴水、仓库升贴水在标准仓单注册、注销时划转，相应的增值税专用发票由标准仓单注册人向标准仓单注销人开具，仓库负责监督。仓库按照增值税适用税率收取押金，增值税专用发票开具后押金应予退还。</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第十九条 </w:t>
      </w:r>
      <w:r>
        <w:rPr>
          <w:rFonts w:hint="eastAsia" w:ascii="宋体" w:hAnsi="宋体" w:cs="宋体"/>
          <w:color w:val="000000"/>
          <w:kern w:val="0"/>
          <w:sz w:val="28"/>
          <w:szCs w:val="28"/>
          <w:shd w:val="clear" w:color="auto" w:fill="FFFFFF"/>
        </w:rPr>
        <w:t>普麦期货的</w:t>
      </w:r>
      <w:r>
        <w:rPr>
          <w:rFonts w:hint="eastAsia" w:ascii="宋体" w:hAnsi="宋体" w:cs="宋体"/>
          <w:color w:val="333333"/>
          <w:kern w:val="0"/>
          <w:sz w:val="28"/>
          <w:szCs w:val="28"/>
          <w:shd w:val="clear" w:color="auto" w:fill="FFFFFF"/>
        </w:rPr>
        <w:t>交割基准价为基准交割品在基准交割计价点或者基准仓库买方的汽车或者轮船板交货的含税价格（不含包装）。</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第二十条 </w:t>
      </w:r>
      <w:r>
        <w:rPr>
          <w:rFonts w:hint="eastAsia" w:ascii="宋体" w:hAnsi="宋体" w:cs="宋体"/>
          <w:color w:val="333333"/>
          <w:kern w:val="0"/>
          <w:sz w:val="28"/>
          <w:szCs w:val="28"/>
          <w:shd w:val="clear" w:color="auto" w:fill="FFFFFF"/>
        </w:rPr>
        <w:t>普麦期货标准仓单对应货物运达仓库指定货位前的一切费用和货物装到汽车或者轮船板的出库费用由标准仓单注册人承担，货物出库装到汽车或者轮船板后的一切费用由提货人承担。</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普麦期货车（船）板交割中，货物自交割计价点或者双方协商的其它交割地点装至车（船）板之前的一切费用（不含包装）由卖方客户承担，之后的一切费用由买方客户承担。双方协商买方自行提货或卖方送货的，可以根据距离交割计价点的远近协商各自承担的运费。</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普麦期货交割手续费、仓储费、出入库费、检验费等交割相关费用标准由交易所另行公布。</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第二十一条 </w:t>
      </w:r>
      <w:r>
        <w:rPr>
          <w:rFonts w:hint="eastAsia" w:ascii="宋体" w:hAnsi="宋体" w:cs="宋体"/>
          <w:color w:val="333333"/>
          <w:kern w:val="0"/>
          <w:sz w:val="28"/>
          <w:szCs w:val="28"/>
          <w:shd w:val="clear" w:color="auto" w:fill="FFFFFF"/>
        </w:rPr>
        <w:t>普麦</w:t>
      </w:r>
      <w:r>
        <w:rPr>
          <w:rFonts w:hint="eastAsia" w:ascii="宋体" w:hAnsi="宋体" w:cs="宋体"/>
          <w:color w:val="000000"/>
          <w:kern w:val="0"/>
          <w:sz w:val="28"/>
          <w:szCs w:val="28"/>
          <w:shd w:val="clear" w:color="auto" w:fill="FFFFFF"/>
        </w:rPr>
        <w:t>接收、储存、发运采用散粮方式。买方需要包装物的，包装物由买方自理或者委托他人代办，包装物及包装费用由买方自行支付。</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第二十二条 </w:t>
      </w:r>
      <w:r>
        <w:rPr>
          <w:rFonts w:hint="eastAsia" w:ascii="宋体" w:hAnsi="宋体" w:cs="宋体"/>
          <w:color w:val="333333"/>
          <w:kern w:val="0"/>
          <w:sz w:val="28"/>
          <w:szCs w:val="28"/>
          <w:shd w:val="clear" w:color="auto" w:fill="FFFFFF"/>
        </w:rPr>
        <w:t>普麦期货标准仓单生成、流通、注销等相关业务，本细则未规定的，适用《郑州商品交易所标准仓单管理办法》相关规定。</w:t>
      </w:r>
    </w:p>
    <w:p>
      <w:pPr>
        <w:widowControl/>
        <w:shd w:val="clear" w:color="auto" w:fill="FFFFFF"/>
        <w:spacing w:after="50" w:line="150" w:lineRule="atLeast"/>
        <w:jc w:val="center"/>
        <w:rPr>
          <w:rFonts w:ascii="微软雅黑" w:hAnsi="微软雅黑" w:eastAsia="微软雅黑" w:cs="微软雅黑"/>
          <w:color w:val="333333"/>
          <w:sz w:val="7"/>
          <w:szCs w:val="7"/>
        </w:rPr>
      </w:pPr>
      <w:r>
        <w:rPr>
          <w:rFonts w:hint="eastAsia" w:ascii="宋体" w:hAnsi="宋体" w:cs="宋体"/>
          <w:b/>
          <w:bCs/>
          <w:color w:val="000000"/>
          <w:kern w:val="0"/>
          <w:sz w:val="28"/>
          <w:szCs w:val="28"/>
          <w:shd w:val="clear" w:color="auto" w:fill="FFFFFF"/>
        </w:rPr>
        <w:t>第二节 交割标准</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第二十三条 </w:t>
      </w:r>
      <w:r>
        <w:rPr>
          <w:rFonts w:hint="eastAsia" w:ascii="宋体" w:hAnsi="宋体" w:cs="宋体"/>
          <w:color w:val="000000"/>
          <w:kern w:val="0"/>
          <w:sz w:val="28"/>
          <w:szCs w:val="28"/>
          <w:shd w:val="clear" w:color="auto" w:fill="FFFFFF"/>
        </w:rPr>
        <w:t>普麦期货交割适用国家标准、国家相关规定及本细则规定。</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第二十四条 </w:t>
      </w:r>
      <w:r>
        <w:rPr>
          <w:rFonts w:hint="eastAsia" w:ascii="宋体" w:hAnsi="宋体" w:cs="宋体"/>
          <w:color w:val="333333"/>
          <w:kern w:val="0"/>
          <w:sz w:val="28"/>
          <w:szCs w:val="28"/>
          <w:shd w:val="clear" w:color="auto" w:fill="FFFFFF"/>
        </w:rPr>
        <w:t>基准交割品：符合《中华人民共和国国家标准 小麦》（GB 1351-2008）的三等及以上小麦，且不完善粒中生芽粒≤2.0%、霉变粒≤2.0%。</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第二十五条 </w:t>
      </w:r>
      <w:r>
        <w:rPr>
          <w:rFonts w:hint="eastAsia" w:ascii="宋体" w:hAnsi="宋体" w:cs="宋体"/>
          <w:color w:val="000000"/>
          <w:kern w:val="0"/>
          <w:sz w:val="28"/>
          <w:szCs w:val="28"/>
          <w:shd w:val="clear" w:color="auto" w:fill="FFFFFF"/>
        </w:rPr>
        <w:t>替代交割品及升贴水：</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一）入库时：水分≤12.5%的，足量入库；12.5%＜水分≤13.5%的，以12.5%为基准，水分每超0.5%，扣量1.0%；不足0.5%的，不扣量。标准仓单出库时：水分≤12.5%的，足量出库；12.5％＜水分≤13.5%的，水分每超0.5%，补量1.0％；不足0.5%的，不补量。车（船）板交货时按照出库规定办理。</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（二）1.0%＜杂质≤1.5%的，以1.0%为基准，杂质每超0.5%，入库时扣量1.0%，出库时补量1.0%；不足0.5%的，入库时不扣量，出库时不补量。车（船）板交货时按照出库规定办理。</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（三）8.0%＜不完善粒≤12.0%的，以8.0%为基准，不完善粒每超1.0%，入库时扣量1.0%，出库时补量1.0%。车（船）板交货时按照出库规定办理。</w:t>
      </w:r>
    </w:p>
    <w:p>
      <w:pPr>
        <w:widowControl/>
        <w:shd w:val="clear" w:color="auto" w:fill="FFFFFF"/>
        <w:spacing w:after="50" w:line="150" w:lineRule="atLeast"/>
        <w:jc w:val="center"/>
        <w:rPr>
          <w:rFonts w:ascii="微软雅黑" w:hAnsi="微软雅黑" w:eastAsia="微软雅黑" w:cs="微软雅黑"/>
          <w:color w:val="333333"/>
          <w:sz w:val="7"/>
          <w:szCs w:val="7"/>
        </w:rPr>
      </w:pPr>
      <w:r>
        <w:rPr>
          <w:rFonts w:hint="eastAsia" w:ascii="宋体" w:hAnsi="宋体" w:cs="宋体"/>
          <w:b/>
          <w:bCs/>
          <w:color w:val="000000"/>
          <w:kern w:val="0"/>
          <w:sz w:val="28"/>
          <w:szCs w:val="28"/>
          <w:shd w:val="clear" w:color="auto" w:fill="FFFFFF"/>
        </w:rPr>
        <w:t>第三节 仓库标准仓单交割</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第二十六条 </w:t>
      </w:r>
      <w:r>
        <w:rPr>
          <w:rFonts w:hint="eastAsia" w:ascii="宋体" w:hAnsi="宋体" w:cs="宋体"/>
          <w:color w:val="333333"/>
          <w:kern w:val="0"/>
          <w:sz w:val="28"/>
          <w:szCs w:val="28"/>
          <w:shd w:val="clear" w:color="auto" w:fill="FFFFFF"/>
        </w:rPr>
        <w:t>普麦期货交割预报时，应当按30元/吨向仓库交纳交割预报定金。</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第二十七条 </w:t>
      </w:r>
      <w:r>
        <w:rPr>
          <w:rFonts w:hint="eastAsia" w:ascii="宋体" w:hAnsi="宋体" w:cs="宋体"/>
          <w:color w:val="000000"/>
          <w:kern w:val="0"/>
          <w:sz w:val="28"/>
          <w:szCs w:val="28"/>
          <w:shd w:val="clear" w:color="auto" w:fill="FFFFFF"/>
        </w:rPr>
        <w:t>普麦</w:t>
      </w:r>
      <w:r>
        <w:rPr>
          <w:rFonts w:hint="eastAsia" w:ascii="宋体" w:hAnsi="宋体" w:cs="宋体"/>
          <w:color w:val="333333"/>
          <w:kern w:val="0"/>
          <w:sz w:val="28"/>
          <w:szCs w:val="28"/>
          <w:shd w:val="clear" w:color="auto" w:fill="FFFFFF"/>
        </w:rPr>
        <w:t>仓库开具的《入库通知单》有效期为</w:t>
      </w:r>
      <w:r>
        <w:rPr>
          <w:color w:val="333333"/>
          <w:kern w:val="0"/>
          <w:sz w:val="28"/>
          <w:szCs w:val="28"/>
          <w:shd w:val="clear" w:color="auto" w:fill="FFFFFF"/>
        </w:rPr>
        <w:t>40</w:t>
      </w:r>
      <w:r>
        <w:rPr>
          <w:rFonts w:hint="eastAsia" w:ascii="宋体" w:hAnsi="宋体" w:cs="宋体"/>
          <w:color w:val="333333"/>
          <w:kern w:val="0"/>
          <w:sz w:val="28"/>
          <w:szCs w:val="28"/>
          <w:shd w:val="clear" w:color="auto" w:fill="FFFFFF"/>
        </w:rPr>
        <w:t>个日历日。</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第二十八条 </w:t>
      </w:r>
      <w:r>
        <w:rPr>
          <w:rFonts w:hint="eastAsia" w:ascii="宋体" w:hAnsi="宋体" w:cs="宋体"/>
          <w:color w:val="333333"/>
          <w:kern w:val="0"/>
          <w:sz w:val="28"/>
          <w:szCs w:val="28"/>
          <w:shd w:val="clear" w:color="auto" w:fill="FFFFFF"/>
        </w:rPr>
        <w:t>普麦入库时，仓库对入库商品进行重量验收。普麦重量验收采用仓库内整车过地磅的方式进行。</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第二十九条 </w:t>
      </w:r>
      <w:r>
        <w:rPr>
          <w:rFonts w:hint="eastAsia" w:ascii="宋体" w:hAnsi="宋体" w:cs="宋体"/>
          <w:color w:val="333333"/>
          <w:kern w:val="0"/>
          <w:sz w:val="28"/>
          <w:szCs w:val="28"/>
          <w:shd w:val="clear" w:color="auto" w:fill="FFFFFF"/>
        </w:rPr>
        <w:t>普麦入库质量检验由仓库组织实施。入库检验样品由仓库在卸车前抽取，检验结果不符合交割质量标准的不允许注册标准仓单。入库过程中发现不符合交割质量标准的部分不允许注册标准仓单。</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标准仓单注册人对入库质量检验结果有异议的，可以向交易所提出复检申请。具体流程按照《郑州商品交易所标准仓单管理办法》“仓库商品入库复检”有关规定办理。</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第三十条 </w:t>
      </w:r>
      <w:r>
        <w:rPr>
          <w:rFonts w:hint="eastAsia" w:ascii="宋体" w:hAnsi="宋体" w:cs="宋体"/>
          <w:color w:val="333333"/>
          <w:kern w:val="0"/>
          <w:sz w:val="28"/>
          <w:szCs w:val="28"/>
          <w:shd w:val="clear" w:color="auto" w:fill="FFFFFF"/>
        </w:rPr>
        <w:t>普麦重量验收及入库采样时，标准仓单注册人应当到场监督。仓库和标准仓单注册人应当对验收结果签章确认，并共同对入库商品的真实性负责；入库商品未经仓库、标准仓单注册人签章确认的，不得用于期货交割。</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普麦入库后，仓库应当对标准仓单注册人的名称、联系人及联系方式、商品数量、存放库房及垛位等事项登记造册，并由标准仓单注册人签字确认。</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第三十一条 </w:t>
      </w:r>
      <w:r>
        <w:rPr>
          <w:rFonts w:hint="eastAsia" w:ascii="宋体" w:hAnsi="宋体" w:cs="宋体"/>
          <w:color w:val="333333"/>
          <w:kern w:val="0"/>
          <w:sz w:val="28"/>
          <w:szCs w:val="28"/>
          <w:shd w:val="clear" w:color="auto" w:fill="FFFFFF"/>
        </w:rPr>
        <w:t>普麦仓库标准仓单注销后，提货人应当在交易所开具《提货通知单》之日起10个工作日内，凭提货人身份证、提货人所在单位证明及《提货通知单》验证密码到仓库办理提货手续，确认商品质量、运输方式，并预交各项费用。</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提货人提供运输工具的，自提货人凭《提货通知单》与仓库联系出库事宜、运输工具到达仓库之日起，仓库开始发货，并停止收取已装运货物的仓储费。</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由于提货人变更发货方式或者发货时间、提货手续不全、费用未按时交纳、特殊要求等原因，致使商品装运推迟的，仓库发货时间不受前款规定限制。</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第三十二条 </w:t>
      </w:r>
      <w:r>
        <w:rPr>
          <w:rFonts w:hint="eastAsia" w:ascii="宋体" w:hAnsi="宋体" w:cs="宋体"/>
          <w:color w:val="333333"/>
          <w:kern w:val="0"/>
          <w:sz w:val="28"/>
          <w:szCs w:val="28"/>
          <w:shd w:val="clear" w:color="auto" w:fill="FFFFFF"/>
        </w:rPr>
        <w:t>普麦出库重量验收由仓库和提货人共同实施，具体办法参照入库重量验收规定。</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普麦出库时数量发生损耗造成短少的，仓库按照实际出库数量补足；不能补足的，仓库应当按照《提货通知单》开具日之前（含该日）普麦期货最近交割月最高交割结算价核算短少商品价款，赔偿提货人。</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第三十三条 </w:t>
      </w:r>
      <w:r>
        <w:rPr>
          <w:rFonts w:hint="eastAsia" w:ascii="宋体" w:hAnsi="宋体" w:cs="宋体"/>
          <w:color w:val="333333"/>
          <w:kern w:val="0"/>
          <w:sz w:val="28"/>
          <w:szCs w:val="28"/>
          <w:shd w:val="clear" w:color="auto" w:fill="FFFFFF"/>
        </w:rPr>
        <w:t>普麦出库时，提货人对商品质量有异议的，可以向交易所申请一次复检，并预交复检费用。</w:t>
      </w:r>
      <w:r>
        <w:rPr>
          <w:rFonts w:hint="eastAsia" w:ascii="宋体" w:hAnsi="宋体" w:cs="宋体"/>
          <w:color w:val="000000"/>
          <w:kern w:val="0"/>
          <w:sz w:val="28"/>
          <w:szCs w:val="28"/>
          <w:shd w:val="clear" w:color="auto" w:fill="FFFFFF"/>
        </w:rPr>
        <w:t>质量异议应当在</w:t>
      </w:r>
      <w:r>
        <w:rPr>
          <w:rFonts w:hint="eastAsia" w:ascii="宋体" w:hAnsi="宋体" w:cs="宋体"/>
          <w:color w:val="333333"/>
          <w:kern w:val="0"/>
          <w:sz w:val="28"/>
          <w:szCs w:val="28"/>
          <w:shd w:val="clear" w:color="auto" w:fill="FFFFFF"/>
        </w:rPr>
        <w:t>《提货通知单》开具之日起10个工作日内</w:t>
      </w:r>
      <w:r>
        <w:rPr>
          <w:rFonts w:hint="eastAsia" w:ascii="宋体" w:hAnsi="宋体" w:cs="宋体"/>
          <w:color w:val="000000"/>
          <w:kern w:val="0"/>
          <w:sz w:val="28"/>
          <w:szCs w:val="28"/>
          <w:shd w:val="clear" w:color="auto" w:fill="FFFFFF"/>
        </w:rPr>
        <w:t>提出。</w:t>
      </w:r>
      <w:r>
        <w:rPr>
          <w:rFonts w:hint="eastAsia" w:ascii="宋体" w:hAnsi="宋体" w:cs="宋体"/>
          <w:color w:val="333333"/>
          <w:kern w:val="0"/>
          <w:sz w:val="28"/>
          <w:szCs w:val="28"/>
          <w:shd w:val="clear" w:color="auto" w:fill="FFFFFF"/>
        </w:rPr>
        <w:t>具体流程按照《郑州商品交易所标准仓单管理办法》“仓库商品出库复检”有关规定办理。</w:t>
      </w:r>
    </w:p>
    <w:p>
      <w:pPr>
        <w:widowControl/>
        <w:shd w:val="clear" w:color="auto" w:fill="FFFFFF"/>
        <w:spacing w:after="50" w:line="150" w:lineRule="atLeast"/>
        <w:jc w:val="center"/>
        <w:rPr>
          <w:rFonts w:ascii="微软雅黑" w:hAnsi="微软雅黑" w:eastAsia="微软雅黑" w:cs="微软雅黑"/>
          <w:color w:val="333333"/>
          <w:sz w:val="7"/>
          <w:szCs w:val="7"/>
        </w:rPr>
      </w:pPr>
      <w:r>
        <w:rPr>
          <w:rFonts w:hint="eastAsia" w:ascii="宋体" w:hAnsi="宋体" w:cs="宋体"/>
          <w:b/>
          <w:bCs/>
          <w:color w:val="333333"/>
          <w:kern w:val="0"/>
          <w:sz w:val="28"/>
          <w:szCs w:val="28"/>
          <w:shd w:val="clear" w:color="auto" w:fill="FFFFFF"/>
        </w:rPr>
        <w:t>第四节 车（船）板交割</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第三十四条 </w:t>
      </w:r>
      <w:r>
        <w:rPr>
          <w:rFonts w:hint="eastAsia" w:ascii="宋体" w:hAnsi="宋体" w:cs="宋体"/>
          <w:color w:val="333333"/>
          <w:kern w:val="0"/>
          <w:sz w:val="28"/>
          <w:szCs w:val="28"/>
          <w:shd w:val="clear" w:color="auto" w:fill="FFFFFF"/>
        </w:rPr>
        <w:t>普麦车（船）板卖方提出交割申请时，应当同时提交相应的拟交割货物信息，包括：品种、等级、数量、生产年度、交割计价点、货物存放地点等。</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第三十五条 </w:t>
      </w:r>
      <w:r>
        <w:rPr>
          <w:rFonts w:hint="eastAsia" w:ascii="宋体" w:hAnsi="宋体" w:cs="宋体"/>
          <w:color w:val="333333"/>
          <w:kern w:val="0"/>
          <w:sz w:val="28"/>
          <w:szCs w:val="28"/>
          <w:shd w:val="clear" w:color="auto" w:fill="FFFFFF"/>
        </w:rPr>
        <w:t>自第三交割日起（含该日）3个交易日内，普麦买卖双方就车（船）板交割事宜进行协商，确定结算方式、交货地点、交货方式、交货时间等，签订《车（船）板交割协议书》。</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第三交割日起（含该日）第3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交割违约处理”的相关规定处理。</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第三十六条 </w:t>
      </w:r>
      <w:r>
        <w:rPr>
          <w:rFonts w:hint="eastAsia" w:ascii="宋体" w:hAnsi="宋体" w:cs="宋体"/>
          <w:color w:val="333333"/>
          <w:kern w:val="0"/>
          <w:sz w:val="28"/>
          <w:szCs w:val="28"/>
          <w:shd w:val="clear" w:color="auto" w:fill="FFFFFF"/>
        </w:rPr>
        <w:t>普麦期货买方有权选择在卖方货物所在地或者交割计价点交割。买卖双方达成协议的，可以按照协议里约定的地点进行交割；未达成协议的，买方可以在《车（船）板交货事项确认单》中选择交割计价点进行交割，卖方应当按买方的要求交付货物。</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第三十七条 </w:t>
      </w:r>
      <w:r>
        <w:rPr>
          <w:rFonts w:hint="eastAsia" w:ascii="宋体" w:hAnsi="宋体" w:cs="宋体"/>
          <w:color w:val="333333"/>
          <w:kern w:val="0"/>
          <w:sz w:val="28"/>
          <w:szCs w:val="28"/>
          <w:shd w:val="clear" w:color="auto" w:fill="FFFFFF"/>
        </w:rPr>
        <w:t>普麦</w:t>
      </w:r>
      <w:r>
        <w:rPr>
          <w:rFonts w:hint="eastAsia" w:ascii="宋体" w:hAnsi="宋体" w:cs="宋体"/>
          <w:color w:val="000000"/>
          <w:kern w:val="0"/>
          <w:sz w:val="28"/>
          <w:szCs w:val="28"/>
          <w:shd w:val="clear" w:color="auto" w:fill="FFFFFF"/>
        </w:rPr>
        <w:t>在交割计价点交割的，买卖双方应当在互相确认《车（船）板交货事项确认单》后3个工作日内与交割计价点交割服务机构联系，签订交割中转协议，安排交割事宜。</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000000"/>
          <w:kern w:val="0"/>
          <w:sz w:val="28"/>
          <w:szCs w:val="28"/>
          <w:shd w:val="clear" w:color="auto" w:fill="FFFFFF"/>
        </w:rPr>
        <w:t>买卖双方应当自达成中转协议之日起（含该日）3个日历日内开始交收货物。卖方应当按照约定的时间及发货速度将货物运达交割服务机构；买方应当在货物运达后24小时内完成货物质量检验，并在质量验收确认后24小时内装车发运。交割数量较大的，卖方可以分批发货；买方可以相应分批检验、接运货物。卖方日发货速度不得低于300吨/日，双方另有约定的除外。买方在规定时间内因自身原因不能装车发运的，卖方不再对该批货物承担质量责任。</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000000"/>
          <w:kern w:val="0"/>
          <w:sz w:val="28"/>
          <w:szCs w:val="28"/>
          <w:shd w:val="clear" w:color="auto" w:fill="FFFFFF"/>
        </w:rPr>
        <w:t>卖方承担普麦在交割计价点交割的中转费用；在交割过程中发生临时存储的，卖方承担临时存储期间的仓储费用。</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第三十八条 </w:t>
      </w:r>
      <w:r>
        <w:rPr>
          <w:rFonts w:hint="eastAsia" w:ascii="宋体" w:hAnsi="宋体" w:cs="宋体"/>
          <w:color w:val="333333"/>
          <w:kern w:val="0"/>
          <w:sz w:val="28"/>
          <w:szCs w:val="28"/>
          <w:shd w:val="clear" w:color="auto" w:fill="FFFFFF"/>
        </w:rPr>
        <w:t>普麦在卖方货物所在地交割的，买卖双方可以对已经检验的交割货物采取加锁、贴封条等双方认可的方式进行封仓或者封货。卖方在保管过程中需要开仓通风、倒垛的，买方应当在接到卖方通知后24小时内到达卖方货仓进行配合。卖方对于未发运货物负有保管责任，因保管不善造成货物受潮、霉变的，买方有权要求对未发运货物重新扦样、检验，卖方不得拒绝。</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第三十九条 </w:t>
      </w:r>
      <w:r>
        <w:rPr>
          <w:rFonts w:hint="eastAsia" w:ascii="宋体" w:hAnsi="宋体" w:cs="宋体"/>
          <w:color w:val="333333"/>
          <w:kern w:val="0"/>
          <w:sz w:val="28"/>
          <w:szCs w:val="28"/>
          <w:shd w:val="clear" w:color="auto" w:fill="FFFFFF"/>
        </w:rPr>
        <w:t>卖方货物所在地的货物存放机构应当具备以下条件：</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（一）交通便利，核定载重30吨货车能够顺畅通行；</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（二）计量设施完好，计量衡器应当经具有国家认可资质的技术监督部门鉴定合格，且在鉴定的有效期内，计量衡器最大称重不低于60吨；</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（三）装运能力强，发货速度不低于300吨/日，双方另有约定的除外；</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（四）具备开展期货交割质量检验的检化验设备，检化验设备符合国标检验规定，且运行良好。</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卖方货物存放机构不具备以上条件的，卖方承担由此产生的相应责任。</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第四十条 </w:t>
      </w:r>
      <w:r>
        <w:rPr>
          <w:rFonts w:hint="eastAsia" w:ascii="宋体" w:hAnsi="宋体" w:cs="宋体"/>
          <w:color w:val="333333"/>
          <w:kern w:val="0"/>
          <w:sz w:val="28"/>
          <w:szCs w:val="28"/>
          <w:shd w:val="clear" w:color="auto" w:fill="FFFFFF"/>
        </w:rPr>
        <w:t>普麦</w:t>
      </w:r>
      <w:r>
        <w:rPr>
          <w:rFonts w:hint="eastAsia" w:ascii="宋体" w:hAnsi="宋体" w:cs="宋体"/>
          <w:color w:val="000000"/>
          <w:kern w:val="0"/>
          <w:sz w:val="28"/>
          <w:szCs w:val="28"/>
          <w:shd w:val="clear" w:color="auto" w:fill="FFFFFF"/>
        </w:rPr>
        <w:t>买方应当在装车发运前到场查验货物质量，卖方应当予以配合。买卖双方按照国家相关标准共同扦取样品，样品就地分为两份，任选一份现场或者到双方认可的其他地点共同检验；另一份买卖双方共同签字封样，作为发生质量争议时的复检样品。</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普麦分批检验的，最终货物质量根据每次检验结果及所发货物数量的加权平均值确定。</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质量验收完成后，买卖双方签署《质量验收确认单》，作为交割货物质量判定及升贴水处理的依据。</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第四十一条 </w:t>
      </w:r>
      <w:r>
        <w:rPr>
          <w:rFonts w:hint="eastAsia" w:ascii="宋体" w:hAnsi="宋体" w:cs="宋体"/>
          <w:color w:val="333333"/>
          <w:kern w:val="0"/>
          <w:sz w:val="28"/>
          <w:szCs w:val="28"/>
          <w:shd w:val="clear" w:color="auto" w:fill="FFFFFF"/>
        </w:rPr>
        <w:t>买卖双方</w:t>
      </w:r>
      <w:r>
        <w:rPr>
          <w:rFonts w:hint="eastAsia" w:ascii="宋体" w:hAnsi="宋体" w:cs="宋体"/>
          <w:color w:val="000000"/>
          <w:kern w:val="0"/>
          <w:sz w:val="28"/>
          <w:szCs w:val="28"/>
          <w:shd w:val="clear" w:color="auto" w:fill="FFFFFF"/>
        </w:rPr>
        <w:t>发生质量争议的，应当协商解决；协商不一致的，应当及时通知交易所。买卖双方把复检样品共同寄送交易所指定质检机构或者双方认可的检验机构进行复检，复检结果作为货物质量判定的依据。寄送样品及复检费用由双方共同承担。</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第四十二条 </w:t>
      </w:r>
      <w:r>
        <w:rPr>
          <w:rFonts w:hint="eastAsia" w:ascii="宋体" w:hAnsi="宋体" w:cs="宋体"/>
          <w:color w:val="000000"/>
          <w:kern w:val="0"/>
          <w:sz w:val="28"/>
          <w:szCs w:val="28"/>
          <w:shd w:val="clear" w:color="auto" w:fill="FFFFFF"/>
        </w:rPr>
        <w:t>普麦</w:t>
      </w:r>
      <w:r>
        <w:rPr>
          <w:rFonts w:hint="eastAsia" w:ascii="宋体" w:hAnsi="宋体" w:cs="宋体"/>
          <w:color w:val="333333"/>
          <w:kern w:val="0"/>
          <w:sz w:val="28"/>
          <w:szCs w:val="28"/>
          <w:shd w:val="clear" w:color="auto" w:fill="FFFFFF"/>
        </w:rPr>
        <w:t>未发运货物质量达不到交割标准的，卖方应当及时更换货物。无法更换货物的，买卖双方可以协商处理；协商不一致的，按照《郑州商品交易所期货交割管理办法》“交割违约处理”有关规定处理。</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第四十三条 </w:t>
      </w:r>
      <w:r>
        <w:rPr>
          <w:rFonts w:hint="eastAsia" w:ascii="宋体" w:hAnsi="宋体" w:cs="宋体"/>
          <w:color w:val="333333"/>
          <w:kern w:val="0"/>
          <w:sz w:val="28"/>
          <w:szCs w:val="28"/>
          <w:shd w:val="clear" w:color="auto" w:fill="FFFFFF"/>
        </w:rPr>
        <w:t>货物发运时，买方应当到场验收并监装、监运，卖方应当安排足够人力、设备，确保正常发货。普麦重量验收采用发货地过地磅称重或者双方认可的其他计量方式。</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000000"/>
          <w:kern w:val="0"/>
          <w:sz w:val="28"/>
          <w:szCs w:val="28"/>
          <w:shd w:val="clear" w:color="auto" w:fill="FFFFFF"/>
        </w:rPr>
        <w:t>货物发运完毕后，根据每天双方签字确认的交接过磅码单，经核准累计后确认货物重量。买卖双方签署《重量验收确认单》，作为交割货物重量的判定依据。</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买卖双方有权对计量衡器的准确性进行确认。对计量衡器的准确性有异议的，应当停止交接货物，并书面通知交易所，由交易所组织国家计量技术监督部门现场检测，差旅费、交通费、检测费等相关费用由过错方承担。</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第四十四条 </w:t>
      </w:r>
      <w:r>
        <w:rPr>
          <w:rFonts w:hint="eastAsia" w:ascii="宋体" w:hAnsi="宋体" w:cs="宋体"/>
          <w:color w:val="333333"/>
          <w:kern w:val="0"/>
          <w:sz w:val="28"/>
          <w:szCs w:val="28"/>
          <w:shd w:val="clear" w:color="auto" w:fill="FFFFFF"/>
        </w:rPr>
        <w:t>普麦交收时，</w:t>
      </w:r>
      <w:r>
        <w:rPr>
          <w:rFonts w:hint="eastAsia" w:ascii="宋体" w:hAnsi="宋体" w:cs="宋体"/>
          <w:color w:val="000000"/>
          <w:kern w:val="0"/>
          <w:sz w:val="28"/>
          <w:szCs w:val="28"/>
          <w:shd w:val="clear" w:color="auto" w:fill="FFFFFF"/>
        </w:rPr>
        <w:t>买卖双方未按约定的发运时间、发运速度交接货物，造成延误的，买卖双方协商解决；协商不成的，守约方可以向交易所提出补偿申请，并提交相应证据。交易所核实后，对过错方扣罚滞纳金补偿给守约方。滞纳金金额=</w:t>
      </w:r>
      <w:r>
        <w:rPr>
          <w:rFonts w:hint="eastAsia" w:ascii="宋体" w:hAnsi="宋体" w:cs="宋体"/>
          <w:color w:val="333333"/>
          <w:kern w:val="0"/>
          <w:sz w:val="28"/>
          <w:szCs w:val="28"/>
          <w:shd w:val="clear" w:color="auto" w:fill="FFFFFF"/>
        </w:rPr>
        <w:t>∑[5（元/吨•天）×延误天数×应发（收）而未发（收）商品数量]。</w:t>
      </w:r>
    </w:p>
    <w:p>
      <w:pPr>
        <w:widowControl/>
        <w:shd w:val="clear" w:color="auto" w:fill="FFFFFF"/>
        <w:spacing w:after="50" w:line="150" w:lineRule="atLeast"/>
        <w:ind w:firstLine="536"/>
        <w:jc w:val="left"/>
        <w:rPr>
          <w:rFonts w:ascii="微软雅黑" w:hAnsi="微软雅黑" w:eastAsia="微软雅黑" w:cs="微软雅黑"/>
          <w:color w:val="333333"/>
          <w:sz w:val="7"/>
          <w:szCs w:val="7"/>
        </w:rPr>
      </w:pPr>
      <w:r>
        <w:rPr>
          <w:rFonts w:hint="eastAsia" w:ascii="宋体" w:hAnsi="宋体" w:cs="宋体"/>
          <w:color w:val="333333"/>
          <w:spacing w:val="-6"/>
          <w:kern w:val="0"/>
          <w:sz w:val="28"/>
          <w:szCs w:val="28"/>
          <w:shd w:val="clear" w:color="auto" w:fill="FFFFFF"/>
        </w:rPr>
        <w:t>因不可抗力因素导致无法按计划发货或者提货的，发货或者提货时间可以顺延。</w:t>
      </w:r>
    </w:p>
    <w:p>
      <w:pPr>
        <w:widowControl/>
        <w:shd w:val="clear" w:color="auto" w:fill="FFFFFF"/>
        <w:spacing w:before="240" w:after="240" w:line="150" w:lineRule="atLeast"/>
        <w:jc w:val="center"/>
        <w:rPr>
          <w:rFonts w:ascii="微软雅黑" w:hAnsi="微软雅黑" w:eastAsia="微软雅黑" w:cs="微软雅黑"/>
          <w:color w:val="333333"/>
          <w:sz w:val="7"/>
          <w:szCs w:val="7"/>
        </w:rPr>
      </w:pPr>
      <w:r>
        <w:rPr>
          <w:rFonts w:hint="eastAsia" w:ascii="黑体" w:hAnsi="宋体" w:eastAsia="黑体" w:cs="黑体"/>
          <w:color w:val="000000"/>
          <w:kern w:val="0"/>
          <w:sz w:val="30"/>
          <w:szCs w:val="30"/>
          <w:shd w:val="clear" w:color="auto" w:fill="FFFFFF"/>
        </w:rPr>
        <w:t>第四章 风险管理</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第四十五条 </w:t>
      </w:r>
      <w:r>
        <w:rPr>
          <w:rFonts w:hint="eastAsia" w:ascii="宋体" w:hAnsi="宋体" w:cs="宋体"/>
          <w:color w:val="000000"/>
          <w:kern w:val="0"/>
          <w:sz w:val="28"/>
          <w:szCs w:val="28"/>
          <w:shd w:val="clear" w:color="auto" w:fill="FFFFFF"/>
        </w:rPr>
        <w:t>普麦期货合约最低交易保证金标准为合约价值的5%。</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000000"/>
          <w:kern w:val="0"/>
          <w:sz w:val="28"/>
          <w:szCs w:val="28"/>
          <w:shd w:val="clear" w:color="auto" w:fill="FFFFFF"/>
        </w:rPr>
        <w:t>普麦期货合约交易保证金标准见下表：</w:t>
      </w:r>
    </w:p>
    <w:tbl>
      <w:tblPr>
        <w:tblStyle w:val="7"/>
        <w:tblW w:w="8505" w:type="dxa"/>
        <w:tblInd w:w="10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5529"/>
        <w:gridCol w:w="29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529"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bottom"/>
          </w:tcPr>
          <w:p>
            <w:pPr>
              <w:widowControl/>
              <w:spacing w:after="50" w:line="150" w:lineRule="atLeast"/>
              <w:ind w:firstLine="480"/>
              <w:jc w:val="center"/>
              <w:rPr>
                <w:sz w:val="7"/>
                <w:szCs w:val="7"/>
              </w:rPr>
            </w:pPr>
            <w:r>
              <w:rPr>
                <w:rFonts w:hint="eastAsia" w:ascii="宋体" w:hAnsi="宋体" w:cs="宋体"/>
                <w:color w:val="333333"/>
                <w:kern w:val="0"/>
                <w:sz w:val="24"/>
              </w:rPr>
              <w:t>交易时间段</w:t>
            </w:r>
          </w:p>
        </w:tc>
        <w:tc>
          <w:tcPr>
            <w:tcW w:w="2976"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bottom"/>
          </w:tcPr>
          <w:p>
            <w:pPr>
              <w:widowControl/>
              <w:spacing w:after="50" w:line="150" w:lineRule="atLeast"/>
              <w:jc w:val="center"/>
              <w:rPr>
                <w:sz w:val="7"/>
                <w:szCs w:val="7"/>
              </w:rPr>
            </w:pPr>
            <w:r>
              <w:rPr>
                <w:rFonts w:hint="eastAsia" w:ascii="宋体" w:hAnsi="宋体" w:cs="宋体"/>
                <w:color w:val="333333"/>
                <w:kern w:val="0"/>
                <w:sz w:val="24"/>
              </w:rPr>
              <w:t>交易保证金标准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5529"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left"/>
              <w:rPr>
                <w:sz w:val="7"/>
                <w:szCs w:val="7"/>
              </w:rPr>
            </w:pPr>
            <w:r>
              <w:rPr>
                <w:rFonts w:hint="eastAsia" w:ascii="宋体" w:hAnsi="宋体" w:cs="宋体"/>
                <w:color w:val="000000"/>
                <w:kern w:val="0"/>
                <w:sz w:val="24"/>
              </w:rPr>
              <w:t>自合约挂牌至交割月前一个月第15个日历日期间的交易日</w:t>
            </w:r>
          </w:p>
        </w:tc>
        <w:tc>
          <w:tcPr>
            <w:tcW w:w="2976"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sz w:val="7"/>
                <w:szCs w:val="7"/>
              </w:rPr>
            </w:pPr>
            <w:r>
              <w:rPr>
                <w:rFonts w:hint="eastAsia" w:ascii="宋体" w:hAnsi="宋体" w:cs="宋体"/>
                <w:color w:val="000000"/>
                <w:kern w:val="0"/>
                <w:sz w:val="24"/>
              </w:rPr>
              <w:t>合约价值的5%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5529"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left"/>
              <w:rPr>
                <w:sz w:val="7"/>
                <w:szCs w:val="7"/>
              </w:rPr>
            </w:pPr>
            <w:r>
              <w:rPr>
                <w:rFonts w:hint="eastAsia" w:ascii="宋体" w:hAnsi="宋体" w:cs="宋体"/>
                <w:color w:val="000000"/>
                <w:kern w:val="0"/>
                <w:sz w:val="24"/>
              </w:rPr>
              <w:t>自交割月前一个月第16个日历日至交割月前一个月最后一个日历日期间的交易日</w:t>
            </w:r>
          </w:p>
        </w:tc>
        <w:tc>
          <w:tcPr>
            <w:tcW w:w="2976"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sz w:val="7"/>
                <w:szCs w:val="7"/>
              </w:rPr>
            </w:pPr>
            <w:r>
              <w:rPr>
                <w:rFonts w:hint="eastAsia" w:ascii="宋体" w:hAnsi="宋体" w:cs="宋体"/>
                <w:color w:val="000000"/>
                <w:kern w:val="0"/>
                <w:sz w:val="24"/>
              </w:rPr>
              <w:t>合约价值的10%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5529"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left"/>
              <w:rPr>
                <w:sz w:val="7"/>
                <w:szCs w:val="7"/>
              </w:rPr>
            </w:pPr>
            <w:r>
              <w:rPr>
                <w:rFonts w:hint="eastAsia" w:ascii="宋体" w:hAnsi="宋体" w:cs="宋体"/>
                <w:color w:val="000000"/>
                <w:kern w:val="0"/>
                <w:sz w:val="24"/>
              </w:rPr>
              <w:t>交割月份</w:t>
            </w:r>
          </w:p>
        </w:tc>
        <w:tc>
          <w:tcPr>
            <w:tcW w:w="2976"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sz w:val="7"/>
                <w:szCs w:val="7"/>
              </w:rPr>
            </w:pPr>
            <w:r>
              <w:rPr>
                <w:rFonts w:hint="eastAsia" w:ascii="宋体" w:hAnsi="宋体" w:cs="宋体"/>
                <w:color w:val="000000"/>
                <w:kern w:val="0"/>
                <w:sz w:val="24"/>
              </w:rPr>
              <w:t>合约价值的20%</w:t>
            </w:r>
          </w:p>
        </w:tc>
      </w:tr>
    </w:tbl>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第四十六条 </w:t>
      </w:r>
      <w:r>
        <w:rPr>
          <w:rFonts w:hint="eastAsia" w:ascii="宋体" w:hAnsi="宋体" w:cs="宋体"/>
          <w:color w:val="333333"/>
          <w:kern w:val="0"/>
          <w:sz w:val="28"/>
          <w:szCs w:val="28"/>
          <w:shd w:val="clear" w:color="auto" w:fill="FFFFFF"/>
        </w:rPr>
        <w:t>普麦期货合约每日涨跌停板幅度为前一交易日结算价的±4%。</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第四十七条 </w:t>
      </w:r>
      <w:r>
        <w:rPr>
          <w:rFonts w:hint="eastAsia" w:ascii="宋体" w:hAnsi="宋体" w:cs="宋体"/>
          <w:color w:val="000000"/>
          <w:kern w:val="0"/>
          <w:sz w:val="28"/>
          <w:szCs w:val="28"/>
          <w:shd w:val="clear" w:color="auto" w:fill="FFFFFF"/>
        </w:rPr>
        <w:t>普麦期货合约限仓标准见下表：</w:t>
      </w:r>
    </w:p>
    <w:tbl>
      <w:tblPr>
        <w:tblStyle w:val="7"/>
        <w:tblW w:w="0" w:type="auto"/>
        <w:tblInd w:w="10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5473"/>
        <w:gridCol w:w="29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529"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sz w:val="7"/>
                <w:szCs w:val="7"/>
              </w:rPr>
            </w:pPr>
            <w:r>
              <w:rPr>
                <w:rFonts w:hint="eastAsia" w:ascii="宋体" w:hAnsi="宋体" w:cs="宋体"/>
                <w:color w:val="333333"/>
                <w:kern w:val="0"/>
                <w:sz w:val="24"/>
              </w:rPr>
              <w:t>交易时间段</w:t>
            </w:r>
          </w:p>
        </w:tc>
        <w:tc>
          <w:tcPr>
            <w:tcW w:w="2976"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sz w:val="7"/>
                <w:szCs w:val="7"/>
              </w:rPr>
            </w:pPr>
            <w:r>
              <w:rPr>
                <w:rFonts w:hint="eastAsia" w:ascii="宋体" w:hAnsi="宋体" w:cs="宋体"/>
                <w:color w:val="333333"/>
                <w:kern w:val="0"/>
                <w:sz w:val="24"/>
              </w:rPr>
              <w:t>非期货公司会员和客户的最大单边持仓量（手）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5529"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left"/>
              <w:rPr>
                <w:sz w:val="7"/>
                <w:szCs w:val="7"/>
              </w:rPr>
            </w:pPr>
            <w:r>
              <w:rPr>
                <w:rFonts w:hint="eastAsia" w:ascii="宋体" w:hAnsi="宋体" w:cs="宋体"/>
                <w:color w:val="000000"/>
                <w:kern w:val="0"/>
                <w:sz w:val="24"/>
              </w:rPr>
              <w:t>自合约挂牌至交割月前一个月第15个日历日期间的交易日</w:t>
            </w:r>
          </w:p>
        </w:tc>
        <w:tc>
          <w:tcPr>
            <w:tcW w:w="2976"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sz w:val="7"/>
                <w:szCs w:val="7"/>
              </w:rPr>
            </w:pPr>
            <w:r>
              <w:rPr>
                <w:rFonts w:hint="eastAsia" w:ascii="宋体" w:hAnsi="宋体" w:cs="宋体"/>
                <w:color w:val="000000"/>
                <w:kern w:val="0"/>
                <w:sz w:val="24"/>
              </w:rPr>
              <w:t>2000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5529"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left"/>
              <w:rPr>
                <w:sz w:val="7"/>
                <w:szCs w:val="7"/>
              </w:rPr>
            </w:pPr>
            <w:r>
              <w:rPr>
                <w:rFonts w:hint="eastAsia" w:ascii="宋体" w:hAnsi="宋体" w:cs="宋体"/>
                <w:color w:val="000000"/>
                <w:kern w:val="0"/>
                <w:sz w:val="24"/>
              </w:rPr>
              <w:t>自交割月前一个月第16个日历日至交割月前一个月最后一个日历日期间的交易日</w:t>
            </w:r>
          </w:p>
        </w:tc>
        <w:tc>
          <w:tcPr>
            <w:tcW w:w="2976"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sz w:val="7"/>
                <w:szCs w:val="7"/>
              </w:rPr>
            </w:pPr>
            <w:r>
              <w:rPr>
                <w:rFonts w:hint="eastAsia" w:ascii="宋体" w:hAnsi="宋体" w:cs="宋体"/>
                <w:color w:val="000000"/>
                <w:kern w:val="0"/>
                <w:sz w:val="24"/>
              </w:rPr>
              <w:t>600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5529"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left"/>
              <w:rPr>
                <w:sz w:val="7"/>
                <w:szCs w:val="7"/>
              </w:rPr>
            </w:pPr>
            <w:r>
              <w:rPr>
                <w:rFonts w:hint="eastAsia" w:ascii="宋体" w:hAnsi="宋体" w:cs="宋体"/>
                <w:color w:val="000000"/>
                <w:kern w:val="0"/>
                <w:sz w:val="24"/>
              </w:rPr>
              <w:t>交割月份</w:t>
            </w:r>
          </w:p>
        </w:tc>
        <w:tc>
          <w:tcPr>
            <w:tcW w:w="2976"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sz w:val="7"/>
                <w:szCs w:val="7"/>
              </w:rPr>
            </w:pPr>
            <w:r>
              <w:rPr>
                <w:rFonts w:hint="eastAsia" w:ascii="宋体" w:hAnsi="宋体" w:cs="宋体"/>
                <w:color w:val="000000"/>
                <w:kern w:val="0"/>
                <w:sz w:val="24"/>
              </w:rPr>
              <w:t>200</w:t>
            </w:r>
          </w:p>
          <w:p>
            <w:pPr>
              <w:widowControl/>
              <w:spacing w:after="50" w:line="150" w:lineRule="atLeast"/>
              <w:jc w:val="center"/>
              <w:rPr>
                <w:sz w:val="7"/>
                <w:szCs w:val="7"/>
              </w:rPr>
            </w:pPr>
            <w:r>
              <w:rPr>
                <w:rFonts w:hint="eastAsia" w:ascii="宋体" w:hAnsi="宋体" w:cs="宋体"/>
                <w:color w:val="000000"/>
                <w:kern w:val="0"/>
                <w:sz w:val="24"/>
              </w:rPr>
              <w:t>（自然人客户最大单边持仓量为0）</w:t>
            </w:r>
          </w:p>
        </w:tc>
      </w:tr>
    </w:tbl>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000000"/>
          <w:kern w:val="0"/>
          <w:sz w:val="28"/>
          <w:szCs w:val="28"/>
          <w:shd w:val="clear" w:color="auto" w:fill="FFFFFF"/>
        </w:rPr>
        <w:t>本条所称限仓是指交易所规定会员或者客户按单边计算的、可以持有某一期货合约投机持仓的最大数量。</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第四十八条 </w:t>
      </w:r>
      <w:r>
        <w:rPr>
          <w:rFonts w:hint="eastAsia" w:ascii="宋体" w:hAnsi="宋体" w:cs="宋体"/>
          <w:color w:val="000000"/>
          <w:kern w:val="0"/>
          <w:sz w:val="28"/>
          <w:szCs w:val="28"/>
          <w:shd w:val="clear" w:color="auto" w:fill="FFFFFF"/>
        </w:rPr>
        <w:t>根据《郑州商品交易所期货交易风险控制管理办法》等有关规定，交易所对普麦期货合约交易保证金标准、涨跌停板幅度进行调整的，按照相关标准执行。</w:t>
      </w:r>
    </w:p>
    <w:p>
      <w:pPr>
        <w:widowControl/>
        <w:shd w:val="clear" w:color="auto" w:fill="FFFFFF"/>
        <w:spacing w:after="50" w:line="150" w:lineRule="atLeast"/>
        <w:jc w:val="center"/>
        <w:rPr>
          <w:rFonts w:ascii="微软雅黑" w:hAnsi="微软雅黑" w:eastAsia="微软雅黑" w:cs="微软雅黑"/>
          <w:color w:val="333333"/>
          <w:sz w:val="7"/>
          <w:szCs w:val="7"/>
        </w:rPr>
      </w:pPr>
      <w:r>
        <w:rPr>
          <w:rFonts w:hint="eastAsia" w:ascii="黑体" w:hAnsi="宋体" w:eastAsia="黑体" w:cs="黑体"/>
          <w:color w:val="000000"/>
          <w:kern w:val="0"/>
          <w:sz w:val="30"/>
          <w:szCs w:val="30"/>
          <w:shd w:val="clear" w:color="auto" w:fill="FFFFFF"/>
        </w:rPr>
        <w:t>第五章 附 则</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第四十九条 </w:t>
      </w:r>
      <w:r>
        <w:rPr>
          <w:rFonts w:hint="eastAsia" w:ascii="宋体" w:hAnsi="宋体" w:cs="宋体"/>
          <w:color w:val="000000"/>
          <w:kern w:val="0"/>
          <w:sz w:val="28"/>
          <w:szCs w:val="28"/>
          <w:shd w:val="clear" w:color="auto" w:fill="FFFFFF"/>
        </w:rPr>
        <w:t>违反本细则规定的，交易所按照《郑州商品交易所违规处理办法》和其他业务规则的有关规定处理。</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第五十条 </w:t>
      </w:r>
      <w:r>
        <w:rPr>
          <w:rFonts w:hint="eastAsia" w:ascii="宋体" w:hAnsi="宋体" w:cs="宋体"/>
          <w:color w:val="000000"/>
          <w:kern w:val="0"/>
          <w:sz w:val="28"/>
          <w:szCs w:val="28"/>
          <w:shd w:val="clear" w:color="auto" w:fill="FFFFFF"/>
        </w:rPr>
        <w:t>本细则未规定的，按照交易所相关业务规则的规定执行。</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第五十一条 </w:t>
      </w:r>
      <w:r>
        <w:rPr>
          <w:rFonts w:hint="eastAsia" w:ascii="宋体" w:hAnsi="宋体" w:cs="宋体"/>
          <w:color w:val="000000"/>
          <w:kern w:val="0"/>
          <w:sz w:val="28"/>
          <w:szCs w:val="28"/>
          <w:shd w:val="clear" w:color="auto" w:fill="FFFFFF"/>
        </w:rPr>
        <w:t>本细则解释权属于郑州商品交易所。</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000000"/>
          <w:kern w:val="0"/>
          <w:sz w:val="28"/>
          <w:szCs w:val="28"/>
          <w:shd w:val="clear" w:color="auto" w:fill="FFFFFF"/>
        </w:rPr>
        <w:t>第五十二条 </w:t>
      </w:r>
      <w:r>
        <w:rPr>
          <w:rFonts w:hint="eastAsia" w:ascii="宋体" w:hAnsi="宋体" w:cs="宋体"/>
          <w:color w:val="000000"/>
          <w:kern w:val="0"/>
          <w:sz w:val="28"/>
          <w:szCs w:val="28"/>
          <w:shd w:val="clear" w:color="auto" w:fill="FFFFFF"/>
        </w:rPr>
        <w:t>本细则自2024年3月1日起施行。</w:t>
      </w:r>
    </w:p>
    <w:p>
      <w:pPr>
        <w:rPr>
          <w:rFonts w:ascii="仿宋" w:hAnsi="仿宋" w:eastAsia="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wordWrap w:val="0"/>
                  <w:jc w:val="right"/>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1</w:t>
                </w:r>
                <w:r>
                  <w:rPr>
                    <w:rStyle w:val="9"/>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39EF"/>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35A9"/>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044"/>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0CD6"/>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5EE7"/>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5AD"/>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C4A276D"/>
    <w:rsid w:val="17FD9157"/>
    <w:rsid w:val="1FA3DEF9"/>
    <w:rsid w:val="1FEC60E8"/>
    <w:rsid w:val="26572830"/>
    <w:rsid w:val="2BFD1D17"/>
    <w:rsid w:val="36DFB680"/>
    <w:rsid w:val="379F7027"/>
    <w:rsid w:val="3BBFD3E5"/>
    <w:rsid w:val="3EBF5F4E"/>
    <w:rsid w:val="42DFFCFF"/>
    <w:rsid w:val="47137352"/>
    <w:rsid w:val="53FE7575"/>
    <w:rsid w:val="5EFFB3CD"/>
    <w:rsid w:val="673D50C7"/>
    <w:rsid w:val="78031D0F"/>
    <w:rsid w:val="78FF2057"/>
    <w:rsid w:val="796BAECB"/>
    <w:rsid w:val="7BDDDE70"/>
    <w:rsid w:val="7E7C40EC"/>
    <w:rsid w:val="7F65A33D"/>
    <w:rsid w:val="7FFFB608"/>
    <w:rsid w:val="AEDB588F"/>
    <w:rsid w:val="BDDD0E38"/>
    <w:rsid w:val="C7A7BD76"/>
    <w:rsid w:val="C7F60723"/>
    <w:rsid w:val="CF5E6217"/>
    <w:rsid w:val="E7FFC285"/>
    <w:rsid w:val="EAFF3FAE"/>
    <w:rsid w:val="EFF9501D"/>
    <w:rsid w:val="F6DF054F"/>
    <w:rsid w:val="F7FB02DE"/>
    <w:rsid w:val="FBFDC536"/>
    <w:rsid w:val="FD7B0377"/>
    <w:rsid w:val="FDD6A77B"/>
    <w:rsid w:val="FDDAA937"/>
    <w:rsid w:val="FF3F2583"/>
    <w:rsid w:val="FFF113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rPr>
      <w:rFonts w:ascii="仿宋_GB2312" w:eastAsia="仿宋_GB2312"/>
      <w:sz w:val="32"/>
    </w:rPr>
  </w:style>
  <w:style w:type="paragraph" w:styleId="4">
    <w:name w:val="Balloon Text"/>
    <w:basedOn w:val="1"/>
    <w:link w:val="13"/>
    <w:semiHidden/>
    <w:unhideWhenUsed/>
    <w:qFormat/>
    <w:uiPriority w:val="99"/>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脚 Char"/>
    <w:basedOn w:val="8"/>
    <w:link w:val="5"/>
    <w:qFormat/>
    <w:uiPriority w:val="0"/>
    <w:rPr>
      <w:rFonts w:ascii="Times New Roman" w:hAnsi="Times New Roman" w:eastAsia="宋体" w:cs="Times New Roman"/>
      <w:sz w:val="18"/>
      <w:szCs w:val="18"/>
    </w:rPr>
  </w:style>
  <w:style w:type="character" w:customStyle="1" w:styleId="11">
    <w:name w:val="日期 Char"/>
    <w:basedOn w:val="8"/>
    <w:link w:val="3"/>
    <w:qFormat/>
    <w:uiPriority w:val="0"/>
    <w:rPr>
      <w:rFonts w:ascii="仿宋_GB2312" w:hAnsi="Times New Roman" w:eastAsia="仿宋_GB2312" w:cs="Times New Roman"/>
      <w:sz w:val="32"/>
      <w:szCs w:val="24"/>
    </w:rPr>
  </w:style>
  <w:style w:type="character" w:customStyle="1" w:styleId="12">
    <w:name w:val="页眉 Char"/>
    <w:basedOn w:val="8"/>
    <w:link w:val="6"/>
    <w:qFormat/>
    <w:uiPriority w:val="99"/>
    <w:rPr>
      <w:rFonts w:ascii="Times New Roman" w:hAnsi="Times New Roman" w:eastAsia="宋体" w:cs="Times New Roman"/>
      <w:sz w:val="18"/>
      <w:szCs w:val="18"/>
    </w:rPr>
  </w:style>
  <w:style w:type="character" w:customStyle="1" w:styleId="13">
    <w:name w:val="批注框文本 Char"/>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2750</Words>
  <Characters>15681</Characters>
  <Lines>130</Lines>
  <Paragraphs>36</Paragraphs>
  <TotalTime>0</TotalTime>
  <ScaleCrop>false</ScaleCrop>
  <LinksUpToDate>false</LinksUpToDate>
  <CharactersWithSpaces>18395</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2023-10-14T13:37:00Z</dcterms:created>
  <dc:creator>CN=李小鹏/OU=办公室/O=CZCE</dc:creator>
  <cp:lastModifiedBy>cxzhang</cp:lastModifiedBy>
  <dcterms:modified xsi:type="dcterms:W3CDTF">2023-10-16T15:09:47Z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9DE7064627924F04885E8360694B389D</vt:lpwstr>
  </property>
</Properties>
</file>