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黑体" w:cs="仿宋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kern w:val="0"/>
          <w:sz w:val="32"/>
          <w:szCs w:val="44"/>
        </w:rPr>
        <w:t>附件3</w:t>
      </w:r>
    </w:p>
    <w:p>
      <w:pPr>
        <w:pStyle w:val="2"/>
        <w:keepNext w:val="0"/>
        <w:keepLines w:val="0"/>
        <w:spacing w:before="0" w:after="0" w:line="240" w:lineRule="auto"/>
        <w:jc w:val="center"/>
        <w:rPr>
          <w:rFonts w:ascii="宋体" w:hAnsi="宋体" w:cs="宋体"/>
          <w:bCs w:val="0"/>
          <w:kern w:val="2"/>
        </w:rPr>
      </w:pPr>
      <w:r>
        <w:rPr>
          <w:rFonts w:hint="eastAsia" w:ascii="宋体" w:hAnsi="宋体" w:cs="宋体"/>
          <w:bCs w:val="0"/>
          <w:kern w:val="2"/>
        </w:rPr>
        <w:t>《</w:t>
      </w:r>
      <w:r>
        <w:rPr>
          <w:rFonts w:hint="eastAsia"/>
        </w:rPr>
        <w:t>郑州商品交易所普通小麦期货业务细则</w:t>
      </w:r>
      <w:r>
        <w:rPr>
          <w:rFonts w:hint="eastAsia" w:ascii="宋体" w:hAnsi="宋体" w:cs="宋体"/>
          <w:bCs w:val="0"/>
          <w:kern w:val="2"/>
        </w:rPr>
        <w:t>》</w:t>
      </w:r>
    </w:p>
    <w:p>
      <w:pPr>
        <w:pStyle w:val="2"/>
        <w:keepNext w:val="0"/>
        <w:keepLines w:val="0"/>
        <w:spacing w:before="0" w:after="0" w:line="240" w:lineRule="auto"/>
        <w:jc w:val="center"/>
        <w:rPr>
          <w:rFonts w:ascii="宋体" w:hAnsi="宋体" w:cs="宋体"/>
          <w:bCs w:val="0"/>
          <w:kern w:val="2"/>
        </w:rPr>
      </w:pPr>
      <w:r>
        <w:rPr>
          <w:rFonts w:hint="eastAsia" w:ascii="宋体" w:hAnsi="宋体" w:cs="宋体"/>
          <w:bCs w:val="0"/>
          <w:kern w:val="2"/>
        </w:rPr>
        <w:t>修订案</w:t>
      </w:r>
    </w:p>
    <w:bookmarkEnd w:id="0"/>
    <w:p>
      <w:pPr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</w:rPr>
        <w:t>2023年9月17日郑州商品交易所第八届理事会第六次会议审议通过，自2024年3月1日起施行</w:t>
      </w:r>
      <w:r>
        <w:rPr>
          <w:rFonts w:hint="eastAsia" w:ascii="楷体" w:hAnsi="楷体" w:eastAsia="楷体" w:cs="楷体"/>
          <w:kern w:val="0"/>
          <w:sz w:val="28"/>
          <w:szCs w:val="28"/>
        </w:rPr>
        <w:t>）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对《郑州商品交易所普通小麦期货业务细则》进行如下修订：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将第十一条修订为：“普麦期货适用期货转现货、仓库标准仓单交割和车（船）板交割。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“普麦期货滚动交割的配对方式为响应配对。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“普麦买卖双方参与集中交割的，卖方应当在第一交割日闭市前，公布用于交割的标准仓单数量及车（船）板交割货物信息。未主动公布的，交易所于当日闭市后公布卖方所有可流通标准仓单。卖方未公布车（船）板交割货物信息的，交易所按标准仓单交割对待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“具体交割流程按照《郑州商品交易所期货交割管理办法》及本细则相关规定执行。”</w:t>
      </w:r>
    </w:p>
    <w:p>
      <w:pPr>
        <w:widowControl/>
        <w:spacing w:line="360" w:lineRule="auto"/>
        <w:jc w:val="center"/>
        <w:rPr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333333"/>
          <w:sz w:val="7"/>
          <w:szCs w:val="7"/>
        </w:rPr>
        <w:br w:type="page"/>
      </w:r>
      <w:r>
        <w:rPr>
          <w:rFonts w:hint="eastAsia"/>
          <w:b/>
          <w:sz w:val="44"/>
          <w:szCs w:val="44"/>
        </w:rPr>
        <w:t>《郑州商品交易所普通小麦期货业务细则》修订条款对照表</w:t>
      </w:r>
    </w:p>
    <w:p>
      <w:pPr>
        <w:jc w:val="center"/>
      </w:pPr>
      <w:r>
        <w:rPr>
          <w:rFonts w:hint="eastAsia" w:eastAsia="仿宋"/>
          <w:sz w:val="28"/>
          <w:szCs w:val="28"/>
        </w:rPr>
        <w:t>（加粗加下划线为新增内容，加删除线为删除内容）</w:t>
      </w:r>
    </w:p>
    <w:tbl>
      <w:tblPr>
        <w:tblStyle w:val="7"/>
        <w:tblW w:w="8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0"/>
        <w:gridCol w:w="4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90" w:type="dxa"/>
            <w:shd w:val="clear" w:color="auto" w:fill="D7D7D7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现行条文</w:t>
            </w:r>
          </w:p>
        </w:tc>
        <w:tc>
          <w:tcPr>
            <w:tcW w:w="4190" w:type="dxa"/>
            <w:shd w:val="clear" w:color="auto" w:fill="D7D7D7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修订后条文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</w:trPr>
        <w:tc>
          <w:tcPr>
            <w:tcW w:w="4190" w:type="dxa"/>
            <w:noWrap/>
          </w:tcPr>
          <w:p>
            <w:pPr>
              <w:ind w:firstLine="481" w:firstLineChars="2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第十一条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 普麦期货适用期货转现货、仓库标准仓单交割</w:t>
            </w:r>
            <w:r>
              <w:rPr>
                <w:rFonts w:hint="eastAsia" w:ascii="仿宋" w:hAnsi="仿宋" w:eastAsia="仿宋" w:cs="仿宋"/>
                <w:sz w:val="24"/>
              </w:rPr>
              <w:t>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车（船）板交割。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普麦期货滚动交割的配对方式为响应配对。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普麦买卖双方参与集中交割的，卖方应当在第一交割日闭市前，公布用于交割的标准仓单数量及车（船）板交割货物信息。未主动公布的，交易所于当日闭市后公布卖方所有可流通标准仓单供买方挑选。卖方未公布车（船）板交割货物信息的，交易所按标准仓单交割对待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具体交割流程按照《郑州商品交易所期货交割管理办法》及本细则相关规定执行。</w:t>
            </w:r>
          </w:p>
        </w:tc>
        <w:tc>
          <w:tcPr>
            <w:tcW w:w="4190" w:type="dxa"/>
            <w:noWrap/>
          </w:tcPr>
          <w:p>
            <w:pPr>
              <w:ind w:firstLine="481" w:firstLineChars="2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第十一条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 普麦期货适用期货转现货、仓库标准仓单交割和车（船）板交割。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普麦期货滚动交割的配对方式为响应配对。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普麦买卖双方参与集中交割的，卖方应当在第一交割日闭市前，公布用于交割的标准仓单数量及车（船）板交割货物信息。未主动公布的，交易所于当日闭市后公布卖方所有可流通标准仓单</w:t>
            </w:r>
            <w:r>
              <w:rPr>
                <w:rFonts w:hint="eastAsia" w:ascii="仿宋" w:hAnsi="仿宋" w:eastAsia="仿宋" w:cs="仿宋"/>
                <w:dstrike/>
                <w:color w:val="000000"/>
                <w:sz w:val="24"/>
              </w:rPr>
              <w:t>供买方挑选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。卖方未公布车（船）板交割货物信息的，交易所按标准仓单交割对待。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具体交割流程按照《郑州商品交易所期货交割管理办法》及本细则相关规定执行。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9"/>
                    <w:sz w:val="28"/>
                  </w:rPr>
                  <w:fldChar w:fldCharType="begin"/>
                </w:r>
                <w:r>
                  <w:rPr>
                    <w:rStyle w:val="9"/>
                    <w:sz w:val="28"/>
                  </w:rPr>
                  <w:instrText xml:space="preserve"> PAGE </w:instrText>
                </w:r>
                <w:r>
                  <w:rPr>
                    <w:rStyle w:val="9"/>
                    <w:sz w:val="28"/>
                  </w:rPr>
                  <w:fldChar w:fldCharType="separate"/>
                </w:r>
                <w:r>
                  <w:rPr>
                    <w:rStyle w:val="9"/>
                    <w:sz w:val="28"/>
                  </w:rPr>
                  <w:t>1</w:t>
                </w:r>
                <w:r>
                  <w:rPr>
                    <w:rStyle w:val="9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4</w:t>
    </w:r>
    <w:r>
      <w:rPr>
        <w:rStyle w:val="9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39EF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35A9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044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0CD6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5EE7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5AD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C4A276D"/>
    <w:rsid w:val="1FA3DEF9"/>
    <w:rsid w:val="1FEC60E8"/>
    <w:rsid w:val="26572830"/>
    <w:rsid w:val="2BFD1D17"/>
    <w:rsid w:val="36DFB680"/>
    <w:rsid w:val="379F7027"/>
    <w:rsid w:val="3BBFD3E5"/>
    <w:rsid w:val="3EBF5F4E"/>
    <w:rsid w:val="42DFFCFF"/>
    <w:rsid w:val="47137352"/>
    <w:rsid w:val="53FE7575"/>
    <w:rsid w:val="5EFFB3CD"/>
    <w:rsid w:val="673D50C7"/>
    <w:rsid w:val="6DBFBFB6"/>
    <w:rsid w:val="78031D0F"/>
    <w:rsid w:val="78FF2057"/>
    <w:rsid w:val="796BAECB"/>
    <w:rsid w:val="7BDDDE70"/>
    <w:rsid w:val="7DEA483F"/>
    <w:rsid w:val="7E7C40EC"/>
    <w:rsid w:val="7F65A33D"/>
    <w:rsid w:val="7FFFB608"/>
    <w:rsid w:val="AEDB588F"/>
    <w:rsid w:val="BDDD0E38"/>
    <w:rsid w:val="C7A7BD76"/>
    <w:rsid w:val="C7F60723"/>
    <w:rsid w:val="CF5E6217"/>
    <w:rsid w:val="E7FFC285"/>
    <w:rsid w:val="EAFF3FAE"/>
    <w:rsid w:val="EFF9501D"/>
    <w:rsid w:val="F6DF054F"/>
    <w:rsid w:val="F7FB02DE"/>
    <w:rsid w:val="FBFDC536"/>
    <w:rsid w:val="FD7B0377"/>
    <w:rsid w:val="FDD6A77B"/>
    <w:rsid w:val="FDDAA937"/>
    <w:rsid w:val="FF3F2583"/>
    <w:rsid w:val="FFF113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2750</Words>
  <Characters>15681</Characters>
  <Lines>130</Lines>
  <Paragraphs>36</Paragraphs>
  <TotalTime>0</TotalTime>
  <ScaleCrop>false</ScaleCrop>
  <LinksUpToDate>false</LinksUpToDate>
  <CharactersWithSpaces>18395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2023-10-14T13:37:00Z</dcterms:created>
  <dc:creator>CN=李小鹏/OU=办公室/O=CZCE</dc:creator>
  <cp:lastModifiedBy>cxzhang</cp:lastModifiedBy>
  <dcterms:modified xsi:type="dcterms:W3CDTF">2023-10-16T15:09:19Z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9DE7064627924F04885E8360694B389D</vt:lpwstr>
  </property>
</Properties>
</file>