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spacing w:before="157" w:beforeLines="50" w:after="157" w:afterLines="50" w:line="700" w:lineRule="exact"/>
        <w:jc w:val="center"/>
        <w:rPr>
          <w:rFonts w:hint="eastAsia" w:eastAsia="方正小标宋简体"/>
          <w:sz w:val="44"/>
          <w:lang w:val="en-US" w:eastAsia="zh-CN"/>
        </w:rPr>
      </w:pPr>
      <w:r>
        <w:rPr>
          <w:rFonts w:hint="eastAsia" w:eastAsia="方正小标宋简体"/>
          <w:sz w:val="44"/>
          <w:lang w:val="en-US" w:eastAsia="zh-CN"/>
        </w:rPr>
        <w:t>郑州商品交易所综合业务平台白糖基差贸易泛糖专区业务指引</w:t>
      </w:r>
    </w:p>
    <w:p>
      <w:pPr>
        <w:spacing w:before="469" w:beforeLines="150"/>
        <w:jc w:val="center"/>
        <w:rPr>
          <w:rFonts w:ascii="黑体" w:hAnsi="黑体" w:eastAsia="黑体"/>
          <w:sz w:val="32"/>
          <w:szCs w:val="32"/>
        </w:rPr>
      </w:pPr>
      <w:r>
        <w:rPr>
          <w:rFonts w:hint="eastAsia" w:ascii="黑体" w:hAnsi="黑体" w:eastAsia="黑体"/>
          <w:sz w:val="32"/>
          <w:szCs w:val="32"/>
        </w:rPr>
        <w:t>第一章 总则</w:t>
      </w:r>
    </w:p>
    <w:p>
      <w:pPr>
        <w:pStyle w:val="12"/>
        <w:numPr>
          <w:ilvl w:val="0"/>
          <w:numId w:val="1"/>
        </w:numPr>
        <w:ind w:left="0" w:firstLine="641" w:firstLineChars="0"/>
        <w:rPr>
          <w:rFonts w:ascii="黑体" w:hAnsi="黑体" w:eastAsia="黑体"/>
          <w:sz w:val="32"/>
          <w:szCs w:val="32"/>
        </w:rPr>
      </w:pPr>
      <w:r>
        <w:rPr>
          <w:rFonts w:hint="eastAsia" w:ascii="仿宋" w:hAnsi="仿宋" w:eastAsia="仿宋"/>
          <w:sz w:val="32"/>
          <w:szCs w:val="32"/>
        </w:rPr>
        <w:t>为了保障郑州商品交易所（以下简称交易所）综合业务平台（以下简称交易所平台）白糖基差贸易泛糖专区业务（以下简称专区业务）的正常进行，根据《郑州商品交易所综合业务平台管理办法》《郑州商品交易所基差贸易业务指引》，制定本指引。</w:t>
      </w:r>
    </w:p>
    <w:p>
      <w:pPr>
        <w:pStyle w:val="12"/>
        <w:numPr>
          <w:ilvl w:val="0"/>
          <w:numId w:val="1"/>
        </w:numPr>
        <w:ind w:left="0" w:firstLine="641" w:firstLineChars="0"/>
        <w:rPr>
          <w:rFonts w:ascii="黑体" w:hAnsi="黑体" w:eastAsia="黑体"/>
          <w:sz w:val="32"/>
          <w:szCs w:val="32"/>
        </w:rPr>
      </w:pPr>
      <w:r>
        <w:rPr>
          <w:rFonts w:hint="eastAsia" w:ascii="仿宋" w:hAnsi="仿宋" w:eastAsia="仿宋"/>
          <w:sz w:val="32"/>
          <w:szCs w:val="32"/>
        </w:rPr>
        <w:t>本指引所称专区业务，是指客户按照本指引规定的流程，在交易所平台进行基差贸易，点价成交后与广西泛糖科技有限公司（以下简称泛糖科技）签订贸易合同，并在泛糖现货交易平台（以下简称泛糖平台）办理白糖现货交收的业务。</w:t>
      </w:r>
    </w:p>
    <w:p>
      <w:pPr>
        <w:pStyle w:val="12"/>
        <w:numPr>
          <w:ilvl w:val="0"/>
          <w:numId w:val="1"/>
        </w:numPr>
        <w:ind w:left="0" w:firstLine="641" w:firstLineChars="0"/>
        <w:rPr>
          <w:rFonts w:ascii="黑体" w:hAnsi="黑体" w:eastAsia="黑体"/>
          <w:sz w:val="32"/>
          <w:szCs w:val="32"/>
        </w:rPr>
      </w:pPr>
      <w:r>
        <w:rPr>
          <w:rFonts w:hint="eastAsia" w:ascii="仿宋" w:hAnsi="仿宋" w:eastAsia="仿宋"/>
          <w:sz w:val="32"/>
          <w:szCs w:val="32"/>
        </w:rPr>
        <w:t>参与专区业务的客户需要同时在交易所平台和泛糖平台开立账户，且具备相关商品的经营资质。</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参与专区业务的客户、泛糖科技应当遵守相关法律法规、部门规章、规范性文件、交易所业务规则以及泛糖</w:t>
      </w:r>
      <w:r>
        <w:rPr>
          <w:rFonts w:ascii="仿宋" w:hAnsi="仿宋" w:eastAsia="仿宋"/>
          <w:sz w:val="32"/>
          <w:szCs w:val="32"/>
        </w:rPr>
        <w:t>科技</w:t>
      </w:r>
      <w:r>
        <w:rPr>
          <w:rFonts w:hint="eastAsia" w:ascii="仿宋" w:hAnsi="仿宋" w:eastAsia="仿宋"/>
          <w:sz w:val="32"/>
          <w:szCs w:val="32"/>
        </w:rPr>
        <w:t>业务规则。泛糖科技相关业务规则与本指引规定不一致的，以本指引规定为准。</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客户参与专区业务表明客户认可本指引和泛糖科技相关业务规则，风险由客户、泛糖科技自行承担。</w:t>
      </w:r>
    </w:p>
    <w:p>
      <w:pPr>
        <w:pStyle w:val="12"/>
        <w:numPr>
          <w:ilvl w:val="0"/>
          <w:numId w:val="1"/>
        </w:numPr>
        <w:ind w:left="0" w:firstLine="641" w:firstLineChars="0"/>
        <w:jc w:val="left"/>
        <w:rPr>
          <w:rFonts w:ascii="仿宋" w:hAnsi="仿宋" w:eastAsia="仿宋"/>
          <w:sz w:val="32"/>
          <w:szCs w:val="32"/>
        </w:rPr>
      </w:pPr>
      <w:r>
        <w:rPr>
          <w:rFonts w:hint="eastAsia" w:ascii="仿宋" w:hAnsi="仿宋" w:eastAsia="仿宋"/>
          <w:sz w:val="32"/>
          <w:szCs w:val="32"/>
          <w:highlight w:val="none"/>
        </w:rPr>
        <w:t>因交易系统、数据传输发生故障，影响泛糖科技和客户正常交易的，交易所不承担法律责任</w:t>
      </w:r>
      <w:r>
        <w:rPr>
          <w:rFonts w:hint="eastAsia" w:ascii="仿宋" w:hAnsi="仿宋" w:eastAsia="仿宋"/>
          <w:sz w:val="32"/>
          <w:szCs w:val="32"/>
          <w:highlight w:val="none"/>
          <w:lang w:eastAsia="zh-CN"/>
        </w:rPr>
        <w:t>。</w:t>
      </w:r>
    </w:p>
    <w:p>
      <w:pPr>
        <w:ind w:firstLine="200"/>
        <w:jc w:val="center"/>
        <w:rPr>
          <w:rFonts w:ascii="黑体" w:hAnsi="黑体" w:eastAsia="黑体"/>
          <w:sz w:val="32"/>
          <w:szCs w:val="32"/>
        </w:rPr>
      </w:pPr>
      <w:r>
        <w:rPr>
          <w:rFonts w:hint="eastAsia" w:ascii="黑体" w:hAnsi="黑体" w:eastAsia="黑体"/>
          <w:sz w:val="32"/>
          <w:szCs w:val="32"/>
        </w:rPr>
        <w:t>第二章 交易业务</w:t>
      </w:r>
    </w:p>
    <w:p>
      <w:pPr>
        <w:pStyle w:val="12"/>
        <w:numPr>
          <w:ilvl w:val="0"/>
          <w:numId w:val="1"/>
        </w:numPr>
        <w:ind w:left="0" w:firstLine="641" w:firstLineChars="0"/>
        <w:rPr>
          <w:rFonts w:ascii="黑体" w:hAnsi="黑体" w:eastAsia="黑体"/>
          <w:sz w:val="32"/>
          <w:szCs w:val="32"/>
        </w:rPr>
      </w:pPr>
      <w:r>
        <w:rPr>
          <w:rFonts w:hint="eastAsia" w:ascii="仿宋" w:hAnsi="仿宋" w:eastAsia="仿宋"/>
          <w:sz w:val="32"/>
          <w:szCs w:val="32"/>
        </w:rPr>
        <w:t>专区业务的交易日历与交易所期货交易一致。交易日的具体交易时间由交易所另行公布。</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专区业务采取挂牌交易方式，由卖方挂牌、买方摘牌，可公开挂牌或定向挂牌。挂牌信息包括但不限于品牌、质量等级、所在仓库、数量、参考期货合约、基差、点价方、最后点价日等。</w:t>
      </w:r>
    </w:p>
    <w:p>
      <w:pPr>
        <w:pStyle w:val="12"/>
        <w:ind w:firstLine="640"/>
        <w:rPr>
          <w:rFonts w:ascii="仿宋" w:hAnsi="仿宋" w:eastAsia="仿宋"/>
          <w:sz w:val="32"/>
          <w:szCs w:val="32"/>
        </w:rPr>
      </w:pPr>
      <w:r>
        <w:rPr>
          <w:rFonts w:hint="eastAsia" w:ascii="仿宋" w:hAnsi="仿宋" w:eastAsia="仿宋"/>
          <w:sz w:val="32"/>
          <w:szCs w:val="32"/>
        </w:rPr>
        <w:t>卖方应为对应白糖现货的所有权人，或者已与泛糖科技签订购销合同并取得泛糖科技授权其代为挂牌的委托书。</w:t>
      </w:r>
    </w:p>
    <w:p>
      <w:pPr>
        <w:pStyle w:val="12"/>
        <w:numPr>
          <w:ilvl w:val="0"/>
          <w:numId w:val="1"/>
        </w:numPr>
        <w:ind w:left="0" w:firstLine="640" w:firstLineChars="0"/>
        <w:rPr>
          <w:rFonts w:ascii="仿宋" w:hAnsi="仿宋" w:eastAsia="仿宋"/>
          <w:sz w:val="32"/>
          <w:szCs w:val="32"/>
        </w:rPr>
      </w:pPr>
      <w:r>
        <w:rPr>
          <w:rFonts w:hint="eastAsia" w:ascii="仿宋" w:hAnsi="仿宋" w:eastAsia="仿宋"/>
          <w:sz w:val="32"/>
          <w:szCs w:val="32"/>
        </w:rPr>
        <w:t>买卖双方保证金由泛糖科技收取。保证金收取方式、保证金标准由泛糖科技另行规定。</w:t>
      </w:r>
    </w:p>
    <w:p>
      <w:pPr>
        <w:pStyle w:val="12"/>
        <w:numPr>
          <w:ilvl w:val="0"/>
          <w:numId w:val="1"/>
        </w:numPr>
        <w:ind w:left="0" w:firstLine="640" w:firstLineChars="0"/>
        <w:rPr>
          <w:rFonts w:ascii="仿宋" w:hAnsi="仿宋" w:eastAsia="仿宋"/>
          <w:sz w:val="32"/>
          <w:szCs w:val="32"/>
        </w:rPr>
      </w:pPr>
      <w:r>
        <w:rPr>
          <w:rFonts w:hint="eastAsia" w:ascii="仿宋" w:hAnsi="仿宋" w:eastAsia="仿宋" w:cs="宋体"/>
          <w:color w:val="000000"/>
          <w:kern w:val="0"/>
          <w:sz w:val="32"/>
          <w:szCs w:val="32"/>
        </w:rPr>
        <w:t>当日点价的，仅能在挂牌当日点价。点价方仅限买方，买方</w:t>
      </w:r>
      <w:r>
        <w:rPr>
          <w:rFonts w:hint="eastAsia" w:ascii="仿宋" w:hAnsi="仿宋" w:eastAsia="仿宋"/>
          <w:sz w:val="32"/>
          <w:szCs w:val="32"/>
        </w:rPr>
        <w:t>输入价格、数量进行报价。报价按照“价格优先、时间优先”原则排序，由排序靠前且不超过挂牌数量的报价发起点价，点价成交</w:t>
      </w:r>
      <w:r>
        <w:rPr>
          <w:rFonts w:hint="eastAsia" w:ascii="仿宋" w:hAnsi="仿宋" w:eastAsia="仿宋"/>
          <w:sz w:val="32"/>
          <w:szCs w:val="32"/>
          <w:lang w:eastAsia="zh-CN"/>
        </w:rPr>
        <w:t>，双方即确定购销关系</w:t>
      </w:r>
      <w:r>
        <w:rPr>
          <w:rFonts w:hint="eastAsia" w:ascii="仿宋" w:hAnsi="仿宋" w:eastAsia="仿宋"/>
          <w:sz w:val="32"/>
          <w:szCs w:val="32"/>
        </w:rPr>
        <w:t xml:space="preserve">。排序靠后的未成交报价自动撤销。       </w:t>
      </w:r>
    </w:p>
    <w:p>
      <w:pPr>
        <w:pStyle w:val="12"/>
        <w:ind w:firstLine="640" w:firstLineChars="0"/>
        <w:rPr>
          <w:rFonts w:ascii="仿宋" w:hAnsi="仿宋" w:eastAsia="仿宋"/>
          <w:sz w:val="32"/>
          <w:szCs w:val="32"/>
        </w:rPr>
      </w:pPr>
      <w:r>
        <w:rPr>
          <w:rFonts w:hint="eastAsia" w:ascii="仿宋" w:hAnsi="仿宋" w:eastAsia="仿宋"/>
          <w:sz w:val="32"/>
          <w:szCs w:val="32"/>
        </w:rPr>
        <w:t>多日点价的，点价期为摘牌之时至最后点价日闭市前。买方摘牌</w:t>
      </w:r>
      <w:r>
        <w:rPr>
          <w:rFonts w:hint="eastAsia" w:ascii="仿宋" w:hAnsi="仿宋" w:eastAsia="仿宋"/>
          <w:sz w:val="32"/>
          <w:szCs w:val="32"/>
          <w:lang w:eastAsia="zh-CN"/>
        </w:rPr>
        <w:t>，双方</w:t>
      </w:r>
      <w:r>
        <w:rPr>
          <w:rFonts w:hint="eastAsia" w:ascii="仿宋" w:hAnsi="仿宋" w:eastAsia="仿宋"/>
          <w:sz w:val="32"/>
          <w:szCs w:val="32"/>
        </w:rPr>
        <w:t>即</w:t>
      </w:r>
      <w:r>
        <w:rPr>
          <w:rFonts w:hint="eastAsia" w:ascii="仿宋" w:hAnsi="仿宋" w:eastAsia="仿宋"/>
          <w:sz w:val="32"/>
          <w:szCs w:val="32"/>
          <w:lang w:eastAsia="zh-CN"/>
        </w:rPr>
        <w:t>确定购销关系</w:t>
      </w:r>
      <w:r>
        <w:rPr>
          <w:rFonts w:hint="eastAsia" w:ascii="仿宋" w:hAnsi="仿宋" w:eastAsia="仿宋"/>
          <w:sz w:val="32"/>
          <w:szCs w:val="32"/>
        </w:rPr>
        <w:t>。挂牌时指定的点价方在点价期内输入价格、数量发起点价，且应当在点价期内完成点价。</w:t>
      </w:r>
    </w:p>
    <w:p>
      <w:pPr>
        <w:pStyle w:val="12"/>
        <w:numPr>
          <w:ilvl w:val="0"/>
          <w:numId w:val="1"/>
        </w:numPr>
        <w:ind w:left="0" w:firstLine="640" w:firstLineChars="0"/>
        <w:rPr>
          <w:rFonts w:ascii="黑体" w:hAnsi="黑体" w:eastAsia="黑体"/>
          <w:sz w:val="32"/>
          <w:szCs w:val="32"/>
        </w:rPr>
      </w:pPr>
      <w:r>
        <w:rPr>
          <w:rFonts w:hint="eastAsia" w:ascii="仿宋" w:hAnsi="仿宋" w:eastAsia="仿宋"/>
          <w:sz w:val="32"/>
          <w:szCs w:val="32"/>
        </w:rPr>
        <w:t>点价方发起点价触发联动点价功能，在被点价方指定期货账户按照点价报价下单平仓。对应的平仓比例由被点价方提前自行设定。</w:t>
      </w:r>
    </w:p>
    <w:p>
      <w:pPr>
        <w:pStyle w:val="12"/>
        <w:tabs>
          <w:tab w:val="left" w:pos="-420"/>
        </w:tabs>
        <w:ind w:firstLine="480" w:firstLineChars="0"/>
        <w:jc w:val="left"/>
        <w:rPr>
          <w:rFonts w:ascii="仿宋" w:hAnsi="仿宋" w:eastAsia="仿宋"/>
          <w:sz w:val="32"/>
          <w:szCs w:val="32"/>
        </w:rPr>
      </w:pPr>
      <w:r>
        <w:rPr>
          <w:rFonts w:hint="eastAsia" w:ascii="仿宋" w:hAnsi="仿宋" w:eastAsia="仿宋"/>
          <w:sz w:val="32"/>
          <w:szCs w:val="32"/>
        </w:rPr>
        <w:t>平仓下单数量（手）=点价数量（吨）×平仓比例÷期货交易单位（吨/手）</w:t>
      </w:r>
    </w:p>
    <w:p>
      <w:pPr>
        <w:ind w:firstLine="640" w:firstLineChars="200"/>
        <w:rPr>
          <w:rFonts w:ascii="仿宋" w:hAnsi="仿宋" w:eastAsia="仿宋"/>
          <w:sz w:val="32"/>
          <w:szCs w:val="32"/>
        </w:rPr>
      </w:pPr>
      <w:r>
        <w:rPr>
          <w:rFonts w:hint="eastAsia" w:ascii="仿宋" w:hAnsi="仿宋" w:eastAsia="仿宋"/>
          <w:sz w:val="32"/>
          <w:szCs w:val="32"/>
        </w:rPr>
        <w:t>下单数量按照期货最小交易单位四舍五入取整。被点价方指定期货账户相应期货头寸不足的，则按被点价方可平仓数量下单。</w:t>
      </w:r>
    </w:p>
    <w:p>
      <w:pPr>
        <w:pStyle w:val="12"/>
        <w:ind w:firstLine="640"/>
        <w:rPr>
          <w:rFonts w:ascii="黑体" w:hAnsi="黑体" w:eastAsia="黑体"/>
          <w:sz w:val="32"/>
          <w:szCs w:val="32"/>
        </w:rPr>
      </w:pPr>
      <w:r>
        <w:rPr>
          <w:rFonts w:hint="eastAsia" w:ascii="仿宋" w:hAnsi="仿宋" w:eastAsia="仿宋"/>
          <w:sz w:val="32"/>
          <w:szCs w:val="32"/>
        </w:rPr>
        <w:t>平仓单全部成交的，则点价全部成交；平仓单部分成交的，按以下公式计算点价成交数量：</w:t>
      </w:r>
    </w:p>
    <w:p>
      <w:pPr>
        <w:pStyle w:val="12"/>
        <w:tabs>
          <w:tab w:val="left" w:pos="-420"/>
        </w:tabs>
        <w:ind w:firstLine="480" w:firstLineChars="0"/>
        <w:jc w:val="left"/>
        <w:rPr>
          <w:rFonts w:ascii="仿宋" w:hAnsi="仿宋" w:eastAsia="仿宋"/>
          <w:sz w:val="32"/>
          <w:szCs w:val="32"/>
        </w:rPr>
      </w:pPr>
      <w:r>
        <w:rPr>
          <w:rFonts w:hint="eastAsia" w:ascii="仿宋" w:hAnsi="仿宋" w:eastAsia="仿宋"/>
          <w:sz w:val="32"/>
          <w:szCs w:val="32"/>
        </w:rPr>
        <w:t>点价成交数量（吨）=平仓成交数量（手）×期货交易单位（吨/手）÷平仓比例</w:t>
      </w:r>
    </w:p>
    <w:p>
      <w:pPr>
        <w:ind w:firstLine="640" w:firstLineChars="200"/>
        <w:rPr>
          <w:rFonts w:ascii="仿宋" w:hAnsi="仿宋" w:eastAsia="仿宋"/>
          <w:sz w:val="32"/>
          <w:szCs w:val="32"/>
        </w:rPr>
      </w:pPr>
      <w:r>
        <w:rPr>
          <w:rFonts w:hint="eastAsia" w:ascii="仿宋" w:hAnsi="仿宋" w:eastAsia="仿宋"/>
          <w:sz w:val="32"/>
          <w:szCs w:val="32"/>
        </w:rPr>
        <w:t>成交数量按照泛糖专区最小交易单位四舍五入取整。</w:t>
      </w:r>
    </w:p>
    <w:p>
      <w:pPr>
        <w:ind w:firstLine="640" w:firstLineChars="200"/>
        <w:rPr>
          <w:rFonts w:ascii="仿宋" w:hAnsi="仿宋" w:eastAsia="仿宋"/>
          <w:sz w:val="32"/>
          <w:szCs w:val="32"/>
        </w:rPr>
      </w:pPr>
      <w:r>
        <w:rPr>
          <w:rFonts w:hint="eastAsia" w:ascii="仿宋" w:hAnsi="仿宋" w:eastAsia="仿宋"/>
          <w:sz w:val="32"/>
          <w:szCs w:val="32"/>
        </w:rPr>
        <w:t>点价成交的，按以下公式计算交收价格：</w:t>
      </w:r>
    </w:p>
    <w:p>
      <w:pPr>
        <w:ind w:firstLine="640" w:firstLineChars="200"/>
        <w:rPr>
          <w:rFonts w:ascii="仿宋" w:hAnsi="仿宋" w:eastAsia="仿宋"/>
          <w:sz w:val="32"/>
          <w:szCs w:val="32"/>
        </w:rPr>
      </w:pPr>
      <w:r>
        <w:rPr>
          <w:rFonts w:hint="eastAsia" w:ascii="仿宋" w:hAnsi="仿宋" w:eastAsia="仿宋"/>
          <w:sz w:val="32"/>
          <w:szCs w:val="32"/>
        </w:rPr>
        <w:t>交收价格（元/吨）=平仓成交价（元/吨）+基差（元/吨）</w:t>
      </w:r>
    </w:p>
    <w:p>
      <w:pPr>
        <w:ind w:firstLine="640" w:firstLineChars="200"/>
        <w:rPr>
          <w:rFonts w:ascii="仿宋" w:hAnsi="仿宋" w:eastAsia="仿宋"/>
          <w:sz w:val="32"/>
          <w:szCs w:val="32"/>
        </w:rPr>
      </w:pPr>
      <w:r>
        <w:rPr>
          <w:rFonts w:ascii="仿宋" w:hAnsi="仿宋" w:eastAsia="仿宋"/>
          <w:sz w:val="32"/>
          <w:szCs w:val="32"/>
        </w:rPr>
        <w:t>一次点价多次平</w:t>
      </w:r>
      <w:r>
        <w:rPr>
          <w:rFonts w:hint="eastAsia" w:ascii="仿宋" w:hAnsi="仿宋" w:eastAsia="仿宋"/>
          <w:sz w:val="32"/>
          <w:szCs w:val="32"/>
        </w:rPr>
        <w:t>仓</w:t>
      </w:r>
      <w:r>
        <w:rPr>
          <w:rFonts w:ascii="仿宋" w:hAnsi="仿宋" w:eastAsia="仿宋"/>
          <w:sz w:val="32"/>
          <w:szCs w:val="32"/>
        </w:rPr>
        <w:t>成交的</w:t>
      </w:r>
      <w:r>
        <w:rPr>
          <w:rFonts w:hint="eastAsia" w:ascii="仿宋" w:hAnsi="仿宋" w:eastAsia="仿宋"/>
          <w:sz w:val="32"/>
          <w:szCs w:val="32"/>
        </w:rPr>
        <w:t>，</w:t>
      </w:r>
      <w:r>
        <w:rPr>
          <w:rFonts w:ascii="仿宋" w:hAnsi="仿宋" w:eastAsia="仿宋"/>
          <w:sz w:val="32"/>
          <w:szCs w:val="32"/>
        </w:rPr>
        <w:t>平仓成交价按成交量加权取平均值</w:t>
      </w:r>
      <w:r>
        <w:rPr>
          <w:rFonts w:hint="eastAsia" w:ascii="仿宋" w:hAnsi="仿宋" w:eastAsia="仿宋"/>
          <w:sz w:val="32"/>
          <w:szCs w:val="32"/>
        </w:rPr>
        <w:t>，</w:t>
      </w:r>
      <w:r>
        <w:rPr>
          <w:rFonts w:ascii="仿宋" w:hAnsi="仿宋" w:eastAsia="仿宋"/>
          <w:sz w:val="32"/>
          <w:szCs w:val="32"/>
        </w:rPr>
        <w:t>四舍五入精确到个位数</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被点价方指定期货账户可平仓数量为0的或者联动点价客户端没有正常登录的，只要点价后参考合约最新价满足点价价格要求，则判定点价全部成交，平仓成交价为</w:t>
      </w:r>
      <w:r>
        <w:rPr>
          <w:rFonts w:ascii="仿宋" w:hAnsi="仿宋" w:eastAsia="仿宋"/>
          <w:sz w:val="32"/>
          <w:szCs w:val="32"/>
        </w:rPr>
        <w:t>参考合约最新价</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交易所根据点价成交数量收取买方和卖方手续费。手续费标准由交易所另行公告。</w:t>
      </w:r>
    </w:p>
    <w:p>
      <w:pPr>
        <w:pStyle w:val="12"/>
        <w:numPr>
          <w:ilvl w:val="0"/>
          <w:numId w:val="1"/>
        </w:numPr>
        <w:ind w:left="0" w:firstLine="640" w:firstLineChars="0"/>
        <w:rPr>
          <w:rFonts w:ascii="仿宋" w:hAnsi="仿宋" w:eastAsia="仿宋"/>
          <w:sz w:val="32"/>
          <w:szCs w:val="32"/>
        </w:rPr>
      </w:pPr>
      <w:r>
        <w:rPr>
          <w:rFonts w:hint="eastAsia" w:ascii="仿宋" w:hAnsi="仿宋" w:eastAsia="仿宋"/>
          <w:sz w:val="32"/>
          <w:szCs w:val="32"/>
        </w:rPr>
        <w:t>当日点价的，卖方可撤销未被点价或者被点价但未成交</w:t>
      </w:r>
      <w:r>
        <w:rPr>
          <w:rFonts w:ascii="仿宋" w:hAnsi="仿宋" w:eastAsia="仿宋"/>
          <w:sz w:val="32"/>
          <w:szCs w:val="32"/>
        </w:rPr>
        <w:t>的</w:t>
      </w:r>
      <w:r>
        <w:rPr>
          <w:rFonts w:hint="eastAsia" w:ascii="仿宋" w:hAnsi="仿宋" w:eastAsia="仿宋"/>
          <w:sz w:val="32"/>
          <w:szCs w:val="32"/>
        </w:rPr>
        <w:t>挂牌，交易所撤销该笔挂牌对应的平仓单，同时撤销未成交的买方点价；买方</w:t>
      </w:r>
      <w:r>
        <w:rPr>
          <w:rFonts w:ascii="仿宋" w:hAnsi="仿宋" w:eastAsia="仿宋"/>
          <w:sz w:val="32"/>
          <w:szCs w:val="32"/>
        </w:rPr>
        <w:t>可撤销</w:t>
      </w:r>
      <w:r>
        <w:rPr>
          <w:rFonts w:hint="eastAsia" w:ascii="仿宋" w:hAnsi="仿宋" w:eastAsia="仿宋"/>
          <w:sz w:val="32"/>
          <w:szCs w:val="32"/>
        </w:rPr>
        <w:t>未成交</w:t>
      </w:r>
      <w:r>
        <w:rPr>
          <w:rFonts w:ascii="仿宋" w:hAnsi="仿宋" w:eastAsia="仿宋"/>
          <w:sz w:val="32"/>
          <w:szCs w:val="32"/>
        </w:rPr>
        <w:t>的</w:t>
      </w:r>
      <w:r>
        <w:rPr>
          <w:rFonts w:hint="eastAsia" w:ascii="仿宋" w:hAnsi="仿宋" w:eastAsia="仿宋"/>
          <w:sz w:val="32"/>
          <w:szCs w:val="32"/>
        </w:rPr>
        <w:t>点价，交易所撤销该笔点价对应的平仓单。</w:t>
      </w:r>
    </w:p>
    <w:p>
      <w:pPr>
        <w:pStyle w:val="12"/>
        <w:ind w:firstLine="640"/>
        <w:rPr>
          <w:rFonts w:ascii="仿宋" w:hAnsi="仿宋" w:eastAsia="仿宋"/>
          <w:sz w:val="32"/>
          <w:szCs w:val="32"/>
        </w:rPr>
      </w:pPr>
      <w:r>
        <w:rPr>
          <w:rFonts w:hint="eastAsia" w:ascii="仿宋" w:hAnsi="仿宋" w:eastAsia="仿宋"/>
          <w:sz w:val="32"/>
          <w:szCs w:val="32"/>
        </w:rPr>
        <w:t>多日点价的，卖方可撤销未被摘牌</w:t>
      </w:r>
      <w:r>
        <w:rPr>
          <w:rFonts w:ascii="仿宋" w:hAnsi="仿宋" w:eastAsia="仿宋"/>
          <w:sz w:val="32"/>
          <w:szCs w:val="32"/>
        </w:rPr>
        <w:t>的</w:t>
      </w:r>
      <w:r>
        <w:rPr>
          <w:rFonts w:hint="eastAsia" w:ascii="仿宋" w:hAnsi="仿宋" w:eastAsia="仿宋"/>
          <w:sz w:val="32"/>
          <w:szCs w:val="32"/>
        </w:rPr>
        <w:t>挂牌；买方可撤销未成交的点价，交易所撤销该笔点价对应的平仓单。</w:t>
      </w:r>
    </w:p>
    <w:p>
      <w:pPr>
        <w:pStyle w:val="12"/>
        <w:numPr>
          <w:ilvl w:val="0"/>
          <w:numId w:val="1"/>
        </w:numPr>
        <w:ind w:left="0" w:firstLine="640" w:firstLineChars="0"/>
        <w:rPr>
          <w:rFonts w:ascii="仿宋" w:hAnsi="仿宋" w:eastAsia="仿宋"/>
          <w:sz w:val="32"/>
          <w:szCs w:val="32"/>
        </w:rPr>
      </w:pPr>
      <w:r>
        <w:rPr>
          <w:rFonts w:hint="eastAsia" w:ascii="仿宋" w:hAnsi="仿宋" w:eastAsia="仿宋"/>
          <w:sz w:val="32"/>
          <w:szCs w:val="32"/>
        </w:rPr>
        <w:t>未成交的挂牌和点价，当日闭市后自动撤销。</w:t>
      </w:r>
    </w:p>
    <w:p>
      <w:pPr>
        <w:pStyle w:val="12"/>
        <w:numPr>
          <w:ilvl w:val="0"/>
          <w:numId w:val="1"/>
        </w:numPr>
        <w:ind w:left="0" w:firstLine="640" w:firstLineChars="0"/>
        <w:rPr>
          <w:rFonts w:ascii="黑体" w:hAnsi="黑体" w:eastAsia="黑体"/>
          <w:sz w:val="32"/>
          <w:szCs w:val="32"/>
        </w:rPr>
      </w:pPr>
      <w:r>
        <w:rPr>
          <w:rFonts w:hint="eastAsia" w:ascii="仿宋" w:hAnsi="仿宋" w:eastAsia="仿宋"/>
          <w:sz w:val="32"/>
          <w:szCs w:val="32"/>
        </w:rPr>
        <w:t>被点价方应保持联动点价客户端的正常登录状态。被点价方未保持正常登录状态，出现以下情形的，后果由被点价方承担：</w:t>
      </w:r>
    </w:p>
    <w:p>
      <w:pPr>
        <w:ind w:firstLine="640" w:firstLineChars="200"/>
        <w:rPr>
          <w:rFonts w:ascii="仿宋" w:hAnsi="仿宋" w:eastAsia="仿宋"/>
          <w:sz w:val="32"/>
          <w:szCs w:val="32"/>
        </w:rPr>
      </w:pPr>
      <w:r>
        <w:rPr>
          <w:rFonts w:hint="eastAsia" w:ascii="仿宋" w:hAnsi="仿宋" w:eastAsia="仿宋"/>
          <w:sz w:val="32"/>
          <w:szCs w:val="32"/>
        </w:rPr>
        <w:t>（一）点价方撤销点价而被点价方平仓单未能</w:t>
      </w:r>
      <w:r>
        <w:rPr>
          <w:rFonts w:hint="eastAsia" w:ascii="仿宋" w:hAnsi="仿宋" w:eastAsia="仿宋"/>
          <w:sz w:val="32"/>
          <w:szCs w:val="32"/>
          <w:lang w:eastAsia="zh-CN"/>
        </w:rPr>
        <w:t>撤销</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（二）点价成交而被点价方未下平仓单；</w:t>
      </w:r>
    </w:p>
    <w:p>
      <w:pPr>
        <w:ind w:firstLine="640" w:firstLineChars="200"/>
        <w:rPr>
          <w:rFonts w:ascii="仿宋" w:hAnsi="仿宋" w:eastAsia="仿宋"/>
          <w:sz w:val="32"/>
          <w:szCs w:val="32"/>
        </w:rPr>
      </w:pPr>
      <w:r>
        <w:rPr>
          <w:rFonts w:hint="eastAsia" w:ascii="仿宋" w:hAnsi="仿宋" w:eastAsia="仿宋"/>
          <w:sz w:val="32"/>
          <w:szCs w:val="32"/>
        </w:rPr>
        <w:t>（三）期货市场结算前</w:t>
      </w:r>
      <w:r>
        <w:rPr>
          <w:rFonts w:hint="eastAsia" w:ascii="仿宋" w:hAnsi="仿宋" w:eastAsia="仿宋"/>
          <w:sz w:val="32"/>
          <w:szCs w:val="32"/>
          <w:lang w:eastAsia="zh-CN"/>
        </w:rPr>
        <w:t>交易所</w:t>
      </w:r>
      <w:r>
        <w:rPr>
          <w:rFonts w:hint="eastAsia" w:ascii="仿宋" w:hAnsi="仿宋" w:eastAsia="仿宋"/>
          <w:sz w:val="32"/>
          <w:szCs w:val="32"/>
        </w:rPr>
        <w:t>平台无法获取点价对应的平仓结果，导致点价未成功。</w:t>
      </w:r>
    </w:p>
    <w:p>
      <w:pPr>
        <w:ind w:firstLine="200"/>
        <w:jc w:val="center"/>
        <w:rPr>
          <w:rFonts w:ascii="黑体" w:hAnsi="黑体" w:eastAsia="黑体"/>
          <w:sz w:val="32"/>
          <w:szCs w:val="32"/>
        </w:rPr>
      </w:pPr>
      <w:r>
        <w:rPr>
          <w:rFonts w:hint="eastAsia" w:ascii="黑体" w:hAnsi="黑体" w:eastAsia="黑体"/>
          <w:sz w:val="32"/>
          <w:szCs w:val="32"/>
        </w:rPr>
        <w:t>第三章 交收业务</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本章所称交收业务，是指泛糖平台</w:t>
      </w:r>
      <w:r>
        <w:rPr>
          <w:rFonts w:ascii="仿宋" w:hAnsi="仿宋" w:eastAsia="仿宋"/>
          <w:sz w:val="32"/>
          <w:szCs w:val="32"/>
        </w:rPr>
        <w:t>获取点价</w:t>
      </w:r>
      <w:r>
        <w:rPr>
          <w:rFonts w:hint="eastAsia" w:ascii="仿宋" w:hAnsi="仿宋" w:eastAsia="仿宋"/>
          <w:sz w:val="32"/>
          <w:szCs w:val="32"/>
        </w:rPr>
        <w:t>成交信息</w:t>
      </w:r>
      <w:r>
        <w:rPr>
          <w:rFonts w:ascii="仿宋" w:hAnsi="仿宋" w:eastAsia="仿宋"/>
          <w:sz w:val="32"/>
          <w:szCs w:val="32"/>
        </w:rPr>
        <w:t>后</w:t>
      </w:r>
      <w:r>
        <w:rPr>
          <w:rFonts w:hint="eastAsia" w:ascii="仿宋" w:hAnsi="仿宋" w:eastAsia="仿宋"/>
          <w:sz w:val="32"/>
          <w:szCs w:val="32"/>
        </w:rPr>
        <w:t>，买卖双方与泛糖科技在泛糖平台办理现货交付、货款结算和发票流转的业务。</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买卖双方根据点价成交信息分别</w:t>
      </w:r>
      <w:r>
        <w:rPr>
          <w:rFonts w:ascii="仿宋" w:hAnsi="仿宋" w:eastAsia="仿宋"/>
          <w:sz w:val="32"/>
          <w:szCs w:val="32"/>
        </w:rPr>
        <w:t>与</w:t>
      </w:r>
      <w:r>
        <w:rPr>
          <w:rFonts w:hint="eastAsia" w:ascii="仿宋" w:hAnsi="仿宋" w:eastAsia="仿宋"/>
          <w:sz w:val="32"/>
          <w:szCs w:val="32"/>
        </w:rPr>
        <w:t>泛糖科技签订合同。</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实际交收现货以泛糖平台可选现货为准，买方应提前在泛糖平台选择拟购买的现货。具体选货事项按照泛糖科技相关规定执行。</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卖方与泛糖科技、泛糖科技与</w:t>
      </w:r>
      <w:r>
        <w:rPr>
          <w:rFonts w:hint="eastAsia" w:ascii="仿宋" w:hAnsi="仿宋" w:eastAsia="仿宋"/>
          <w:sz w:val="32"/>
          <w:szCs w:val="32"/>
        </w:rPr>
        <w:tab/>
      </w:r>
      <w:r>
        <w:rPr>
          <w:rFonts w:hint="eastAsia" w:ascii="仿宋" w:hAnsi="仿宋" w:eastAsia="仿宋"/>
          <w:sz w:val="32"/>
          <w:szCs w:val="32"/>
        </w:rPr>
        <w:t>买方应当按交收价格、点价成交数量、实际交付货物升贴水</w:t>
      </w:r>
      <w:r>
        <w:rPr>
          <w:rFonts w:ascii="仿宋" w:hAnsi="仿宋" w:eastAsia="仿宋"/>
          <w:sz w:val="32"/>
          <w:szCs w:val="32"/>
        </w:rPr>
        <w:t>等</w:t>
      </w:r>
      <w:r>
        <w:rPr>
          <w:rFonts w:hint="eastAsia" w:ascii="仿宋" w:hAnsi="仿宋" w:eastAsia="仿宋"/>
          <w:sz w:val="32"/>
          <w:szCs w:val="32"/>
        </w:rPr>
        <w:t>确认货款。升贴水由泛糖科技根据现货的质量等级、品牌等因素制定公布。</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货款发票流转事宜按照泛糖科技相关规定办理。</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泛糖科技应当及时向交易所反馈客户的交收情况。</w:t>
      </w:r>
    </w:p>
    <w:p>
      <w:pPr>
        <w:jc w:val="center"/>
        <w:rPr>
          <w:rFonts w:ascii="仿宋" w:hAnsi="仿宋" w:eastAsia="仿宋"/>
          <w:sz w:val="32"/>
          <w:szCs w:val="32"/>
        </w:rPr>
      </w:pPr>
      <w:r>
        <w:rPr>
          <w:rFonts w:hint="eastAsia" w:ascii="黑体" w:hAnsi="黑体" w:eastAsia="黑体"/>
          <w:sz w:val="32"/>
          <w:szCs w:val="32"/>
        </w:rPr>
        <w:t>第四章 违规违约处理</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客户与泛糖科技之间的争议由双方自行处理。</w:t>
      </w:r>
    </w:p>
    <w:p>
      <w:pPr>
        <w:pStyle w:val="12"/>
        <w:numPr>
          <w:ilvl w:val="0"/>
          <w:numId w:val="1"/>
        </w:numPr>
        <w:ind w:left="0" w:firstLine="641" w:firstLineChars="0"/>
        <w:rPr>
          <w:rFonts w:ascii="仿宋" w:hAnsi="仿宋" w:eastAsia="仿宋"/>
          <w:color w:val="212529"/>
          <w:sz w:val="32"/>
          <w:szCs w:val="32"/>
          <w:shd w:val="clear" w:color="auto" w:fill="FFFFFF"/>
        </w:rPr>
      </w:pPr>
      <w:r>
        <w:rPr>
          <w:rFonts w:hint="eastAsia" w:ascii="仿宋" w:hAnsi="仿宋" w:eastAsia="仿宋"/>
          <w:sz w:val="32"/>
          <w:szCs w:val="32"/>
        </w:rPr>
        <w:t>多日点价的，点价方在最后点价日闭市前未按照约定的数量完成点价，由泛糖科技协调买卖双方处理。</w:t>
      </w:r>
    </w:p>
    <w:p>
      <w:pPr>
        <w:pStyle w:val="12"/>
        <w:numPr>
          <w:ilvl w:val="0"/>
          <w:numId w:val="1"/>
        </w:numPr>
        <w:ind w:left="0" w:firstLine="641" w:firstLineChars="0"/>
        <w:rPr>
          <w:rFonts w:ascii="仿宋" w:hAnsi="仿宋" w:eastAsia="仿宋"/>
          <w:sz w:val="32"/>
          <w:szCs w:val="32"/>
        </w:rPr>
      </w:pPr>
      <w:r>
        <w:rPr>
          <w:rFonts w:hint="eastAsia" w:ascii="仿宋" w:hAnsi="仿宋" w:eastAsia="仿宋"/>
          <w:sz w:val="32"/>
          <w:szCs w:val="32"/>
        </w:rPr>
        <w:t>客户存在以下违规违约行为的，交易所可以依据《郑州商品交易所综合业务平台管理办法》等相关业务规则采取限制交易、通报批评等措施：</w:t>
      </w:r>
    </w:p>
    <w:p>
      <w:pPr>
        <w:ind w:firstLine="64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）在已有点价的情况下，</w:t>
      </w:r>
      <w:r>
        <w:rPr>
          <w:rFonts w:ascii="仿宋" w:hAnsi="仿宋" w:eastAsia="仿宋"/>
          <w:sz w:val="32"/>
          <w:szCs w:val="32"/>
        </w:rPr>
        <w:t>被点价方</w:t>
      </w:r>
      <w:r>
        <w:rPr>
          <w:rFonts w:hint="eastAsia" w:ascii="仿宋" w:hAnsi="仿宋" w:eastAsia="仿宋"/>
          <w:sz w:val="32"/>
          <w:szCs w:val="32"/>
        </w:rPr>
        <w:t>频繁撤销挂牌、期货平仓单的；</w:t>
      </w:r>
    </w:p>
    <w:p>
      <w:pPr>
        <w:ind w:firstLine="64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w:t>
      </w:r>
      <w:r>
        <w:rPr>
          <w:rFonts w:hint="eastAsia" w:ascii="仿宋" w:hAnsi="仿宋" w:eastAsia="仿宋"/>
          <w:sz w:val="32"/>
          <w:szCs w:val="32"/>
        </w:rPr>
        <w:t>）卖方未取得对应白糖现货所有权，或者未取得泛糖科技委托其代为</w:t>
      </w:r>
      <w:r>
        <w:rPr>
          <w:rFonts w:ascii="仿宋" w:hAnsi="仿宋" w:eastAsia="仿宋"/>
          <w:sz w:val="32"/>
          <w:szCs w:val="32"/>
        </w:rPr>
        <w:t>挂牌</w:t>
      </w:r>
      <w:r>
        <w:rPr>
          <w:rFonts w:hint="eastAsia" w:ascii="仿宋" w:hAnsi="仿宋" w:eastAsia="仿宋"/>
          <w:sz w:val="32"/>
          <w:szCs w:val="32"/>
        </w:rPr>
        <w:t>授权的；</w:t>
      </w:r>
    </w:p>
    <w:p>
      <w:pPr>
        <w:ind w:firstLine="64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三</w:t>
      </w:r>
      <w:r>
        <w:rPr>
          <w:rFonts w:hint="eastAsia" w:ascii="仿宋" w:hAnsi="仿宋" w:eastAsia="仿宋"/>
          <w:sz w:val="32"/>
          <w:szCs w:val="32"/>
        </w:rPr>
        <w:t>）</w:t>
      </w:r>
      <w:r>
        <w:rPr>
          <w:rFonts w:ascii="仿宋" w:hAnsi="仿宋" w:eastAsia="仿宋"/>
          <w:sz w:val="32"/>
          <w:szCs w:val="32"/>
        </w:rPr>
        <w:t>点价方</w:t>
      </w:r>
      <w:r>
        <w:rPr>
          <w:rFonts w:hint="eastAsia" w:ascii="仿宋" w:hAnsi="仿宋" w:eastAsia="仿宋"/>
          <w:sz w:val="32"/>
          <w:szCs w:val="32"/>
        </w:rPr>
        <w:t>频繁撤销</w:t>
      </w:r>
      <w:r>
        <w:rPr>
          <w:rFonts w:ascii="仿宋" w:hAnsi="仿宋" w:eastAsia="仿宋"/>
          <w:sz w:val="32"/>
          <w:szCs w:val="32"/>
        </w:rPr>
        <w:t>点价</w:t>
      </w:r>
      <w:r>
        <w:rPr>
          <w:rFonts w:hint="eastAsia" w:ascii="仿宋" w:hAnsi="仿宋" w:eastAsia="仿宋"/>
          <w:sz w:val="32"/>
          <w:szCs w:val="32"/>
        </w:rPr>
        <w:t>的；</w:t>
      </w:r>
    </w:p>
    <w:p>
      <w:pPr>
        <w:ind w:firstLine="64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四</w:t>
      </w:r>
      <w:r>
        <w:rPr>
          <w:rFonts w:hint="eastAsia" w:ascii="仿宋" w:hAnsi="仿宋" w:eastAsia="仿宋"/>
          <w:sz w:val="32"/>
          <w:szCs w:val="32"/>
        </w:rPr>
        <w:t>）经生效裁判、仲裁文书确认，存在交收违约的。</w:t>
      </w:r>
    </w:p>
    <w:p>
      <w:pPr>
        <w:jc w:val="center"/>
        <w:rPr>
          <w:rFonts w:ascii="黑体" w:hAnsi="黑体" w:eastAsia="黑体"/>
          <w:sz w:val="32"/>
          <w:szCs w:val="32"/>
        </w:rPr>
      </w:pPr>
      <w:r>
        <w:rPr>
          <w:rFonts w:hint="eastAsia" w:ascii="黑体" w:hAnsi="黑体" w:eastAsia="黑体"/>
          <w:sz w:val="32"/>
          <w:szCs w:val="32"/>
        </w:rPr>
        <w:t>第五章 附则</w:t>
      </w:r>
    </w:p>
    <w:p>
      <w:pPr>
        <w:pStyle w:val="12"/>
        <w:numPr>
          <w:ilvl w:val="0"/>
          <w:numId w:val="1"/>
        </w:numPr>
        <w:ind w:left="0" w:firstLine="641" w:firstLineChars="0"/>
        <w:jc w:val="left"/>
        <w:rPr>
          <w:rFonts w:ascii="仿宋" w:hAnsi="仿宋" w:eastAsia="仿宋"/>
          <w:sz w:val="32"/>
        </w:rPr>
      </w:pPr>
      <w:r>
        <w:rPr>
          <w:rFonts w:hint="eastAsia" w:ascii="仿宋" w:hAnsi="仿宋" w:eastAsia="仿宋"/>
          <w:sz w:val="32"/>
          <w:szCs w:val="32"/>
        </w:rPr>
        <w:t>本业务指引解释权属于郑州商品交易所。</w:t>
      </w:r>
      <w:r>
        <w:rPr>
          <w:rFonts w:hint="eastAsia" w:ascii="仿宋" w:hAnsi="仿宋" w:eastAsia="仿宋"/>
          <w:sz w:val="32"/>
          <w:szCs w:val="32"/>
          <w:lang w:eastAsia="zh-CN"/>
        </w:rPr>
        <w:t>本指引施行前发布的</w:t>
      </w:r>
      <w:r>
        <w:rPr>
          <w:rFonts w:hint="eastAsia" w:ascii="仿宋" w:hAnsi="仿宋" w:eastAsia="仿宋"/>
          <w:sz w:val="32"/>
          <w:szCs w:val="32"/>
        </w:rPr>
        <w:t>其他</w:t>
      </w:r>
      <w:r>
        <w:rPr>
          <w:rFonts w:hint="eastAsia" w:ascii="仿宋" w:hAnsi="仿宋" w:eastAsia="仿宋"/>
          <w:sz w:val="32"/>
          <w:szCs w:val="32"/>
          <w:lang w:eastAsia="zh-CN"/>
        </w:rPr>
        <w:t>有关</w:t>
      </w:r>
      <w:r>
        <w:rPr>
          <w:rFonts w:hint="eastAsia" w:ascii="仿宋" w:hAnsi="仿宋" w:eastAsia="仿宋"/>
          <w:sz w:val="32"/>
          <w:szCs w:val="32"/>
        </w:rPr>
        <w:t>业务规则与本指引不一致的，按照本指引执行。</w:t>
      </w:r>
    </w:p>
    <w:p>
      <w:pPr>
        <w:pStyle w:val="12"/>
        <w:numPr>
          <w:ilvl w:val="0"/>
          <w:numId w:val="1"/>
        </w:numPr>
        <w:ind w:left="0" w:firstLine="641" w:firstLineChars="0"/>
        <w:jc w:val="left"/>
        <w:rPr>
          <w:rFonts w:ascii="仿宋" w:hAnsi="仿宋" w:eastAsia="仿宋"/>
          <w:sz w:val="32"/>
        </w:rPr>
      </w:pPr>
      <w:r>
        <w:rPr>
          <w:rFonts w:hint="eastAsia" w:ascii="仿宋" w:hAnsi="仿宋" w:eastAsia="仿宋"/>
          <w:sz w:val="32"/>
          <w:szCs w:val="32"/>
        </w:rPr>
        <w:t>本业务指引自</w:t>
      </w:r>
      <w:r>
        <w:rPr>
          <w:rFonts w:eastAsia="仿宋"/>
          <w:sz w:val="32"/>
          <w:szCs w:val="32"/>
        </w:rPr>
        <w:t>202</w:t>
      </w:r>
      <w:r>
        <w:rPr>
          <w:rFonts w:hint="eastAsia" w:eastAsia="仿宋"/>
          <w:sz w:val="32"/>
          <w:szCs w:val="32"/>
        </w:rPr>
        <w:t>3</w:t>
      </w:r>
      <w:r>
        <w:rPr>
          <w:rFonts w:hint="eastAsia" w:hAnsi="仿宋" w:eastAsia="仿宋"/>
          <w:sz w:val="32"/>
          <w:szCs w:val="32"/>
        </w:rPr>
        <w:t>年</w:t>
      </w:r>
      <w:r>
        <w:rPr>
          <w:rFonts w:hint="eastAsia" w:eastAsia="仿宋"/>
          <w:sz w:val="32"/>
          <w:szCs w:val="32"/>
          <w:lang w:val="en-US" w:eastAsia="zh-CN"/>
        </w:rPr>
        <w:t>10</w:t>
      </w:r>
      <w:r>
        <w:rPr>
          <w:rFonts w:hint="eastAsia" w:hAnsi="仿宋" w:eastAsia="仿宋"/>
          <w:sz w:val="32"/>
          <w:szCs w:val="32"/>
        </w:rPr>
        <w:t>月</w:t>
      </w:r>
      <w:r>
        <w:rPr>
          <w:rFonts w:hint="eastAsia" w:eastAsia="仿宋"/>
          <w:sz w:val="32"/>
          <w:szCs w:val="32"/>
          <w:lang w:val="en-US" w:eastAsia="zh-CN"/>
        </w:rPr>
        <w:t>16</w:t>
      </w:r>
      <w:r>
        <w:rPr>
          <w:rFonts w:hint="eastAsia" w:ascii="仿宋" w:hAnsi="仿宋" w:eastAsia="仿宋"/>
          <w:sz w:val="32"/>
          <w:szCs w:val="32"/>
        </w:rPr>
        <w:t>日起施行。</w:t>
      </w:r>
    </w:p>
    <w:p>
      <w:pPr>
        <w:rPr>
          <w:rFonts w:ascii="仿宋" w:hAnsi="仿宋" w:eastAsia="仿宋"/>
          <w:sz w:val="32"/>
        </w:rPr>
      </w:pPr>
    </w:p>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A6D7D"/>
    <w:multiLevelType w:val="multilevel"/>
    <w:tmpl w:val="0DAA6D7D"/>
    <w:lvl w:ilvl="0" w:tentative="0">
      <w:start w:val="1"/>
      <w:numFmt w:val="japaneseCounting"/>
      <w:lvlText w:val="第%1条"/>
      <w:lvlJc w:val="left"/>
      <w:pPr>
        <w:tabs>
          <w:tab w:val="left" w:pos="-420"/>
        </w:tabs>
        <w:ind w:left="1759" w:hanging="420"/>
      </w:pPr>
      <w:rPr>
        <w:rFonts w:hint="eastAsia" w:ascii="黑体" w:hAnsi="黑体" w:eastAsia="黑体"/>
        <w:lang w:val="en-US"/>
      </w:rPr>
    </w:lvl>
    <w:lvl w:ilvl="1" w:tentative="0">
      <w:start w:val="1"/>
      <w:numFmt w:val="decimal"/>
      <w:lvlText w:val="%2."/>
      <w:lvlJc w:val="left"/>
      <w:pPr>
        <w:tabs>
          <w:tab w:val="left" w:pos="1020"/>
        </w:tabs>
        <w:ind w:left="1020" w:hanging="360"/>
      </w:pPr>
    </w:lvl>
    <w:lvl w:ilvl="2" w:tentative="0">
      <w:start w:val="1"/>
      <w:numFmt w:val="decimal"/>
      <w:lvlText w:val="%3."/>
      <w:lvlJc w:val="left"/>
      <w:pPr>
        <w:tabs>
          <w:tab w:val="left" w:pos="1740"/>
        </w:tabs>
        <w:ind w:left="1740" w:hanging="360"/>
      </w:pPr>
    </w:lvl>
    <w:lvl w:ilvl="3" w:tentative="0">
      <w:start w:val="1"/>
      <w:numFmt w:val="decimal"/>
      <w:lvlText w:val="%4."/>
      <w:lvlJc w:val="left"/>
      <w:pPr>
        <w:tabs>
          <w:tab w:val="left" w:pos="2460"/>
        </w:tabs>
        <w:ind w:left="2460" w:hanging="360"/>
      </w:pPr>
    </w:lvl>
    <w:lvl w:ilvl="4" w:tentative="0">
      <w:start w:val="1"/>
      <w:numFmt w:val="decimal"/>
      <w:lvlText w:val="%5."/>
      <w:lvlJc w:val="left"/>
      <w:pPr>
        <w:tabs>
          <w:tab w:val="left" w:pos="3180"/>
        </w:tabs>
        <w:ind w:left="3180" w:hanging="360"/>
      </w:pPr>
    </w:lvl>
    <w:lvl w:ilvl="5" w:tentative="0">
      <w:start w:val="1"/>
      <w:numFmt w:val="decimal"/>
      <w:lvlText w:val="%6."/>
      <w:lvlJc w:val="left"/>
      <w:pPr>
        <w:tabs>
          <w:tab w:val="left" w:pos="3900"/>
        </w:tabs>
        <w:ind w:left="3900" w:hanging="360"/>
      </w:pPr>
    </w:lvl>
    <w:lvl w:ilvl="6" w:tentative="0">
      <w:start w:val="1"/>
      <w:numFmt w:val="decimal"/>
      <w:lvlText w:val="%7."/>
      <w:lvlJc w:val="left"/>
      <w:pPr>
        <w:tabs>
          <w:tab w:val="left" w:pos="4620"/>
        </w:tabs>
        <w:ind w:left="4620" w:hanging="360"/>
      </w:pPr>
    </w:lvl>
    <w:lvl w:ilvl="7" w:tentative="0">
      <w:start w:val="1"/>
      <w:numFmt w:val="decimal"/>
      <w:lvlText w:val="%8."/>
      <w:lvlJc w:val="left"/>
      <w:pPr>
        <w:tabs>
          <w:tab w:val="left" w:pos="5340"/>
        </w:tabs>
        <w:ind w:left="5340" w:hanging="360"/>
      </w:pPr>
    </w:lvl>
    <w:lvl w:ilvl="8" w:tentative="0">
      <w:start w:val="1"/>
      <w:numFmt w:val="decimal"/>
      <w:lvlText w:val="%9."/>
      <w:lvlJc w:val="left"/>
      <w:pPr>
        <w:tabs>
          <w:tab w:val="left" w:pos="6060"/>
        </w:tabs>
        <w:ind w:left="60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C7A2668"/>
    <w:rsid w:val="1FFE7D17"/>
    <w:rsid w:val="2167D9F7"/>
    <w:rsid w:val="295C3BCD"/>
    <w:rsid w:val="2B328956"/>
    <w:rsid w:val="3FFDAA12"/>
    <w:rsid w:val="3FFF10F5"/>
    <w:rsid w:val="3FFFF22A"/>
    <w:rsid w:val="43FF770A"/>
    <w:rsid w:val="4F3DB914"/>
    <w:rsid w:val="4F55B0C7"/>
    <w:rsid w:val="4FFB4DCA"/>
    <w:rsid w:val="537FB28B"/>
    <w:rsid w:val="5FBF6CA4"/>
    <w:rsid w:val="5FC9C253"/>
    <w:rsid w:val="5FFFC430"/>
    <w:rsid w:val="61FF7FCC"/>
    <w:rsid w:val="636D5EB0"/>
    <w:rsid w:val="64A92749"/>
    <w:rsid w:val="64DE4BB7"/>
    <w:rsid w:val="67D65FB0"/>
    <w:rsid w:val="67EF80F9"/>
    <w:rsid w:val="68680F9C"/>
    <w:rsid w:val="69FE01AC"/>
    <w:rsid w:val="6BAF20F2"/>
    <w:rsid w:val="6DFF61D7"/>
    <w:rsid w:val="6E4D6179"/>
    <w:rsid w:val="6E87D9DC"/>
    <w:rsid w:val="6EF73625"/>
    <w:rsid w:val="6EFB94B9"/>
    <w:rsid w:val="6EFE787E"/>
    <w:rsid w:val="6FDF7D2B"/>
    <w:rsid w:val="6FFFBA2F"/>
    <w:rsid w:val="727F6B50"/>
    <w:rsid w:val="73F30210"/>
    <w:rsid w:val="77FF98FF"/>
    <w:rsid w:val="78031D0F"/>
    <w:rsid w:val="79DFF2FB"/>
    <w:rsid w:val="79E7BD87"/>
    <w:rsid w:val="7CBB66F2"/>
    <w:rsid w:val="7DDB2BB2"/>
    <w:rsid w:val="7DFB02B8"/>
    <w:rsid w:val="7E0F5493"/>
    <w:rsid w:val="7E3F2BA9"/>
    <w:rsid w:val="7EBE3445"/>
    <w:rsid w:val="7FC220FD"/>
    <w:rsid w:val="9F5F09C5"/>
    <w:rsid w:val="A6BF49A0"/>
    <w:rsid w:val="B7F6EBE6"/>
    <w:rsid w:val="B94E9450"/>
    <w:rsid w:val="BDEF9675"/>
    <w:rsid w:val="C57FC814"/>
    <w:rsid w:val="CBDF16D2"/>
    <w:rsid w:val="CF67E6F1"/>
    <w:rsid w:val="DBFF892A"/>
    <w:rsid w:val="DFBFC354"/>
    <w:rsid w:val="DFF5664C"/>
    <w:rsid w:val="DFFB5567"/>
    <w:rsid w:val="EDD32370"/>
    <w:rsid w:val="EDD69C8C"/>
    <w:rsid w:val="EDEE2492"/>
    <w:rsid w:val="EE45434C"/>
    <w:rsid w:val="EF3FF8A9"/>
    <w:rsid w:val="EF4D5251"/>
    <w:rsid w:val="EFD1D68E"/>
    <w:rsid w:val="F3DE0CDD"/>
    <w:rsid w:val="F6DABFC2"/>
    <w:rsid w:val="F6F7B805"/>
    <w:rsid w:val="FAAFB7A7"/>
    <w:rsid w:val="FB7D8F54"/>
    <w:rsid w:val="FBEFA53E"/>
    <w:rsid w:val="FBFE5E83"/>
    <w:rsid w:val="FDCF1698"/>
    <w:rsid w:val="FDF747C2"/>
    <w:rsid w:val="FE6E6487"/>
    <w:rsid w:val="FEE730B3"/>
    <w:rsid w:val="FEF84D00"/>
    <w:rsid w:val="FF398129"/>
    <w:rsid w:val="FFBF29D0"/>
    <w:rsid w:val="FFEE0A62"/>
    <w:rsid w:val="FFF8E48C"/>
    <w:rsid w:val="FFFD5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law-title"/>
    <w:qFormat/>
    <w:uiPriority w:val="0"/>
  </w:style>
  <w:style w:type="character" w:customStyle="1" w:styleId="14">
    <w:name w:val="law-conten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7618</Words>
  <Characters>7646</Characters>
  <Lines>2</Lines>
  <Paragraphs>1</Paragraphs>
  <TotalTime>0</TotalTime>
  <ScaleCrop>false</ScaleCrop>
  <LinksUpToDate>false</LinksUpToDate>
  <CharactersWithSpaces>7773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2019-09-23T06:10:00Z</dcterms:created>
  <dc:creator>CN=李小鹏/OU=办公室/O=CZCE</dc:creator>
  <cp:lastModifiedBy>zqli</cp:lastModifiedBy>
  <cp:lastPrinted>2023-10-13T16:26:00Z</cp:lastPrinted>
  <dcterms:modified xsi:type="dcterms:W3CDTF">2023-10-13T02:55:14Z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8C11034AB99F4048BB46C048468584AB</vt:lpwstr>
  </property>
</Properties>
</file>