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方正小标宋简体"/>
          <w:sz w:val="44"/>
          <w:lang w:val="en-US" w:eastAsia="zh-CN"/>
        </w:rPr>
      </w:pPr>
      <w:r>
        <w:rPr>
          <w:rFonts w:hint="eastAsia" w:ascii="黑体" w:hAnsi="黑体" w:eastAsia="黑体" w:cs="黑体"/>
          <w:sz w:val="32"/>
          <w:szCs w:val="32"/>
          <w:lang w:val="en-US" w:eastAsia="zh-CN"/>
        </w:rPr>
        <w:t>附件1</w:t>
      </w:r>
    </w:p>
    <w:p>
      <w:pPr>
        <w:spacing w:line="700" w:lineRule="exact"/>
        <w:jc w:val="both"/>
        <w:rPr>
          <w:rFonts w:hint="eastAsia" w:eastAsia="方正小标宋简体"/>
          <w:sz w:val="44"/>
          <w:lang w:val="en-US" w:eastAsia="zh-CN"/>
        </w:rPr>
      </w:pPr>
      <w:bookmarkStart w:id="0" w:name="_GoBack"/>
      <w:r>
        <w:rPr>
          <w:rFonts w:hint="eastAsia" w:eastAsia="方正小标宋简体"/>
          <w:sz w:val="44"/>
          <w:lang w:val="en-US" w:eastAsia="zh-CN"/>
        </w:rPr>
        <w:t>《郑州商品交易所综合业务平台白糖基差贸易泛糖专区业务指引》修订条款对照表</w:t>
      </w:r>
    </w:p>
    <w:bookmarkEnd w:id="0"/>
    <w:p>
      <w:pPr>
        <w:spacing w:before="157" w:beforeLines="5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（加粗加下划线为新增内容，加删除线为删除内容）</w:t>
      </w:r>
    </w:p>
    <w:p>
      <w:pPr>
        <w:jc w:val="both"/>
        <w:rPr>
          <w:rFonts w:hint="eastAsia" w:ascii="仿宋" w:hAnsi="仿宋" w:eastAsia="仿宋" w:cs="仿宋"/>
          <w:sz w:val="21"/>
          <w:szCs w:val="21"/>
          <w:lang w:val="en-US" w:eastAsia="zh-CN"/>
        </w:rPr>
      </w:pP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1"/>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2499" w:type="pct"/>
            <w:shd w:val="clear" w:color="auto" w:fill="auto"/>
            <w:noWrap w:val="0"/>
            <w:vAlign w:val="center"/>
          </w:tcPr>
          <w:p>
            <w:pPr>
              <w:pStyle w:val="12"/>
              <w:tabs>
                <w:tab w:val="left" w:pos="-420"/>
              </w:tabs>
              <w:ind w:firstLine="0" w:firstLineChars="0"/>
              <w:jc w:val="center"/>
              <w:rPr>
                <w:rFonts w:ascii="仿宋" w:hAnsi="仿宋" w:eastAsia="仿宋"/>
                <w:b/>
                <w:bCs/>
                <w:color w:val="auto"/>
                <w:szCs w:val="21"/>
              </w:rPr>
            </w:pPr>
            <w:r>
              <w:rPr>
                <w:rFonts w:hint="eastAsia" w:ascii="仿宋" w:hAnsi="仿宋" w:eastAsia="仿宋"/>
                <w:b/>
                <w:bCs/>
                <w:color w:val="auto"/>
                <w:szCs w:val="21"/>
                <w:lang w:eastAsia="zh-CN"/>
              </w:rPr>
              <w:t>现行</w:t>
            </w:r>
            <w:r>
              <w:rPr>
                <w:rFonts w:hint="eastAsia" w:ascii="仿宋" w:hAnsi="仿宋" w:eastAsia="仿宋"/>
                <w:b/>
                <w:bCs/>
                <w:color w:val="auto"/>
                <w:szCs w:val="21"/>
              </w:rPr>
              <w:t>条款</w:t>
            </w:r>
          </w:p>
        </w:tc>
        <w:tc>
          <w:tcPr>
            <w:tcW w:w="2500" w:type="pct"/>
            <w:shd w:val="clear" w:color="auto" w:fill="auto"/>
            <w:noWrap w:val="0"/>
            <w:vAlign w:val="center"/>
          </w:tcPr>
          <w:p>
            <w:pPr>
              <w:pStyle w:val="12"/>
              <w:tabs>
                <w:tab w:val="left" w:pos="-420"/>
              </w:tabs>
              <w:ind w:firstLine="0" w:firstLineChars="0"/>
              <w:jc w:val="center"/>
              <w:rPr>
                <w:rFonts w:ascii="仿宋" w:hAnsi="仿宋" w:eastAsia="仿宋"/>
                <w:b/>
                <w:bCs/>
                <w:color w:val="auto"/>
                <w:szCs w:val="21"/>
              </w:rPr>
            </w:pPr>
            <w:r>
              <w:rPr>
                <w:rFonts w:hint="eastAsia" w:ascii="仿宋" w:hAnsi="仿宋" w:eastAsia="仿宋"/>
                <w:b/>
                <w:bCs/>
                <w:color w:val="auto"/>
                <w:szCs w:val="21"/>
              </w:rPr>
              <w:t>修订后条款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12"/>
              <w:tabs>
                <w:tab w:val="left" w:pos="-420"/>
              </w:tabs>
              <w:rPr>
                <w:rFonts w:ascii="仿宋" w:hAnsi="仿宋" w:eastAsia="仿宋"/>
                <w:color w:val="auto"/>
                <w:szCs w:val="21"/>
              </w:rPr>
            </w:pPr>
            <w:r>
              <w:rPr>
                <w:rFonts w:hint="eastAsia" w:ascii="仿宋" w:hAnsi="仿宋" w:eastAsia="仿宋"/>
                <w:b/>
                <w:bCs/>
                <w:color w:val="auto"/>
                <w:szCs w:val="21"/>
              </w:rPr>
              <w:t>第一条</w:t>
            </w:r>
            <w:r>
              <w:rPr>
                <w:rFonts w:hint="eastAsia" w:ascii="仿宋" w:hAnsi="仿宋" w:eastAsia="仿宋"/>
                <w:color w:val="auto"/>
                <w:szCs w:val="21"/>
              </w:rPr>
              <w:t xml:space="preserve"> 为了保障郑州商品交易所（以下简称交易所）综合业务平台（以下简称交易所平台）白糖现货基差贸易泛糖专区业务（以下简称专区业务）的正常进行，根据《郑州商品交易所综合业务平台管理办法》《郑州商品交易所基差贸易业务指引》，制定本指引。</w:t>
            </w:r>
          </w:p>
        </w:tc>
        <w:tc>
          <w:tcPr>
            <w:tcW w:w="2500" w:type="pct"/>
            <w:shd w:val="clear" w:color="auto" w:fill="auto"/>
            <w:noWrap w:val="0"/>
            <w:vAlign w:val="center"/>
          </w:tcPr>
          <w:p>
            <w:pPr>
              <w:pStyle w:val="12"/>
              <w:tabs>
                <w:tab w:val="left" w:pos="-420"/>
              </w:tabs>
              <w:rPr>
                <w:rFonts w:ascii="仿宋" w:hAnsi="仿宋" w:eastAsia="仿宋"/>
                <w:color w:val="auto"/>
                <w:szCs w:val="21"/>
              </w:rPr>
            </w:pPr>
            <w:r>
              <w:rPr>
                <w:rFonts w:hint="eastAsia" w:ascii="仿宋" w:hAnsi="仿宋" w:eastAsia="仿宋"/>
                <w:b/>
                <w:bCs/>
                <w:color w:val="auto"/>
                <w:szCs w:val="21"/>
              </w:rPr>
              <w:t>第一条</w:t>
            </w:r>
            <w:r>
              <w:rPr>
                <w:rFonts w:hint="eastAsia" w:ascii="仿宋" w:hAnsi="仿宋" w:eastAsia="仿宋"/>
                <w:color w:val="auto"/>
                <w:szCs w:val="21"/>
              </w:rPr>
              <w:t xml:space="preserve"> 为了保障郑州商品交易所（以下简称交易所）综合业务平台（以下简称交易所平台）白糖</w:t>
            </w:r>
            <w:r>
              <w:rPr>
                <w:rFonts w:hint="eastAsia" w:ascii="仿宋" w:hAnsi="仿宋" w:eastAsia="仿宋"/>
                <w:strike/>
                <w:color w:val="auto"/>
                <w:szCs w:val="21"/>
              </w:rPr>
              <w:t>现货</w:t>
            </w:r>
            <w:r>
              <w:rPr>
                <w:rFonts w:hint="eastAsia" w:ascii="仿宋" w:hAnsi="仿宋" w:eastAsia="仿宋"/>
                <w:color w:val="auto"/>
                <w:szCs w:val="21"/>
              </w:rPr>
              <w:t>基差贸易泛糖专区业务（以下简称专区业务）的正常进行，根据《郑州商品交易所综合业务平台管理办法》《郑州商品交易所基差贸易业务指引》，制定本指引。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12"/>
              <w:tabs>
                <w:tab w:val="left" w:pos="-420"/>
              </w:tabs>
              <w:rPr>
                <w:rFonts w:ascii="仿宋" w:hAnsi="仿宋" w:eastAsia="仿宋"/>
                <w:color w:val="auto"/>
                <w:szCs w:val="21"/>
              </w:rPr>
            </w:pPr>
            <w:r>
              <w:rPr>
                <w:rFonts w:hint="eastAsia" w:ascii="仿宋" w:hAnsi="仿宋" w:eastAsia="仿宋"/>
                <w:b/>
                <w:bCs/>
                <w:color w:val="auto"/>
                <w:szCs w:val="21"/>
              </w:rPr>
              <w:t>第二条</w:t>
            </w:r>
            <w:r>
              <w:rPr>
                <w:rFonts w:hint="eastAsia" w:ascii="仿宋" w:hAnsi="仿宋" w:eastAsia="仿宋"/>
                <w:color w:val="auto"/>
                <w:szCs w:val="21"/>
              </w:rPr>
              <w:t xml:space="preserve"> 本指引所称专区业务，是指客户按照本指引规定的流程，在交易所平台进行基差贸易，点价成</w:t>
            </w:r>
            <w:r>
              <w:rPr>
                <w:rFonts w:hint="eastAsia" w:ascii="仿宋" w:hAnsi="仿宋" w:eastAsia="仿宋"/>
                <w:color w:val="auto"/>
                <w:szCs w:val="21"/>
                <w:lang w:eastAsia="zh-CN"/>
              </w:rPr>
              <w:t>功</w:t>
            </w:r>
            <w:r>
              <w:rPr>
                <w:rFonts w:hint="eastAsia" w:ascii="仿宋" w:hAnsi="仿宋" w:eastAsia="仿宋"/>
                <w:color w:val="auto"/>
                <w:szCs w:val="21"/>
              </w:rPr>
              <w:t>后与广西泛糖科技有限公司（以下简称泛糖科技）签订贸易合同，并在泛糖现货交易平台（以下简称泛糖平台）办理白糖现货交收的贸易业务。</w:t>
            </w:r>
          </w:p>
        </w:tc>
        <w:tc>
          <w:tcPr>
            <w:tcW w:w="2500" w:type="pct"/>
            <w:shd w:val="clear" w:color="auto" w:fill="auto"/>
            <w:noWrap w:val="0"/>
            <w:vAlign w:val="center"/>
          </w:tcPr>
          <w:p>
            <w:pPr>
              <w:pStyle w:val="12"/>
              <w:tabs>
                <w:tab w:val="left" w:pos="-420"/>
              </w:tabs>
              <w:rPr>
                <w:rFonts w:ascii="仿宋" w:hAnsi="仿宋" w:eastAsia="仿宋"/>
                <w:color w:val="auto"/>
                <w:szCs w:val="21"/>
              </w:rPr>
            </w:pPr>
            <w:r>
              <w:rPr>
                <w:rFonts w:hint="eastAsia" w:ascii="仿宋" w:hAnsi="仿宋" w:eastAsia="仿宋"/>
                <w:b/>
                <w:bCs/>
                <w:color w:val="auto"/>
                <w:szCs w:val="21"/>
              </w:rPr>
              <w:t>第二条</w:t>
            </w:r>
            <w:r>
              <w:rPr>
                <w:rFonts w:hint="eastAsia" w:ascii="仿宋" w:hAnsi="仿宋" w:eastAsia="仿宋"/>
                <w:color w:val="auto"/>
                <w:szCs w:val="21"/>
              </w:rPr>
              <w:t xml:space="preserve"> 本指引所称专区业务，是指客户按照本指引规定的流程，在交易所平台进行基差贸易，点价</w:t>
            </w:r>
            <w:r>
              <w:rPr>
                <w:rFonts w:hint="eastAsia" w:ascii="仿宋" w:hAnsi="仿宋" w:eastAsia="仿宋"/>
                <w:strike/>
                <w:color w:val="auto"/>
                <w:szCs w:val="21"/>
                <w:lang w:eastAsia="zh-CN"/>
              </w:rPr>
              <w:t>成功</w:t>
            </w:r>
            <w:r>
              <w:rPr>
                <w:rFonts w:hint="eastAsia" w:ascii="仿宋" w:hAnsi="仿宋" w:eastAsia="仿宋"/>
                <w:b/>
                <w:bCs/>
                <w:color w:val="auto"/>
                <w:szCs w:val="21"/>
                <w:u w:val="single"/>
              </w:rPr>
              <w:t>成交</w:t>
            </w:r>
            <w:r>
              <w:rPr>
                <w:rFonts w:hint="eastAsia" w:ascii="仿宋" w:hAnsi="仿宋" w:eastAsia="仿宋"/>
                <w:color w:val="auto"/>
                <w:szCs w:val="21"/>
              </w:rPr>
              <w:t>后与广西泛糖科技有限公司（以下简称泛糖科技）签订贸易合同，并在泛糖现货交易平台（以下简称泛糖平台）办理白糖现货交收的</w:t>
            </w:r>
            <w:r>
              <w:rPr>
                <w:rFonts w:hint="eastAsia" w:ascii="仿宋" w:hAnsi="仿宋" w:eastAsia="仿宋"/>
                <w:strike/>
                <w:color w:val="auto"/>
                <w:szCs w:val="21"/>
              </w:rPr>
              <w:t>贸易</w:t>
            </w:r>
            <w:r>
              <w:rPr>
                <w:rFonts w:hint="eastAsia" w:ascii="仿宋" w:hAnsi="仿宋" w:eastAsia="仿宋"/>
                <w:color w:val="auto"/>
                <w:szCs w:val="21"/>
              </w:rPr>
              <w:t>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12"/>
              <w:tabs>
                <w:tab w:val="left" w:pos="-420"/>
              </w:tabs>
              <w:rPr>
                <w:rFonts w:ascii="仿宋" w:hAnsi="仿宋" w:eastAsia="仿宋"/>
                <w:color w:val="auto"/>
                <w:szCs w:val="21"/>
              </w:rPr>
            </w:pPr>
            <w:r>
              <w:rPr>
                <w:rFonts w:hint="eastAsia" w:ascii="仿宋" w:hAnsi="仿宋" w:eastAsia="仿宋"/>
                <w:b/>
                <w:bCs/>
                <w:color w:val="auto"/>
                <w:szCs w:val="21"/>
              </w:rPr>
              <w:t>第三条</w:t>
            </w:r>
            <w:r>
              <w:rPr>
                <w:rFonts w:hint="eastAsia" w:ascii="仿宋" w:hAnsi="仿宋" w:eastAsia="仿宋"/>
                <w:color w:val="auto"/>
                <w:szCs w:val="21"/>
              </w:rPr>
              <w:t xml:space="preserve"> 本指引所称点价，是指买方输入参考期货合约成交意向价格，交易所平台根据最优报价买方意向，通过联动点价客户端对卖方指定期货账户下达平空仓指令，根据成交结果确定现货交收价格。</w:t>
            </w:r>
          </w:p>
        </w:tc>
        <w:tc>
          <w:tcPr>
            <w:tcW w:w="2500" w:type="pct"/>
            <w:shd w:val="clear" w:color="auto" w:fill="auto"/>
            <w:noWrap w:val="0"/>
            <w:vAlign w:val="center"/>
          </w:tcPr>
          <w:p>
            <w:pPr>
              <w:pStyle w:val="12"/>
              <w:tabs>
                <w:tab w:val="left" w:pos="-420"/>
              </w:tabs>
              <w:rPr>
                <w:rFonts w:ascii="仿宋" w:hAnsi="仿宋" w:eastAsia="仿宋"/>
                <w:strike/>
                <w:color w:val="auto"/>
                <w:szCs w:val="21"/>
              </w:rPr>
            </w:pPr>
            <w:r>
              <w:rPr>
                <w:rFonts w:hint="eastAsia" w:ascii="仿宋" w:hAnsi="仿宋" w:eastAsia="仿宋"/>
                <w:b/>
                <w:bCs/>
                <w:strike/>
                <w:color w:val="auto"/>
                <w:szCs w:val="21"/>
              </w:rPr>
              <w:t>第三条</w:t>
            </w:r>
            <w:r>
              <w:rPr>
                <w:rFonts w:hint="eastAsia" w:ascii="仿宋" w:hAnsi="仿宋" w:eastAsia="仿宋"/>
                <w:strike w:val="0"/>
                <w:color w:val="auto"/>
                <w:szCs w:val="21"/>
              </w:rPr>
              <w:tab/>
            </w:r>
            <w:r>
              <w:rPr>
                <w:rFonts w:hint="eastAsia" w:ascii="仿宋" w:hAnsi="仿宋" w:eastAsia="仿宋"/>
                <w:strike/>
                <w:color w:val="auto"/>
                <w:szCs w:val="21"/>
              </w:rPr>
              <w:t>本指引所称点价，是指买方输入参考期货合约成交意向价格，交易所平台根据最优报价买方意向，通过联动点价客户端对卖方指定期货账户下达平空仓指令，根据成交结果确定现货交收价格。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12"/>
              <w:tabs>
                <w:tab w:val="left" w:pos="-420"/>
              </w:tabs>
              <w:rPr>
                <w:rFonts w:ascii="仿宋" w:hAnsi="仿宋" w:eastAsia="仿宋"/>
                <w:color w:val="auto"/>
                <w:szCs w:val="21"/>
              </w:rPr>
            </w:pPr>
            <w:r>
              <w:rPr>
                <w:rFonts w:hint="eastAsia" w:ascii="仿宋" w:hAnsi="仿宋" w:eastAsia="仿宋"/>
                <w:b/>
                <w:bCs/>
                <w:color w:val="auto"/>
                <w:szCs w:val="21"/>
              </w:rPr>
              <w:t>第五条</w:t>
            </w:r>
            <w:r>
              <w:rPr>
                <w:rFonts w:hint="eastAsia" w:ascii="仿宋" w:hAnsi="仿宋" w:eastAsia="仿宋"/>
                <w:color w:val="auto"/>
                <w:szCs w:val="21"/>
              </w:rPr>
              <w:t xml:space="preserve"> 泛糖科技及参与专区业务的客户，应当遵守相关法律法规、部门规章、规范性文件、交易所相关业务规则以及泛糖平台相关业务规则。泛糖平台相关业务规则与本指引规定不一致的，以本指引规定为准。</w:t>
            </w:r>
          </w:p>
        </w:tc>
        <w:tc>
          <w:tcPr>
            <w:tcW w:w="2500" w:type="pct"/>
            <w:shd w:val="clear" w:color="auto" w:fill="auto"/>
            <w:noWrap w:val="0"/>
            <w:vAlign w:val="center"/>
          </w:tcPr>
          <w:p>
            <w:pPr>
              <w:pStyle w:val="12"/>
              <w:tabs>
                <w:tab w:val="left" w:pos="-420"/>
              </w:tabs>
              <w:rPr>
                <w:rFonts w:ascii="仿宋" w:hAnsi="仿宋" w:eastAsia="仿宋"/>
                <w:strike/>
                <w:color w:val="auto"/>
                <w:szCs w:val="21"/>
              </w:rPr>
            </w:pPr>
            <w:r>
              <w:rPr>
                <w:rFonts w:hint="eastAsia" w:ascii="仿宋" w:hAnsi="仿宋" w:eastAsia="仿宋"/>
                <w:b/>
                <w:bCs/>
                <w:strike/>
                <w:color w:val="auto"/>
                <w:szCs w:val="21"/>
              </w:rPr>
              <w:t>第五条</w:t>
            </w:r>
            <w:r>
              <w:rPr>
                <w:rFonts w:hint="eastAsia" w:ascii="仿宋" w:hAnsi="仿宋" w:eastAsia="仿宋" w:cs="仿宋"/>
                <w:b/>
                <w:bCs/>
                <w:color w:val="auto"/>
                <w:szCs w:val="21"/>
                <w:u w:val="single"/>
              </w:rPr>
              <w:t>第四条</w:t>
            </w:r>
            <w:r>
              <w:rPr>
                <w:rFonts w:hint="eastAsia" w:ascii="黑体" w:hAnsi="黑体" w:eastAsia="仿宋"/>
                <w:b/>
                <w:color w:val="auto"/>
                <w:szCs w:val="21"/>
                <w:u w:val="none" w:color="auto"/>
              </w:rPr>
              <w:t xml:space="preserve"> </w:t>
            </w:r>
            <w:r>
              <w:rPr>
                <w:rFonts w:hint="eastAsia" w:ascii="仿宋" w:hAnsi="仿宋" w:eastAsia="仿宋"/>
                <w:strike/>
                <w:color w:val="auto"/>
                <w:szCs w:val="21"/>
              </w:rPr>
              <w:t>泛糖科技及</w:t>
            </w:r>
            <w:r>
              <w:rPr>
                <w:rFonts w:hint="eastAsia" w:ascii="仿宋" w:hAnsi="仿宋" w:eastAsia="仿宋"/>
                <w:color w:val="auto"/>
                <w:szCs w:val="21"/>
              </w:rPr>
              <w:t>参与专区业务的客户</w:t>
            </w:r>
            <w:r>
              <w:rPr>
                <w:rFonts w:hint="eastAsia" w:ascii="黑体" w:hAnsi="黑体" w:eastAsia="仿宋"/>
                <w:b/>
                <w:color w:val="auto"/>
                <w:szCs w:val="21"/>
                <w:u w:val="single" w:color="000000"/>
              </w:rPr>
              <w:t>、泛糖科技</w:t>
            </w:r>
            <w:r>
              <w:rPr>
                <w:rFonts w:hint="eastAsia" w:ascii="仿宋" w:hAnsi="仿宋" w:eastAsia="仿宋"/>
                <w:color w:val="auto"/>
                <w:szCs w:val="21"/>
              </w:rPr>
              <w:t>应当遵守相关法律法规、部门规章、规范性文件、交易所</w:t>
            </w:r>
            <w:r>
              <w:rPr>
                <w:rFonts w:hint="eastAsia" w:ascii="仿宋" w:hAnsi="仿宋" w:eastAsia="仿宋"/>
                <w:strike/>
                <w:color w:val="auto"/>
                <w:szCs w:val="21"/>
              </w:rPr>
              <w:t>相关</w:t>
            </w:r>
            <w:r>
              <w:rPr>
                <w:rFonts w:hint="eastAsia" w:ascii="仿宋" w:hAnsi="仿宋" w:eastAsia="仿宋"/>
                <w:color w:val="auto"/>
                <w:szCs w:val="21"/>
              </w:rPr>
              <w:t>业务规则以及泛糖</w:t>
            </w:r>
            <w:r>
              <w:rPr>
                <w:rFonts w:hint="eastAsia" w:ascii="仿宋" w:hAnsi="仿宋" w:eastAsia="仿宋"/>
                <w:strike/>
                <w:color w:val="auto"/>
                <w:szCs w:val="21"/>
              </w:rPr>
              <w:t>平台</w:t>
            </w:r>
            <w:r>
              <w:rPr>
                <w:rFonts w:hint="eastAsia" w:ascii="黑体" w:hAnsi="黑体" w:eastAsia="仿宋"/>
                <w:b/>
                <w:color w:val="auto"/>
                <w:szCs w:val="21"/>
                <w:u w:val="single" w:color="000000"/>
              </w:rPr>
              <w:t>科技</w:t>
            </w:r>
            <w:r>
              <w:rPr>
                <w:rFonts w:hint="eastAsia" w:ascii="仿宋" w:hAnsi="仿宋" w:eastAsia="仿宋"/>
                <w:strike/>
                <w:color w:val="auto"/>
                <w:szCs w:val="21"/>
              </w:rPr>
              <w:t>相关</w:t>
            </w:r>
            <w:r>
              <w:rPr>
                <w:rFonts w:hint="eastAsia" w:ascii="仿宋" w:hAnsi="仿宋" w:eastAsia="仿宋"/>
                <w:color w:val="auto"/>
                <w:szCs w:val="21"/>
              </w:rPr>
              <w:t>业务规则。泛糖</w:t>
            </w:r>
            <w:r>
              <w:rPr>
                <w:rFonts w:hint="eastAsia" w:ascii="仿宋" w:hAnsi="仿宋" w:eastAsia="仿宋"/>
                <w:strike/>
                <w:color w:val="auto"/>
                <w:szCs w:val="21"/>
              </w:rPr>
              <w:t>平台</w:t>
            </w:r>
            <w:r>
              <w:rPr>
                <w:rFonts w:hint="eastAsia" w:ascii="黑体" w:hAnsi="黑体" w:eastAsia="仿宋"/>
                <w:b/>
                <w:color w:val="auto"/>
                <w:szCs w:val="21"/>
                <w:u w:val="single" w:color="000000"/>
              </w:rPr>
              <w:t>科技</w:t>
            </w:r>
            <w:r>
              <w:rPr>
                <w:rFonts w:hint="eastAsia" w:ascii="仿宋" w:hAnsi="仿宋" w:eastAsia="仿宋"/>
                <w:color w:val="auto"/>
                <w:szCs w:val="21"/>
              </w:rPr>
              <w:t>相关业务规则与本指引规定不一致的，以本指引规定为准。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12"/>
              <w:tabs>
                <w:tab w:val="left" w:pos="-420"/>
              </w:tabs>
              <w:rPr>
                <w:rFonts w:ascii="仿宋" w:hAnsi="仿宋" w:eastAsia="仿宋"/>
                <w:color w:val="auto"/>
                <w:szCs w:val="21"/>
              </w:rPr>
            </w:pPr>
            <w:r>
              <w:rPr>
                <w:rFonts w:hint="eastAsia" w:ascii="仿宋" w:hAnsi="仿宋" w:eastAsia="仿宋"/>
                <w:b/>
                <w:bCs/>
                <w:color w:val="auto"/>
                <w:szCs w:val="21"/>
              </w:rPr>
              <w:t>第六条</w:t>
            </w:r>
            <w:r>
              <w:rPr>
                <w:rFonts w:hint="eastAsia" w:ascii="仿宋" w:hAnsi="仿宋" w:eastAsia="仿宋"/>
                <w:color w:val="auto"/>
                <w:szCs w:val="21"/>
              </w:rPr>
              <w:t xml:space="preserve"> 客户参与专区业务</w:t>
            </w:r>
            <w:r>
              <w:rPr>
                <w:rFonts w:hint="eastAsia" w:ascii="仿宋" w:hAnsi="仿宋" w:eastAsia="仿宋"/>
                <w:color w:val="auto"/>
                <w:szCs w:val="21"/>
                <w:lang w:eastAsia="zh-CN"/>
              </w:rPr>
              <w:t>，则</w:t>
            </w:r>
            <w:r>
              <w:rPr>
                <w:rFonts w:hint="eastAsia" w:ascii="仿宋" w:hAnsi="仿宋" w:eastAsia="仿宋"/>
                <w:color w:val="auto"/>
                <w:szCs w:val="21"/>
              </w:rPr>
              <w:t>表明客户认可本指引和泛糖平台的相关交收规则，交收风险由客户、泛糖科技自行承担。</w:t>
            </w:r>
          </w:p>
        </w:tc>
        <w:tc>
          <w:tcPr>
            <w:tcW w:w="2500" w:type="pct"/>
            <w:shd w:val="clear" w:color="auto" w:fill="auto"/>
            <w:noWrap w:val="0"/>
            <w:vAlign w:val="center"/>
          </w:tcPr>
          <w:p>
            <w:pPr>
              <w:pStyle w:val="12"/>
              <w:tabs>
                <w:tab w:val="left" w:pos="-420"/>
              </w:tabs>
              <w:rPr>
                <w:rFonts w:ascii="仿宋" w:hAnsi="仿宋" w:eastAsia="仿宋"/>
                <w:strike/>
                <w:color w:val="auto"/>
                <w:szCs w:val="21"/>
              </w:rPr>
            </w:pPr>
            <w:r>
              <w:rPr>
                <w:rFonts w:hint="eastAsia" w:ascii="仿宋" w:hAnsi="仿宋" w:eastAsia="仿宋"/>
                <w:b/>
                <w:bCs/>
                <w:strike/>
                <w:color w:val="auto"/>
                <w:szCs w:val="21"/>
              </w:rPr>
              <w:t>第六条</w:t>
            </w:r>
            <w:r>
              <w:rPr>
                <w:rFonts w:hint="eastAsia" w:ascii="黑体" w:hAnsi="黑体" w:eastAsia="仿宋" w:cs="黑体"/>
                <w:b/>
                <w:color w:val="auto"/>
                <w:szCs w:val="21"/>
                <w:u w:val="single" w:color="000000"/>
              </w:rPr>
              <w:t>第五条</w:t>
            </w:r>
            <w:r>
              <w:rPr>
                <w:rFonts w:hint="eastAsia" w:ascii="仿宋" w:hAnsi="仿宋" w:eastAsia="仿宋"/>
                <w:color w:val="auto"/>
                <w:szCs w:val="21"/>
              </w:rPr>
              <w:t xml:space="preserve"> 客户参与专区业务</w:t>
            </w:r>
            <w:r>
              <w:rPr>
                <w:rFonts w:hint="eastAsia" w:ascii="仿宋" w:hAnsi="仿宋" w:eastAsia="仿宋"/>
                <w:strike/>
                <w:color w:val="auto"/>
                <w:szCs w:val="21"/>
                <w:lang w:eastAsia="zh-CN"/>
              </w:rPr>
              <w:t>，则</w:t>
            </w:r>
            <w:r>
              <w:rPr>
                <w:rFonts w:hint="eastAsia" w:ascii="仿宋" w:hAnsi="仿宋" w:eastAsia="仿宋"/>
                <w:color w:val="auto"/>
                <w:szCs w:val="21"/>
              </w:rPr>
              <w:t>表明客户认可本指引和泛糖</w:t>
            </w:r>
            <w:r>
              <w:rPr>
                <w:rFonts w:hint="eastAsia" w:ascii="黑体" w:hAnsi="黑体" w:eastAsia="仿宋" w:cs="黑体"/>
                <w:b/>
                <w:color w:val="auto"/>
                <w:szCs w:val="21"/>
                <w:u w:val="single" w:color="000000"/>
              </w:rPr>
              <w:t>科技</w:t>
            </w:r>
            <w:r>
              <w:rPr>
                <w:rFonts w:hint="eastAsia" w:ascii="仿宋" w:hAnsi="仿宋" w:eastAsia="仿宋"/>
                <w:strike/>
                <w:color w:val="auto"/>
                <w:szCs w:val="21"/>
              </w:rPr>
              <w:t>平台的</w:t>
            </w:r>
            <w:r>
              <w:rPr>
                <w:rFonts w:hint="eastAsia" w:ascii="仿宋" w:hAnsi="仿宋" w:eastAsia="仿宋"/>
                <w:color w:val="auto"/>
                <w:szCs w:val="21"/>
              </w:rPr>
              <w:t>相关</w:t>
            </w:r>
            <w:r>
              <w:rPr>
                <w:rFonts w:hint="eastAsia" w:ascii="仿宋" w:hAnsi="仿宋" w:eastAsia="仿宋"/>
                <w:strike/>
                <w:color w:val="auto"/>
                <w:szCs w:val="21"/>
              </w:rPr>
              <w:t>交收</w:t>
            </w:r>
            <w:r>
              <w:rPr>
                <w:rFonts w:hint="eastAsia" w:ascii="黑体" w:hAnsi="黑体" w:eastAsia="仿宋" w:cs="黑体"/>
                <w:b/>
                <w:color w:val="auto"/>
                <w:szCs w:val="21"/>
                <w:u w:val="single" w:color="000000"/>
              </w:rPr>
              <w:t>业务</w:t>
            </w:r>
            <w:r>
              <w:rPr>
                <w:rFonts w:hint="eastAsia" w:ascii="仿宋" w:hAnsi="仿宋" w:eastAsia="仿宋"/>
                <w:color w:val="auto"/>
                <w:szCs w:val="21"/>
              </w:rPr>
              <w:t>规则，</w:t>
            </w:r>
            <w:r>
              <w:rPr>
                <w:rFonts w:hint="eastAsia" w:ascii="仿宋" w:hAnsi="仿宋" w:eastAsia="仿宋"/>
                <w:strike/>
                <w:color w:val="auto"/>
                <w:szCs w:val="21"/>
              </w:rPr>
              <w:t>交收</w:t>
            </w:r>
            <w:r>
              <w:rPr>
                <w:rFonts w:hint="eastAsia" w:ascii="仿宋" w:hAnsi="仿宋" w:eastAsia="仿宋"/>
                <w:color w:val="auto"/>
                <w:szCs w:val="21"/>
              </w:rPr>
              <w:t>风险由客户、泛糖科技自行承担。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12"/>
              <w:tabs>
                <w:tab w:val="left" w:pos="-420"/>
              </w:tabs>
              <w:ind w:left="0" w:leftChars="0" w:firstLine="0" w:firstLineChars="0"/>
              <w:rPr>
                <w:rFonts w:hint="eastAsia" w:ascii="仿宋" w:hAnsi="仿宋" w:eastAsia="仿宋"/>
                <w:color w:val="auto"/>
                <w:szCs w:val="21"/>
              </w:rPr>
            </w:pPr>
          </w:p>
        </w:tc>
        <w:tc>
          <w:tcPr>
            <w:tcW w:w="2500" w:type="pct"/>
            <w:shd w:val="clear" w:color="auto" w:fill="auto"/>
            <w:noWrap w:val="0"/>
            <w:vAlign w:val="center"/>
          </w:tcPr>
          <w:p>
            <w:pPr>
              <w:pStyle w:val="12"/>
              <w:tabs>
                <w:tab w:val="left" w:pos="-420"/>
              </w:tabs>
              <w:ind w:left="0" w:leftChars="0" w:firstLine="422" w:firstLineChars="200"/>
              <w:rPr>
                <w:rFonts w:hint="eastAsia" w:ascii="仿宋" w:hAnsi="仿宋" w:eastAsia="仿宋"/>
                <w:strike/>
                <w:color w:val="auto"/>
                <w:szCs w:val="21"/>
              </w:rPr>
            </w:pPr>
            <w:r>
              <w:rPr>
                <w:rStyle w:val="13"/>
                <w:rFonts w:hint="eastAsia" w:ascii="黑体" w:hAnsi="黑体" w:eastAsia="仿宋" w:cs="Calibri"/>
                <w:b/>
                <w:color w:val="auto"/>
                <w:szCs w:val="21"/>
                <w:u w:val="single" w:color="000000"/>
              </w:rPr>
              <w:t>第</w:t>
            </w:r>
            <w:r>
              <w:rPr>
                <w:rStyle w:val="13"/>
                <w:rFonts w:hint="eastAsia" w:ascii="黑体" w:hAnsi="黑体" w:eastAsia="仿宋" w:cs="Calibri"/>
                <w:b/>
                <w:color w:val="auto"/>
                <w:szCs w:val="21"/>
                <w:u w:val="single" w:color="000000"/>
                <w:lang w:eastAsia="zh-CN"/>
              </w:rPr>
              <w:t>六</w:t>
            </w:r>
            <w:r>
              <w:rPr>
                <w:rStyle w:val="13"/>
                <w:rFonts w:hint="eastAsia" w:ascii="黑体" w:hAnsi="黑体" w:eastAsia="仿宋" w:cs="Calibri"/>
                <w:b/>
                <w:color w:val="auto"/>
                <w:szCs w:val="21"/>
                <w:u w:val="single" w:color="000000"/>
              </w:rPr>
              <w:t>条</w:t>
            </w:r>
            <w:r>
              <w:rPr>
                <w:rStyle w:val="13"/>
                <w:rFonts w:hint="eastAsia" w:ascii="黑体" w:hAnsi="黑体" w:eastAsia="仿宋" w:cs="Calibri"/>
                <w:b/>
                <w:color w:val="auto"/>
                <w:szCs w:val="21"/>
                <w:u w:val="none" w:color="auto"/>
                <w:lang w:val="en-US" w:eastAsia="zh-CN"/>
              </w:rPr>
              <w:t xml:space="preserve"> </w:t>
            </w:r>
            <w:r>
              <w:rPr>
                <w:rStyle w:val="13"/>
                <w:rFonts w:hint="eastAsia" w:ascii="黑体" w:hAnsi="黑体" w:eastAsia="仿宋" w:cs="Calibri"/>
                <w:b/>
                <w:color w:val="auto"/>
                <w:szCs w:val="21"/>
                <w:u w:val="single" w:color="000000"/>
              </w:rPr>
              <w:t>因交易系统、数据传输发生故障，影响泛糖科技和客户正常交易的，交易所不承担法律责任。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ind w:firstLine="422" w:firstLineChars="200"/>
              <w:rPr>
                <w:rStyle w:val="14"/>
                <w:rFonts w:ascii="仿宋" w:hAnsi="仿宋" w:eastAsia="仿宋" w:cs="Calibri"/>
                <w:color w:val="auto"/>
                <w:sz w:val="21"/>
                <w:szCs w:val="21"/>
              </w:rPr>
            </w:pPr>
            <w:r>
              <w:rPr>
                <w:rStyle w:val="14"/>
                <w:rFonts w:hint="eastAsia" w:ascii="仿宋" w:hAnsi="仿宋" w:eastAsia="仿宋" w:cs="Calibri"/>
                <w:b/>
                <w:bCs/>
                <w:color w:val="auto"/>
                <w:sz w:val="21"/>
                <w:szCs w:val="21"/>
              </w:rPr>
              <w:t>第八条</w:t>
            </w:r>
            <w:r>
              <w:rPr>
                <w:rStyle w:val="14"/>
                <w:rFonts w:hint="eastAsia" w:ascii="仿宋" w:hAnsi="仿宋" w:eastAsia="仿宋" w:cs="Calibri"/>
                <w:color w:val="auto"/>
                <w:sz w:val="21"/>
                <w:szCs w:val="21"/>
              </w:rPr>
              <w:t xml:space="preserve"> 专区业务采取挂牌交易方式。卖方挂牌的，应当已经持有相应数量白糖期货头寸，挂牌信息包括但不限于品牌、质量等级、所在仓库、数量、参考期货合约、基差等。</w:t>
            </w:r>
          </w:p>
          <w:p>
            <w:pPr>
              <w:ind w:firstLine="420" w:firstLineChars="200"/>
              <w:rPr>
                <w:rFonts w:ascii="仿宋" w:hAnsi="仿宋" w:eastAsia="仿宋"/>
                <w:b/>
                <w:bCs/>
                <w:color w:val="auto"/>
                <w:sz w:val="32"/>
                <w:szCs w:val="21"/>
              </w:rPr>
            </w:pPr>
            <w:r>
              <w:rPr>
                <w:rStyle w:val="14"/>
                <w:rFonts w:hint="eastAsia" w:ascii="仿宋" w:hAnsi="仿宋" w:eastAsia="仿宋" w:cs="Calibri"/>
                <w:color w:val="auto"/>
                <w:sz w:val="21"/>
                <w:szCs w:val="21"/>
              </w:rPr>
              <w:t>卖方应为对应白糖现货的所有权人或者已与泛糖科技签订购销合同并取得泛糖科技授权其代为挂牌的委托书。卖方可自行确定每笔挂牌现货的平仓比例。</w:t>
            </w:r>
          </w:p>
        </w:tc>
        <w:tc>
          <w:tcPr>
            <w:tcW w:w="2500" w:type="pct"/>
            <w:shd w:val="clear" w:color="auto" w:fill="auto"/>
            <w:noWrap w:val="0"/>
            <w:vAlign w:val="center"/>
          </w:tcPr>
          <w:p>
            <w:pPr>
              <w:pStyle w:val="12"/>
              <w:tabs>
                <w:tab w:val="left" w:pos="-420"/>
              </w:tabs>
              <w:rPr>
                <w:rFonts w:ascii="仿宋" w:hAnsi="仿宋" w:eastAsia="仿宋"/>
                <w:color w:val="auto"/>
                <w:szCs w:val="21"/>
              </w:rPr>
            </w:pPr>
            <w:r>
              <w:rPr>
                <w:rFonts w:hint="eastAsia" w:ascii="仿宋" w:hAnsi="仿宋" w:eastAsia="仿宋"/>
                <w:b/>
                <w:bCs/>
                <w:strike w:val="0"/>
                <w:color w:val="auto"/>
                <w:szCs w:val="21"/>
              </w:rPr>
              <w:t>第八条</w:t>
            </w:r>
            <w:r>
              <w:rPr>
                <w:rFonts w:hint="eastAsia" w:ascii="仿宋" w:hAnsi="仿宋" w:eastAsia="仿宋"/>
                <w:strike w:val="0"/>
                <w:color w:val="auto"/>
                <w:szCs w:val="21"/>
                <w:lang w:val="en-US" w:eastAsia="zh-CN"/>
              </w:rPr>
              <w:t xml:space="preserve"> </w:t>
            </w:r>
            <w:r>
              <w:rPr>
                <w:rFonts w:hint="eastAsia" w:ascii="仿宋" w:hAnsi="仿宋" w:eastAsia="仿宋"/>
                <w:color w:val="auto"/>
                <w:szCs w:val="21"/>
              </w:rPr>
              <w:t>专区业务采取挂牌交易方式，</w:t>
            </w:r>
            <w:r>
              <w:rPr>
                <w:rFonts w:hint="eastAsia" w:ascii="黑体" w:hAnsi="黑体" w:eastAsia="仿宋"/>
                <w:b/>
                <w:color w:val="auto"/>
                <w:szCs w:val="21"/>
                <w:u w:val="single" w:color="000000"/>
              </w:rPr>
              <w:t>由卖方挂牌、买方摘牌，可公开挂牌或定向挂牌</w:t>
            </w:r>
            <w:r>
              <w:rPr>
                <w:rFonts w:hint="eastAsia" w:ascii="仿宋" w:hAnsi="仿宋" w:eastAsia="仿宋"/>
                <w:color w:val="auto"/>
                <w:szCs w:val="21"/>
              </w:rPr>
              <w:t>。</w:t>
            </w:r>
            <w:r>
              <w:rPr>
                <w:rStyle w:val="14"/>
                <w:rFonts w:hint="eastAsia" w:ascii="仿宋" w:hAnsi="仿宋" w:eastAsia="仿宋" w:cs="Calibri"/>
                <w:strike/>
                <w:color w:val="auto"/>
                <w:szCs w:val="21"/>
              </w:rPr>
              <w:t>卖方挂牌的，应当已经持有相应数量白糖期货头寸，</w:t>
            </w:r>
            <w:r>
              <w:rPr>
                <w:rFonts w:hint="eastAsia" w:ascii="仿宋" w:hAnsi="仿宋" w:eastAsia="仿宋"/>
                <w:color w:val="auto"/>
                <w:szCs w:val="21"/>
              </w:rPr>
              <w:t>挂牌信息包括但不限于品牌、质量等级、所在仓库、数量、参考期货合约、基差、</w:t>
            </w:r>
            <w:r>
              <w:rPr>
                <w:rFonts w:hint="eastAsia" w:ascii="黑体" w:hAnsi="黑体" w:eastAsia="仿宋"/>
                <w:b/>
                <w:color w:val="auto"/>
                <w:szCs w:val="21"/>
                <w:u w:val="single" w:color="000000"/>
              </w:rPr>
              <w:t>点价方、最后点价日</w:t>
            </w:r>
            <w:r>
              <w:rPr>
                <w:rFonts w:hint="eastAsia" w:ascii="仿宋" w:hAnsi="仿宋" w:eastAsia="仿宋"/>
                <w:color w:val="auto"/>
                <w:szCs w:val="21"/>
              </w:rPr>
              <w:t>等。</w:t>
            </w:r>
          </w:p>
          <w:p>
            <w:pPr>
              <w:pStyle w:val="12"/>
              <w:tabs>
                <w:tab w:val="left" w:pos="-420"/>
              </w:tabs>
              <w:rPr>
                <w:rFonts w:ascii="仿宋" w:hAnsi="仿宋" w:eastAsia="仿宋"/>
                <w:color w:val="auto"/>
                <w:szCs w:val="21"/>
              </w:rPr>
            </w:pPr>
            <w:r>
              <w:rPr>
                <w:rFonts w:hint="eastAsia" w:ascii="仿宋" w:hAnsi="仿宋" w:eastAsia="仿宋"/>
                <w:color w:val="auto"/>
                <w:szCs w:val="21"/>
              </w:rPr>
              <w:t>卖方应为对应白糖现货的所有权人，或者已与泛糖科技签订购销合同并取得泛糖科技授权其代为挂牌的委托书。</w:t>
            </w:r>
            <w:r>
              <w:rPr>
                <w:rFonts w:hint="eastAsia" w:ascii="仿宋" w:hAnsi="仿宋" w:eastAsia="仿宋"/>
                <w:strike/>
                <w:color w:val="auto"/>
                <w:szCs w:val="21"/>
              </w:rPr>
              <w:t>卖方可自行确定每笔挂牌现货的平仓比例。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12"/>
              <w:tabs>
                <w:tab w:val="left" w:pos="-420"/>
              </w:tabs>
              <w:rPr>
                <w:rFonts w:ascii="仿宋" w:hAnsi="仿宋" w:eastAsia="仿宋"/>
                <w:color w:val="auto"/>
                <w:szCs w:val="21"/>
              </w:rPr>
            </w:pPr>
            <w:r>
              <w:rPr>
                <w:rStyle w:val="14"/>
                <w:rFonts w:hint="eastAsia" w:ascii="仿宋" w:hAnsi="仿宋" w:eastAsia="仿宋" w:cs="Calibri"/>
                <w:b/>
                <w:bCs/>
                <w:color w:val="auto"/>
                <w:szCs w:val="21"/>
              </w:rPr>
              <w:t>第九条</w:t>
            </w:r>
            <w:r>
              <w:rPr>
                <w:rStyle w:val="14"/>
                <w:rFonts w:hint="eastAsia" w:ascii="仿宋" w:hAnsi="仿宋" w:eastAsia="仿宋" w:cs="Calibri"/>
                <w:color w:val="auto"/>
                <w:szCs w:val="21"/>
              </w:rPr>
              <w:t xml:space="preserve"> </w:t>
            </w:r>
            <w:r>
              <w:rPr>
                <w:rFonts w:hint="eastAsia" w:ascii="仿宋" w:hAnsi="仿宋" w:eastAsia="仿宋"/>
                <w:color w:val="auto"/>
                <w:szCs w:val="21"/>
              </w:rPr>
              <w:t>卖方挂牌时，交易所向卖方收取保证金。买方点价时，交易所向买方收取保证金。保证金标准由交易所另行公布。</w:t>
            </w:r>
          </w:p>
        </w:tc>
        <w:tc>
          <w:tcPr>
            <w:tcW w:w="2500" w:type="pct"/>
            <w:shd w:val="clear" w:color="auto" w:fill="auto"/>
            <w:noWrap w:val="0"/>
            <w:vAlign w:val="center"/>
          </w:tcPr>
          <w:p>
            <w:pPr>
              <w:pStyle w:val="12"/>
              <w:tabs>
                <w:tab w:val="left" w:pos="-420"/>
              </w:tabs>
              <w:rPr>
                <w:rFonts w:ascii="仿宋" w:hAnsi="仿宋" w:eastAsia="仿宋"/>
                <w:color w:val="auto"/>
                <w:szCs w:val="21"/>
              </w:rPr>
            </w:pPr>
            <w:r>
              <w:rPr>
                <w:rFonts w:hint="eastAsia" w:ascii="仿宋" w:hAnsi="仿宋" w:eastAsia="仿宋"/>
                <w:b/>
                <w:bCs/>
                <w:strike w:val="0"/>
                <w:dstrike w:val="0"/>
                <w:color w:val="auto"/>
                <w:szCs w:val="21"/>
              </w:rPr>
              <w:t>第九条</w:t>
            </w:r>
            <w:r>
              <w:rPr>
                <w:rFonts w:hint="eastAsia" w:ascii="黑体" w:hAnsi="黑体" w:eastAsia="仿宋" w:cs="黑体"/>
                <w:b/>
                <w:strike w:val="0"/>
                <w:dstrike w:val="0"/>
                <w:color w:val="auto"/>
                <w:szCs w:val="21"/>
                <w:u w:val="none" w:color="auto"/>
                <w:lang w:val="en-US" w:eastAsia="zh-CN"/>
              </w:rPr>
              <w:t xml:space="preserve"> </w:t>
            </w:r>
            <w:r>
              <w:rPr>
                <w:rFonts w:hint="eastAsia" w:ascii="仿宋" w:hAnsi="仿宋" w:eastAsia="仿宋"/>
                <w:strike/>
                <w:dstrike w:val="0"/>
                <w:color w:val="auto"/>
                <w:szCs w:val="21"/>
              </w:rPr>
              <w:t>卖</w:t>
            </w:r>
            <w:r>
              <w:rPr>
                <w:rFonts w:hint="eastAsia" w:ascii="仿宋" w:hAnsi="仿宋" w:eastAsia="仿宋"/>
                <w:strike/>
                <w:color w:val="auto"/>
                <w:szCs w:val="21"/>
              </w:rPr>
              <w:t>方挂牌时，交易所向卖方收取保证金。买方点价时，交易所向买方收取保证金。保证金标准由交易所另行公布。</w:t>
            </w:r>
            <w:r>
              <w:rPr>
                <w:rFonts w:hint="eastAsia" w:ascii="黑体" w:hAnsi="黑体" w:eastAsia="仿宋" w:cs="黑体"/>
                <w:b/>
                <w:color w:val="auto"/>
                <w:szCs w:val="21"/>
                <w:u w:val="single" w:color="000000"/>
              </w:rPr>
              <w:t>买卖双方保证金由泛糖科技收取。保证金收取方式、保证金标准由泛糖科技另行规定。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12"/>
              <w:tabs>
                <w:tab w:val="left" w:pos="-420"/>
              </w:tabs>
              <w:rPr>
                <w:rStyle w:val="14"/>
                <w:rFonts w:ascii="仿宋" w:hAnsi="仿宋" w:eastAsia="仿宋" w:cs="Calibri"/>
                <w:color w:val="auto"/>
                <w:szCs w:val="21"/>
              </w:rPr>
            </w:pPr>
            <w:r>
              <w:rPr>
                <w:rStyle w:val="14"/>
                <w:rFonts w:hint="eastAsia" w:ascii="仿宋" w:hAnsi="仿宋" w:eastAsia="仿宋" w:cs="Calibri"/>
                <w:b/>
                <w:bCs/>
                <w:color w:val="auto"/>
                <w:szCs w:val="21"/>
              </w:rPr>
              <w:t>第十条</w:t>
            </w:r>
            <w:r>
              <w:rPr>
                <w:rStyle w:val="14"/>
                <w:rFonts w:hint="eastAsia" w:ascii="仿宋" w:hAnsi="仿宋" w:eastAsia="仿宋" w:cs="Calibri"/>
                <w:color w:val="auto"/>
                <w:szCs w:val="21"/>
              </w:rPr>
              <w:t xml:space="preserve"> 期货点价为竞买模式。买方点价数量默认为买方所选挂牌现货的未成交数量，每笔挂牌只接受最高报价，出现比已有报价更高报价的，已有的未成交报价自动撤销并释放对应的买方保证金。</w:t>
            </w:r>
          </w:p>
        </w:tc>
        <w:tc>
          <w:tcPr>
            <w:tcW w:w="2500" w:type="pct"/>
            <w:shd w:val="clear" w:color="auto" w:fill="auto"/>
            <w:noWrap w:val="0"/>
            <w:vAlign w:val="center"/>
          </w:tcPr>
          <w:p>
            <w:pPr>
              <w:pStyle w:val="12"/>
              <w:tabs>
                <w:tab w:val="left" w:pos="-420"/>
              </w:tabs>
              <w:rPr>
                <w:rFonts w:ascii="黑体" w:hAnsi="黑体" w:eastAsia="仿宋"/>
                <w:b/>
                <w:color w:val="auto"/>
                <w:szCs w:val="21"/>
                <w:u w:val="single" w:color="000000"/>
              </w:rPr>
            </w:pPr>
            <w:r>
              <w:rPr>
                <w:rFonts w:ascii="仿宋" w:hAnsi="仿宋" w:eastAsia="仿宋"/>
                <w:b/>
                <w:bCs/>
                <w:strike w:val="0"/>
                <w:dstrike w:val="0"/>
                <w:color w:val="auto"/>
                <w:szCs w:val="21"/>
              </w:rPr>
              <w:t>第十条</w:t>
            </w:r>
            <w:r>
              <w:rPr>
                <w:rFonts w:hint="eastAsia" w:ascii="仿宋" w:hAnsi="仿宋" w:eastAsia="仿宋"/>
                <w:strike w:val="0"/>
                <w:dstrike w:val="0"/>
                <w:color w:val="auto"/>
                <w:szCs w:val="21"/>
                <w:lang w:val="en-US" w:eastAsia="zh-CN"/>
              </w:rPr>
              <w:t xml:space="preserve"> </w:t>
            </w:r>
            <w:r>
              <w:rPr>
                <w:rFonts w:hint="eastAsia" w:ascii="仿宋" w:hAnsi="仿宋" w:eastAsia="仿宋"/>
                <w:strike/>
                <w:dstrike w:val="0"/>
                <w:color w:val="auto"/>
                <w:szCs w:val="21"/>
              </w:rPr>
              <w:t>期</w:t>
            </w:r>
            <w:r>
              <w:rPr>
                <w:rFonts w:hint="eastAsia" w:ascii="仿宋" w:hAnsi="仿宋" w:eastAsia="仿宋"/>
                <w:strike/>
                <w:color w:val="auto"/>
                <w:szCs w:val="21"/>
              </w:rPr>
              <w:t>货点价为竞买模式。买方点价数量默认为买方所选挂牌现货的未成交数量，每笔挂牌只接受最高报价，出现比已有报价更高报价的，已有的未成交报价自动撤销并释放对应的买方保证金。</w:t>
            </w:r>
            <w:r>
              <w:rPr>
                <w:rFonts w:hint="eastAsia" w:ascii="黑体" w:hAnsi="黑体" w:eastAsia="仿宋"/>
                <w:b/>
                <w:color w:val="auto"/>
                <w:szCs w:val="21"/>
                <w:u w:val="single" w:color="000000"/>
              </w:rPr>
              <w:t>当日点价的，仅能在挂牌当日点价。点价方仅限买方，买方输入价格、数量进行报价。报价按照“价格优先、时间优先”原则排序，由排序靠前且不超过挂牌数量的报价发起点价，点价成交</w:t>
            </w:r>
            <w:r>
              <w:rPr>
                <w:rFonts w:hint="eastAsia" w:ascii="黑体" w:hAnsi="黑体" w:eastAsia="仿宋"/>
                <w:b/>
                <w:color w:val="auto"/>
                <w:szCs w:val="21"/>
                <w:u w:val="single" w:color="000000"/>
                <w:lang w:eastAsia="zh-CN"/>
              </w:rPr>
              <w:t>，双方</w:t>
            </w:r>
            <w:r>
              <w:rPr>
                <w:rFonts w:hint="eastAsia" w:ascii="黑体" w:hAnsi="黑体" w:eastAsia="仿宋"/>
                <w:b/>
                <w:color w:val="auto"/>
                <w:szCs w:val="21"/>
                <w:u w:val="single" w:color="000000"/>
              </w:rPr>
              <w:t xml:space="preserve">即确定购销关系。排序靠后的未成交报价自动撤销。       </w:t>
            </w:r>
          </w:p>
          <w:p>
            <w:pPr>
              <w:pStyle w:val="12"/>
              <w:tabs>
                <w:tab w:val="left" w:pos="-420"/>
              </w:tabs>
              <w:rPr>
                <w:rFonts w:ascii="黑体" w:hAnsi="黑体" w:eastAsia="黑体"/>
                <w:color w:val="auto"/>
                <w:szCs w:val="21"/>
              </w:rPr>
            </w:pPr>
            <w:r>
              <w:rPr>
                <w:rFonts w:hint="eastAsia" w:ascii="黑体" w:hAnsi="黑体" w:eastAsia="仿宋"/>
                <w:b/>
                <w:color w:val="auto"/>
                <w:szCs w:val="21"/>
                <w:u w:val="single" w:color="000000"/>
              </w:rPr>
              <w:t>多日点价的，点价期为摘牌之时至最后点价日闭市前。买方摘牌</w:t>
            </w:r>
            <w:r>
              <w:rPr>
                <w:rFonts w:hint="eastAsia" w:ascii="黑体" w:hAnsi="黑体" w:eastAsia="仿宋"/>
                <w:b/>
                <w:color w:val="auto"/>
                <w:szCs w:val="21"/>
                <w:u w:val="single" w:color="000000"/>
                <w:lang w:eastAsia="zh-CN"/>
              </w:rPr>
              <w:t>，双方</w:t>
            </w:r>
            <w:r>
              <w:rPr>
                <w:rFonts w:hint="eastAsia" w:ascii="黑体" w:hAnsi="黑体" w:eastAsia="仿宋"/>
                <w:b/>
                <w:color w:val="auto"/>
                <w:szCs w:val="21"/>
                <w:u w:val="single" w:color="000000"/>
              </w:rPr>
              <w:t>即确定购销关系。挂牌时指定的点价方在点价期内输入价格、数量发起点价，且应当在点价期内完成点价。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5"/>
              <w:shd w:val="clear" w:color="auto"/>
              <w:spacing w:before="0" w:beforeAutospacing="0" w:after="0" w:afterAutospacing="0"/>
              <w:ind w:firstLine="422" w:firstLineChars="200"/>
              <w:jc w:val="both"/>
              <w:rPr>
                <w:rStyle w:val="14"/>
                <w:rFonts w:hint="eastAsia" w:ascii="仿宋" w:hAnsi="仿宋" w:eastAsia="仿宋" w:cs="Calibri"/>
                <w:color w:val="auto"/>
                <w:kern w:val="2"/>
                <w:sz w:val="21"/>
                <w:szCs w:val="21"/>
                <w:highlight w:val="none"/>
                <w:shd w:val="clear" w:color="auto" w:fill="auto"/>
                <w:lang w:val="en-US" w:eastAsia="zh-CN" w:bidi="ar-SA"/>
              </w:rPr>
            </w:pPr>
            <w:r>
              <w:rPr>
                <w:rStyle w:val="14"/>
                <w:rFonts w:hint="eastAsia" w:ascii="仿宋" w:hAnsi="仿宋" w:eastAsia="仿宋" w:cs="Calibri"/>
                <w:b/>
                <w:bCs/>
                <w:color w:val="auto"/>
                <w:kern w:val="2"/>
                <w:sz w:val="21"/>
                <w:szCs w:val="21"/>
                <w:highlight w:val="none"/>
                <w:shd w:val="clear" w:color="auto" w:fill="auto"/>
                <w:lang w:val="en-US" w:eastAsia="zh-CN" w:bidi="ar-SA"/>
              </w:rPr>
              <w:t>第十一条</w:t>
            </w:r>
            <w:r>
              <w:rPr>
                <w:rStyle w:val="14"/>
                <w:rFonts w:hint="eastAsia" w:ascii="仿宋" w:hAnsi="仿宋" w:eastAsia="仿宋" w:cs="Calibri"/>
                <w:color w:val="auto"/>
                <w:kern w:val="2"/>
                <w:sz w:val="21"/>
                <w:szCs w:val="21"/>
                <w:highlight w:val="none"/>
                <w:shd w:val="clear" w:color="auto" w:fill="auto"/>
                <w:lang w:val="en-US" w:eastAsia="zh-CN" w:bidi="ar-SA"/>
              </w:rPr>
              <w:t xml:space="preserve"> 买方选择挂牌现货、输入点价报价后，触发联动点价功能，在卖方指定期货账户按照点价报价下单平空头持仓。平仓下单数量、点价成交数量和交收价格按照以下方式确定：</w:t>
            </w:r>
          </w:p>
          <w:p>
            <w:pPr>
              <w:pStyle w:val="5"/>
              <w:shd w:val="clear" w:color="auto"/>
              <w:spacing w:before="0" w:beforeAutospacing="0" w:after="0" w:afterAutospacing="0"/>
              <w:ind w:firstLine="420" w:firstLineChars="200"/>
              <w:jc w:val="both"/>
              <w:rPr>
                <w:rStyle w:val="14"/>
                <w:rFonts w:hint="eastAsia" w:ascii="仿宋" w:hAnsi="仿宋" w:eastAsia="仿宋" w:cs="Calibri"/>
                <w:color w:val="auto"/>
                <w:kern w:val="2"/>
                <w:sz w:val="21"/>
                <w:szCs w:val="21"/>
                <w:highlight w:val="none"/>
                <w:shd w:val="clear" w:color="auto" w:fill="auto"/>
                <w:lang w:val="en-US" w:eastAsia="zh-CN" w:bidi="ar-SA"/>
              </w:rPr>
            </w:pPr>
            <w:r>
              <w:rPr>
                <w:rStyle w:val="14"/>
                <w:rFonts w:hint="eastAsia" w:ascii="仿宋" w:hAnsi="仿宋" w:eastAsia="仿宋" w:cs="Calibri"/>
                <w:color w:val="auto"/>
                <w:kern w:val="2"/>
                <w:sz w:val="21"/>
                <w:szCs w:val="21"/>
                <w:highlight w:val="none"/>
                <w:shd w:val="clear" w:color="auto" w:fill="auto"/>
                <w:lang w:val="en-US" w:eastAsia="zh-CN" w:bidi="ar-SA"/>
              </w:rPr>
              <w:t>平仓下单数量（手）=点价数量（吨）×平仓比例÷期货交易单位（吨/手）</w:t>
            </w:r>
          </w:p>
          <w:p>
            <w:pPr>
              <w:pStyle w:val="5"/>
              <w:shd w:val="clear" w:color="auto"/>
              <w:spacing w:before="0" w:beforeAutospacing="0" w:after="0" w:afterAutospacing="0"/>
              <w:ind w:firstLine="420" w:firstLineChars="200"/>
              <w:jc w:val="both"/>
              <w:rPr>
                <w:rStyle w:val="14"/>
                <w:rFonts w:hint="eastAsia" w:ascii="仿宋" w:hAnsi="仿宋" w:eastAsia="仿宋" w:cs="Calibri"/>
                <w:color w:val="auto"/>
                <w:kern w:val="2"/>
                <w:sz w:val="21"/>
                <w:szCs w:val="21"/>
                <w:highlight w:val="none"/>
                <w:shd w:val="clear" w:color="auto" w:fill="auto"/>
                <w:lang w:val="en-US" w:eastAsia="zh-CN" w:bidi="ar-SA"/>
              </w:rPr>
            </w:pPr>
            <w:r>
              <w:rPr>
                <w:rStyle w:val="14"/>
                <w:rFonts w:hint="eastAsia" w:ascii="仿宋" w:hAnsi="仿宋" w:eastAsia="仿宋" w:cs="Calibri"/>
                <w:color w:val="auto"/>
                <w:kern w:val="2"/>
                <w:sz w:val="21"/>
                <w:szCs w:val="21"/>
                <w:highlight w:val="none"/>
                <w:shd w:val="clear" w:color="auto" w:fill="auto"/>
                <w:lang w:val="en-US" w:eastAsia="zh-CN" w:bidi="ar-SA"/>
              </w:rPr>
              <w:t>点价成交数量（吨）=点价数量（吨）×[平仓成交数量（手）÷平仓下单数量（手）]</w:t>
            </w:r>
          </w:p>
          <w:p>
            <w:pPr>
              <w:pStyle w:val="5"/>
              <w:shd w:val="clear" w:color="auto"/>
              <w:spacing w:before="0" w:beforeAutospacing="0" w:after="0" w:afterAutospacing="0"/>
              <w:ind w:firstLine="420" w:firstLineChars="200"/>
              <w:jc w:val="both"/>
              <w:rPr>
                <w:rStyle w:val="14"/>
                <w:rFonts w:hint="eastAsia" w:ascii="仿宋" w:hAnsi="仿宋" w:eastAsia="仿宋" w:cs="Calibri"/>
                <w:color w:val="auto"/>
                <w:kern w:val="2"/>
                <w:sz w:val="21"/>
                <w:szCs w:val="21"/>
                <w:highlight w:val="none"/>
                <w:shd w:val="clear" w:color="auto" w:fill="auto"/>
                <w:lang w:val="en-US" w:eastAsia="zh-CN" w:bidi="ar-SA"/>
              </w:rPr>
            </w:pPr>
            <w:r>
              <w:rPr>
                <w:rStyle w:val="14"/>
                <w:rFonts w:hint="eastAsia" w:ascii="仿宋" w:hAnsi="仿宋" w:eastAsia="仿宋" w:cs="Calibri"/>
                <w:color w:val="auto"/>
                <w:kern w:val="2"/>
                <w:sz w:val="21"/>
                <w:szCs w:val="21"/>
                <w:highlight w:val="none"/>
                <w:shd w:val="clear" w:color="auto" w:fill="auto"/>
                <w:lang w:val="en-US" w:eastAsia="zh-CN" w:bidi="ar-SA"/>
              </w:rPr>
              <w:t>交收价格（元/吨）=点价报价（元/吨）+基差（元/吨）</w:t>
            </w:r>
          </w:p>
          <w:p>
            <w:pPr>
              <w:pStyle w:val="5"/>
              <w:shd w:val="clear" w:color="auto"/>
              <w:spacing w:before="0" w:beforeAutospacing="0" w:after="0" w:afterAutospacing="0"/>
              <w:ind w:firstLine="420" w:firstLineChars="200"/>
              <w:jc w:val="both"/>
              <w:rPr>
                <w:rStyle w:val="14"/>
                <w:rFonts w:hint="eastAsia" w:ascii="仿宋" w:hAnsi="仿宋" w:eastAsia="仿宋" w:cs="Calibri"/>
                <w:color w:val="auto"/>
                <w:kern w:val="2"/>
                <w:sz w:val="21"/>
                <w:szCs w:val="21"/>
                <w:highlight w:val="none"/>
                <w:shd w:val="clear" w:color="auto" w:fill="auto"/>
                <w:lang w:val="en-US" w:eastAsia="zh-CN" w:bidi="ar-SA"/>
              </w:rPr>
            </w:pPr>
            <w:r>
              <w:rPr>
                <w:rStyle w:val="14"/>
                <w:rFonts w:hint="eastAsia" w:ascii="仿宋" w:hAnsi="仿宋" w:eastAsia="仿宋" w:cs="Calibri"/>
                <w:color w:val="auto"/>
                <w:kern w:val="2"/>
                <w:sz w:val="21"/>
                <w:szCs w:val="21"/>
                <w:highlight w:val="none"/>
                <w:shd w:val="clear" w:color="auto" w:fill="auto"/>
                <w:lang w:val="en-US" w:eastAsia="zh-CN" w:bidi="ar-SA"/>
              </w:rPr>
              <w:t>交易所根据点价成交数量收取买方和卖方手续费。</w:t>
            </w:r>
          </w:p>
          <w:p>
            <w:pPr>
              <w:pStyle w:val="5"/>
              <w:shd w:val="clear" w:color="auto"/>
              <w:spacing w:before="0" w:beforeAutospacing="0" w:after="0" w:afterAutospacing="0"/>
              <w:ind w:firstLine="420" w:firstLineChars="200"/>
              <w:jc w:val="both"/>
              <w:rPr>
                <w:rStyle w:val="14"/>
                <w:rFonts w:hint="eastAsia" w:ascii="仿宋" w:hAnsi="仿宋" w:eastAsia="仿宋" w:cs="Calibri"/>
                <w:color w:val="auto"/>
                <w:kern w:val="2"/>
                <w:sz w:val="21"/>
                <w:szCs w:val="21"/>
                <w:highlight w:val="none"/>
                <w:shd w:val="clear" w:color="auto" w:fill="auto"/>
                <w:lang w:val="en-US" w:eastAsia="zh-CN" w:bidi="ar-SA"/>
              </w:rPr>
            </w:pPr>
            <w:r>
              <w:rPr>
                <w:rStyle w:val="14"/>
                <w:rFonts w:hint="eastAsia" w:ascii="仿宋" w:hAnsi="仿宋" w:eastAsia="仿宋" w:cs="Calibri"/>
                <w:color w:val="auto"/>
                <w:kern w:val="2"/>
                <w:sz w:val="21"/>
                <w:szCs w:val="21"/>
                <w:highlight w:val="none"/>
                <w:shd w:val="clear" w:color="auto" w:fill="auto"/>
                <w:lang w:val="en-US" w:eastAsia="zh-CN" w:bidi="ar-SA"/>
              </w:rPr>
              <w:t>如果卖方指定期货账户没有足够可平仓期货头寸的，交易所平台撤销卖方挂牌并释放相应保证金。</w:t>
            </w:r>
          </w:p>
          <w:p>
            <w:pPr>
              <w:pStyle w:val="12"/>
              <w:tabs>
                <w:tab w:val="left" w:pos="-420"/>
              </w:tabs>
              <w:rPr>
                <w:rStyle w:val="14"/>
                <w:rFonts w:ascii="仿宋" w:hAnsi="仿宋" w:eastAsia="仿宋" w:cs="Calibri"/>
                <w:color w:val="auto"/>
                <w:szCs w:val="21"/>
              </w:rPr>
            </w:pPr>
          </w:p>
        </w:tc>
        <w:tc>
          <w:tcPr>
            <w:tcW w:w="2500" w:type="pct"/>
            <w:shd w:val="clear" w:color="auto" w:fill="auto"/>
            <w:noWrap w:val="0"/>
            <w:vAlign w:val="center"/>
          </w:tcPr>
          <w:p>
            <w:pPr>
              <w:tabs>
                <w:tab w:val="left" w:pos="-420"/>
              </w:tabs>
              <w:ind w:firstLine="422" w:firstLineChars="200"/>
              <w:rPr>
                <w:rFonts w:ascii="黑体" w:hAnsi="黑体" w:eastAsia="仿宋"/>
                <w:b/>
                <w:color w:val="auto"/>
                <w:szCs w:val="21"/>
                <w:u w:val="single" w:color="000000"/>
              </w:rPr>
            </w:pPr>
            <w:r>
              <w:rPr>
                <w:rFonts w:ascii="仿宋" w:hAnsi="仿宋" w:eastAsia="仿宋"/>
                <w:b/>
                <w:bCs/>
                <w:strike w:val="0"/>
                <w:color w:val="auto"/>
                <w:szCs w:val="21"/>
              </w:rPr>
              <w:t>第十一条</w:t>
            </w:r>
            <w:r>
              <w:rPr>
                <w:rFonts w:hint="eastAsia" w:ascii="黑体" w:hAnsi="黑体" w:eastAsia="仿宋"/>
                <w:b/>
                <w:color w:val="auto"/>
                <w:szCs w:val="21"/>
                <w:u w:val="none" w:color="auto"/>
                <w:lang w:val="en-US" w:eastAsia="zh-CN"/>
              </w:rPr>
              <w:t xml:space="preserve"> </w:t>
            </w:r>
            <w:r>
              <w:rPr>
                <w:rFonts w:hint="eastAsia" w:ascii="仿宋" w:hAnsi="仿宋" w:eastAsia="仿宋"/>
                <w:strike/>
                <w:color w:val="auto"/>
                <w:szCs w:val="21"/>
              </w:rPr>
              <w:t>买方选择挂牌现货、输入点价报价后，</w:t>
            </w:r>
            <w:r>
              <w:rPr>
                <w:rFonts w:hint="eastAsia" w:ascii="黑体" w:hAnsi="黑体" w:eastAsia="仿宋"/>
                <w:b/>
                <w:color w:val="auto"/>
                <w:szCs w:val="21"/>
                <w:u w:val="single" w:color="000000"/>
              </w:rPr>
              <w:t>点价方发起点价</w:t>
            </w:r>
            <w:r>
              <w:rPr>
                <w:rFonts w:hint="eastAsia" w:ascii="仿宋" w:hAnsi="仿宋" w:eastAsia="仿宋"/>
                <w:color w:val="auto"/>
                <w:szCs w:val="21"/>
              </w:rPr>
              <w:t>触发联动点价功能，在</w:t>
            </w:r>
            <w:r>
              <w:rPr>
                <w:rFonts w:hint="eastAsia" w:ascii="仿宋" w:hAnsi="仿宋" w:eastAsia="仿宋"/>
                <w:strike/>
                <w:color w:val="auto"/>
                <w:szCs w:val="21"/>
              </w:rPr>
              <w:t>卖方</w:t>
            </w:r>
            <w:r>
              <w:rPr>
                <w:rFonts w:hint="eastAsia" w:ascii="黑体" w:hAnsi="黑体" w:eastAsia="仿宋"/>
                <w:b/>
                <w:color w:val="auto"/>
                <w:szCs w:val="21"/>
                <w:u w:val="single" w:color="000000"/>
              </w:rPr>
              <w:t>被点价方</w:t>
            </w:r>
            <w:r>
              <w:rPr>
                <w:rFonts w:hint="eastAsia" w:ascii="仿宋" w:hAnsi="仿宋" w:eastAsia="仿宋"/>
                <w:color w:val="auto"/>
                <w:szCs w:val="21"/>
              </w:rPr>
              <w:t>指定期货账户按照点价报价下单平</w:t>
            </w:r>
            <w:r>
              <w:rPr>
                <w:rFonts w:hint="eastAsia" w:ascii="仿宋" w:hAnsi="仿宋" w:eastAsia="仿宋"/>
                <w:strike/>
                <w:color w:val="auto"/>
                <w:szCs w:val="21"/>
              </w:rPr>
              <w:t>空头持</w:t>
            </w:r>
            <w:r>
              <w:rPr>
                <w:rFonts w:hint="eastAsia" w:ascii="仿宋" w:hAnsi="仿宋" w:eastAsia="仿宋"/>
                <w:color w:val="auto"/>
                <w:szCs w:val="21"/>
              </w:rPr>
              <w:t>仓。</w:t>
            </w:r>
            <w:r>
              <w:rPr>
                <w:rStyle w:val="14"/>
                <w:rFonts w:hint="eastAsia" w:ascii="仿宋" w:hAnsi="仿宋" w:eastAsia="仿宋" w:cs="Calibri"/>
                <w:strike/>
                <w:color w:val="auto"/>
                <w:szCs w:val="21"/>
              </w:rPr>
              <w:t>平仓下单数量、点价成交数量和交收价格按照以下方式确定：</w:t>
            </w:r>
            <w:r>
              <w:rPr>
                <w:rFonts w:hint="eastAsia" w:ascii="黑体" w:hAnsi="黑体" w:eastAsia="仿宋"/>
                <w:b/>
                <w:color w:val="auto"/>
                <w:szCs w:val="21"/>
                <w:u w:val="single" w:color="000000"/>
              </w:rPr>
              <w:t>对应的平仓比例由被点价方提前自行设定。</w:t>
            </w:r>
          </w:p>
          <w:p>
            <w:pPr>
              <w:pStyle w:val="12"/>
              <w:tabs>
                <w:tab w:val="left" w:pos="-420"/>
              </w:tabs>
              <w:rPr>
                <w:rFonts w:ascii="仿宋" w:hAnsi="仿宋" w:eastAsia="仿宋"/>
                <w:color w:val="auto"/>
                <w:szCs w:val="21"/>
              </w:rPr>
            </w:pPr>
            <w:r>
              <w:rPr>
                <w:rFonts w:hint="eastAsia" w:ascii="仿宋" w:hAnsi="仿宋" w:eastAsia="仿宋"/>
                <w:color w:val="auto"/>
                <w:szCs w:val="21"/>
              </w:rPr>
              <w:t>平仓下单数量（手）=点价数量（吨）×平仓比例÷期货交易单位（吨/手）</w:t>
            </w:r>
          </w:p>
          <w:p>
            <w:pPr>
              <w:pStyle w:val="12"/>
              <w:tabs>
                <w:tab w:val="left" w:pos="-420"/>
              </w:tabs>
              <w:rPr>
                <w:rFonts w:ascii="黑体" w:hAnsi="黑体" w:eastAsia="仿宋" w:cs="黑体"/>
                <w:b/>
                <w:color w:val="auto"/>
                <w:szCs w:val="21"/>
                <w:u w:val="single" w:color="000000"/>
              </w:rPr>
            </w:pPr>
            <w:r>
              <w:rPr>
                <w:rFonts w:hint="eastAsia" w:ascii="黑体" w:hAnsi="黑体" w:eastAsia="仿宋" w:cs="黑体"/>
                <w:b/>
                <w:color w:val="auto"/>
                <w:szCs w:val="21"/>
                <w:u w:val="single" w:color="000000"/>
              </w:rPr>
              <w:t>下单数量按照期货最小交易单位四舍五入取整。</w:t>
            </w:r>
            <w:r>
              <w:rPr>
                <w:rFonts w:hint="eastAsia" w:ascii="黑体" w:hAnsi="黑体" w:eastAsia="仿宋"/>
                <w:b/>
                <w:color w:val="auto"/>
                <w:szCs w:val="21"/>
                <w:u w:val="single" w:color="000000"/>
              </w:rPr>
              <w:t>被点价方指定期货账户相应期货头寸不足的，则按被点价方可平仓数量下单。</w:t>
            </w:r>
          </w:p>
          <w:p>
            <w:pPr>
              <w:pStyle w:val="12"/>
              <w:tabs>
                <w:tab w:val="left" w:pos="-420"/>
              </w:tabs>
              <w:rPr>
                <w:rFonts w:ascii="仿宋" w:hAnsi="仿宋" w:eastAsia="仿宋"/>
                <w:color w:val="auto"/>
                <w:szCs w:val="21"/>
              </w:rPr>
            </w:pPr>
            <w:r>
              <w:rPr>
                <w:rFonts w:hint="eastAsia" w:ascii="黑体" w:hAnsi="黑体" w:eastAsia="仿宋"/>
                <w:b/>
                <w:color w:val="auto"/>
                <w:szCs w:val="21"/>
                <w:u w:val="single" w:color="000000"/>
              </w:rPr>
              <w:t>平仓单全部成交的，则点价全部成交；平仓单部分成交的，按以下公式计算点价成交数量：</w:t>
            </w:r>
          </w:p>
          <w:p>
            <w:pPr>
              <w:pStyle w:val="12"/>
              <w:tabs>
                <w:tab w:val="left" w:pos="-420"/>
              </w:tabs>
              <w:rPr>
                <w:rFonts w:ascii="仿宋" w:hAnsi="仿宋" w:eastAsia="仿宋"/>
                <w:strike/>
                <w:color w:val="auto"/>
                <w:szCs w:val="21"/>
              </w:rPr>
            </w:pPr>
            <w:r>
              <w:rPr>
                <w:rFonts w:hint="eastAsia" w:ascii="仿宋" w:hAnsi="仿宋" w:eastAsia="仿宋"/>
                <w:strike/>
                <w:color w:val="auto"/>
                <w:szCs w:val="21"/>
              </w:rPr>
              <w:t>点价成交数量（吨）=点价数量（吨）×[平仓成交数量（手）÷平仓下单数量（手）]</w:t>
            </w:r>
          </w:p>
          <w:p>
            <w:pPr>
              <w:pStyle w:val="12"/>
              <w:tabs>
                <w:tab w:val="left" w:pos="-420"/>
              </w:tabs>
              <w:rPr>
                <w:rFonts w:ascii="黑体" w:hAnsi="黑体" w:eastAsia="仿宋"/>
                <w:b/>
                <w:color w:val="auto"/>
                <w:szCs w:val="21"/>
                <w:u w:val="single" w:color="000000"/>
              </w:rPr>
            </w:pPr>
            <w:r>
              <w:rPr>
                <w:rFonts w:hint="eastAsia" w:ascii="黑体" w:hAnsi="黑体" w:eastAsia="仿宋"/>
                <w:b/>
                <w:color w:val="auto"/>
                <w:szCs w:val="21"/>
                <w:u w:val="single" w:color="000000"/>
              </w:rPr>
              <w:t>点价成交数量（吨）=平仓成交数量（手）×期货交易单位（吨/手）÷平仓比例</w:t>
            </w:r>
          </w:p>
          <w:p>
            <w:pPr>
              <w:pStyle w:val="12"/>
              <w:tabs>
                <w:tab w:val="left" w:pos="-420"/>
              </w:tabs>
              <w:rPr>
                <w:rFonts w:ascii="黑体" w:hAnsi="黑体" w:eastAsia="仿宋"/>
                <w:b/>
                <w:color w:val="auto"/>
                <w:szCs w:val="21"/>
                <w:u w:val="single" w:color="000000"/>
              </w:rPr>
            </w:pPr>
            <w:r>
              <w:rPr>
                <w:rFonts w:hint="eastAsia" w:ascii="黑体" w:hAnsi="黑体" w:eastAsia="仿宋"/>
                <w:b/>
                <w:color w:val="auto"/>
                <w:szCs w:val="21"/>
                <w:u w:val="single" w:color="000000"/>
              </w:rPr>
              <w:t>成交数量按照泛糖专区最小交易单位四舍五入取整。</w:t>
            </w:r>
          </w:p>
          <w:p>
            <w:pPr>
              <w:pStyle w:val="12"/>
              <w:tabs>
                <w:tab w:val="left" w:pos="-420"/>
              </w:tabs>
              <w:rPr>
                <w:rFonts w:ascii="黑体" w:hAnsi="黑体" w:eastAsia="仿宋"/>
                <w:b/>
                <w:color w:val="auto"/>
                <w:szCs w:val="21"/>
                <w:u w:val="single" w:color="000000"/>
              </w:rPr>
            </w:pPr>
            <w:r>
              <w:rPr>
                <w:rFonts w:hint="eastAsia" w:ascii="黑体" w:hAnsi="黑体" w:eastAsia="仿宋"/>
                <w:b/>
                <w:color w:val="auto"/>
                <w:szCs w:val="21"/>
                <w:u w:val="single" w:color="000000"/>
              </w:rPr>
              <w:t>点价成交的，按以下公式计算交收价格：</w:t>
            </w:r>
          </w:p>
          <w:p>
            <w:pPr>
              <w:pStyle w:val="12"/>
              <w:tabs>
                <w:tab w:val="left" w:pos="-420"/>
              </w:tabs>
              <w:rPr>
                <w:rFonts w:ascii="仿宋" w:hAnsi="仿宋" w:eastAsia="仿宋"/>
                <w:color w:val="auto"/>
                <w:szCs w:val="21"/>
              </w:rPr>
            </w:pPr>
            <w:r>
              <w:rPr>
                <w:rFonts w:hint="eastAsia" w:ascii="仿宋" w:hAnsi="仿宋" w:eastAsia="仿宋"/>
                <w:color w:val="auto"/>
                <w:szCs w:val="21"/>
              </w:rPr>
              <w:t>交收价格（元/吨）=</w:t>
            </w:r>
            <w:r>
              <w:rPr>
                <w:rFonts w:hint="eastAsia" w:ascii="黑体" w:hAnsi="黑体" w:eastAsia="仿宋"/>
                <w:b/>
                <w:color w:val="auto"/>
                <w:szCs w:val="21"/>
                <w:u w:val="single" w:color="000000"/>
              </w:rPr>
              <w:t>平仓成交价</w:t>
            </w:r>
            <w:r>
              <w:rPr>
                <w:rFonts w:hint="eastAsia" w:ascii="仿宋" w:hAnsi="仿宋" w:eastAsia="仿宋"/>
                <w:strike/>
                <w:color w:val="auto"/>
                <w:szCs w:val="21"/>
              </w:rPr>
              <w:t>点价报价</w:t>
            </w:r>
            <w:r>
              <w:rPr>
                <w:rFonts w:hint="eastAsia" w:ascii="仿宋" w:hAnsi="仿宋" w:eastAsia="仿宋"/>
                <w:color w:val="auto"/>
                <w:szCs w:val="21"/>
              </w:rPr>
              <w:t>（元/吨）+基差（元/吨）</w:t>
            </w:r>
          </w:p>
          <w:p>
            <w:pPr>
              <w:pStyle w:val="12"/>
              <w:tabs>
                <w:tab w:val="left" w:pos="-420"/>
              </w:tabs>
              <w:rPr>
                <w:rFonts w:ascii="黑体" w:hAnsi="黑体" w:eastAsia="仿宋"/>
                <w:b/>
                <w:color w:val="auto"/>
                <w:szCs w:val="21"/>
                <w:u w:val="single" w:color="000000"/>
              </w:rPr>
            </w:pPr>
            <w:r>
              <w:rPr>
                <w:rFonts w:hint="eastAsia" w:ascii="黑体" w:hAnsi="黑体" w:eastAsia="仿宋"/>
                <w:b/>
                <w:color w:val="auto"/>
                <w:szCs w:val="21"/>
                <w:u w:val="single" w:color="000000"/>
              </w:rPr>
              <w:t>一次点价多次平仓成交的，平仓成交价按成交量加权取平均值，四舍五入精确到个位数。</w:t>
            </w:r>
          </w:p>
          <w:p>
            <w:pPr>
              <w:pStyle w:val="12"/>
              <w:tabs>
                <w:tab w:val="left" w:pos="-420"/>
              </w:tabs>
              <w:rPr>
                <w:rFonts w:ascii="仿宋" w:hAnsi="仿宋" w:eastAsia="仿宋"/>
                <w:color w:val="auto"/>
                <w:szCs w:val="21"/>
              </w:rPr>
            </w:pPr>
            <w:r>
              <w:rPr>
                <w:rFonts w:hint="eastAsia" w:ascii="黑体" w:hAnsi="黑体" w:eastAsia="仿宋"/>
                <w:b/>
                <w:color w:val="auto"/>
                <w:szCs w:val="21"/>
                <w:u w:val="single" w:color="000000"/>
              </w:rPr>
              <w:t>被点价方指定期货账户可平仓数量为0的或者联动点价客户端没有正常登录的，只要点价后参考合约最新价满足点价价格要求，则判定点价全部成交，平仓成交价为参考合约最新价。</w:t>
            </w:r>
          </w:p>
          <w:p>
            <w:pPr>
              <w:pStyle w:val="12"/>
              <w:tabs>
                <w:tab w:val="left" w:pos="-420"/>
              </w:tabs>
              <w:rPr>
                <w:rFonts w:ascii="仿宋" w:hAnsi="仿宋" w:eastAsia="仿宋"/>
                <w:color w:val="auto"/>
                <w:szCs w:val="21"/>
              </w:rPr>
            </w:pPr>
            <w:r>
              <w:rPr>
                <w:rFonts w:hint="eastAsia" w:ascii="仿宋" w:hAnsi="仿宋" w:eastAsia="仿宋"/>
                <w:color w:val="auto"/>
                <w:szCs w:val="21"/>
              </w:rPr>
              <w:t>交易所根据点价成交数量收取买方和卖方手续费。</w:t>
            </w:r>
            <w:r>
              <w:rPr>
                <w:rFonts w:hint="eastAsia" w:ascii="黑体" w:hAnsi="黑体" w:eastAsia="仿宋"/>
                <w:b/>
                <w:color w:val="auto"/>
                <w:szCs w:val="21"/>
                <w:u w:val="single" w:color="000000"/>
              </w:rPr>
              <w:t>手续费标准由交易所另行公告。</w:t>
            </w:r>
          </w:p>
          <w:p>
            <w:pPr>
              <w:pStyle w:val="12"/>
              <w:tabs>
                <w:tab w:val="left" w:pos="-420"/>
              </w:tabs>
              <w:rPr>
                <w:rFonts w:ascii="黑体" w:hAnsi="黑体" w:eastAsia="黑体"/>
                <w:color w:val="auto"/>
                <w:szCs w:val="21"/>
              </w:rPr>
            </w:pPr>
            <w:r>
              <w:rPr>
                <w:rFonts w:hint="eastAsia" w:ascii="仿宋" w:hAnsi="仿宋" w:eastAsia="仿宋"/>
                <w:strike/>
                <w:color w:val="auto"/>
                <w:szCs w:val="21"/>
              </w:rPr>
              <w:t>如果卖方指定期货账户没有足够可平仓期货头寸的，交易所平台撤销卖方挂牌并释放相应保证金。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5"/>
              <w:shd w:val="clear" w:color="auto"/>
              <w:spacing w:before="0" w:beforeAutospacing="0" w:after="0" w:afterAutospacing="0"/>
              <w:ind w:firstLine="422" w:firstLineChars="200"/>
              <w:jc w:val="both"/>
              <w:rPr>
                <w:rStyle w:val="14"/>
                <w:rFonts w:ascii="仿宋" w:hAnsi="仿宋" w:eastAsia="仿宋"/>
                <w:color w:val="auto"/>
                <w:sz w:val="21"/>
                <w:szCs w:val="21"/>
                <w:shd w:val="clear" w:color="auto" w:fill="FFFFFF"/>
              </w:rPr>
            </w:pPr>
            <w:r>
              <w:rPr>
                <w:rStyle w:val="13"/>
                <w:rFonts w:hint="eastAsia" w:ascii="仿宋" w:hAnsi="仿宋" w:eastAsia="仿宋"/>
                <w:b/>
                <w:bCs/>
                <w:color w:val="auto"/>
                <w:sz w:val="21"/>
                <w:szCs w:val="21"/>
                <w:shd w:val="clear" w:color="auto" w:fill="FFFFFF"/>
              </w:rPr>
              <w:t>第十二条</w:t>
            </w:r>
            <w:r>
              <w:rPr>
                <w:rStyle w:val="13"/>
                <w:rFonts w:ascii="Calibri" w:hAnsi="Calibri" w:eastAsia="仿宋" w:cs="Calibri"/>
                <w:b/>
                <w:color w:val="auto"/>
                <w:sz w:val="21"/>
                <w:szCs w:val="21"/>
                <w:u w:val="none" w:color="auto"/>
                <w:shd w:val="clear" w:color="auto" w:fill="FFFFFF"/>
              </w:rPr>
              <w:t> </w:t>
            </w:r>
            <w:r>
              <w:rPr>
                <w:rStyle w:val="14"/>
                <w:rFonts w:hint="eastAsia" w:ascii="仿宋" w:hAnsi="仿宋" w:eastAsia="仿宋"/>
                <w:color w:val="auto"/>
                <w:sz w:val="21"/>
                <w:szCs w:val="21"/>
                <w:shd w:val="clear" w:color="auto" w:fill="FFFFFF"/>
              </w:rPr>
              <w:t>卖方在未完全成交前撤销挂牌，交易所撤销该笔挂牌对应的未成交买方报价，且释放卖方和买方的相应保证金；买方在未完全成交前撤销报价，交易所释放买方的相应保证金。</w:t>
            </w:r>
          </w:p>
          <w:p>
            <w:pPr>
              <w:pStyle w:val="5"/>
              <w:shd w:val="clear" w:color="auto"/>
              <w:spacing w:before="0" w:beforeAutospacing="0" w:after="0" w:afterAutospacing="0"/>
              <w:ind w:firstLine="420" w:firstLineChars="200"/>
              <w:jc w:val="both"/>
              <w:rPr>
                <w:rStyle w:val="14"/>
                <w:rFonts w:ascii="仿宋" w:hAnsi="仿宋" w:eastAsia="仿宋" w:cs="Calibri"/>
                <w:color w:val="auto"/>
                <w:sz w:val="21"/>
                <w:szCs w:val="21"/>
              </w:rPr>
            </w:pPr>
          </w:p>
        </w:tc>
        <w:tc>
          <w:tcPr>
            <w:tcW w:w="2500" w:type="pct"/>
            <w:shd w:val="clear" w:color="auto" w:fill="auto"/>
            <w:noWrap w:val="0"/>
            <w:vAlign w:val="center"/>
          </w:tcPr>
          <w:p>
            <w:pPr>
              <w:pStyle w:val="12"/>
              <w:shd w:val="clear" w:color="auto"/>
              <w:tabs>
                <w:tab w:val="left" w:pos="-420"/>
              </w:tabs>
              <w:spacing w:before="0" w:beforeAutospacing="0" w:after="0" w:afterAutospacing="0"/>
              <w:ind w:firstLine="422" w:firstLineChars="200"/>
              <w:jc w:val="both"/>
              <w:rPr>
                <w:rFonts w:ascii="黑体" w:hAnsi="黑体" w:eastAsia="仿宋"/>
                <w:b/>
                <w:color w:val="auto"/>
                <w:sz w:val="21"/>
                <w:szCs w:val="21"/>
                <w:u w:val="single" w:color="000000"/>
              </w:rPr>
            </w:pPr>
            <w:r>
              <w:rPr>
                <w:rStyle w:val="13"/>
                <w:rFonts w:hint="eastAsia" w:ascii="仿宋" w:hAnsi="仿宋" w:eastAsia="仿宋"/>
                <w:b/>
                <w:bCs/>
                <w:strike w:val="0"/>
                <w:color w:val="auto"/>
                <w:sz w:val="21"/>
                <w:szCs w:val="21"/>
                <w:u w:val="none" w:color="auto"/>
                <w:shd w:val="clear" w:color="auto" w:fill="FFFFFF"/>
              </w:rPr>
              <w:t>第十二条</w:t>
            </w:r>
            <w:r>
              <w:rPr>
                <w:rStyle w:val="13"/>
                <w:rFonts w:ascii="Calibri" w:hAnsi="Calibri" w:eastAsia="仿宋" w:cs="Calibri"/>
                <w:b/>
                <w:strike w:val="0"/>
                <w:color w:val="auto"/>
                <w:sz w:val="21"/>
                <w:szCs w:val="21"/>
                <w:u w:val="none" w:color="auto"/>
                <w:shd w:val="clear" w:color="auto" w:fill="FFFFFF"/>
              </w:rPr>
              <w:t> </w:t>
            </w:r>
            <w:r>
              <w:rPr>
                <w:rStyle w:val="14"/>
                <w:rFonts w:hint="eastAsia" w:ascii="仿宋" w:hAnsi="仿宋" w:eastAsia="仿宋"/>
                <w:strike/>
                <w:color w:val="auto"/>
                <w:sz w:val="21"/>
                <w:szCs w:val="21"/>
                <w:shd w:val="clear" w:color="auto" w:fill="FFFFFF"/>
              </w:rPr>
              <w:t>卖方在未完全成交前撤销挂牌，交易所撤销该笔挂牌对应的未成交买方报价，且释放卖方和买方的相应保证金；买方在未完全成交前撤销报价，交易所释放买方的相应保证金。</w:t>
            </w:r>
            <w:r>
              <w:rPr>
                <w:rFonts w:hint="eastAsia" w:ascii="黑体" w:hAnsi="黑体" w:eastAsia="仿宋"/>
                <w:b/>
                <w:color w:val="auto"/>
                <w:sz w:val="21"/>
                <w:szCs w:val="21"/>
                <w:u w:val="single" w:color="000000"/>
              </w:rPr>
              <w:t>当日点价的，卖方可撤销未被点价或者被点价但未成交的挂牌，交易所撤销该笔挂牌对应的平仓单，同时撤销未成交的买方点价；买方可撤销未成交的点价，交易所撤销该笔点价对应的平仓单。</w:t>
            </w:r>
          </w:p>
          <w:p>
            <w:pPr>
              <w:pStyle w:val="12"/>
              <w:tabs>
                <w:tab w:val="left" w:pos="-420"/>
              </w:tabs>
              <w:rPr>
                <w:rFonts w:ascii="黑体" w:hAnsi="黑体" w:eastAsia="黑体"/>
                <w:color w:val="auto"/>
                <w:szCs w:val="21"/>
              </w:rPr>
            </w:pPr>
            <w:r>
              <w:rPr>
                <w:rFonts w:hint="eastAsia" w:ascii="黑体" w:hAnsi="黑体" w:eastAsia="仿宋"/>
                <w:b/>
                <w:color w:val="auto"/>
                <w:szCs w:val="21"/>
                <w:u w:val="single" w:color="000000"/>
              </w:rPr>
              <w:t>多日点价的，卖方可撤销未被摘牌的挂牌；买方可撤销未成交的点价，交易所撤销该笔点价对应的平仓单。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5"/>
              <w:shd w:val="clear" w:color="auto"/>
              <w:spacing w:before="0" w:beforeAutospacing="0" w:after="0" w:afterAutospacing="0"/>
              <w:ind w:firstLine="422" w:firstLineChars="200"/>
              <w:jc w:val="both"/>
              <w:rPr>
                <w:rFonts w:ascii="Calibri" w:hAnsi="Calibri" w:cs="Calibri"/>
                <w:color w:val="auto"/>
                <w:sz w:val="21"/>
                <w:szCs w:val="21"/>
              </w:rPr>
            </w:pPr>
            <w:r>
              <w:rPr>
                <w:rStyle w:val="14"/>
                <w:rFonts w:hint="eastAsia" w:ascii="仿宋" w:hAnsi="仿宋" w:eastAsia="仿宋" w:cs="Calibri"/>
                <w:b/>
                <w:bCs/>
                <w:color w:val="auto"/>
                <w:sz w:val="21"/>
                <w:szCs w:val="21"/>
              </w:rPr>
              <w:t>第十三条</w:t>
            </w:r>
            <w:r>
              <w:rPr>
                <w:rStyle w:val="14"/>
                <w:rFonts w:hint="eastAsia" w:ascii="仿宋" w:hAnsi="仿宋" w:eastAsia="仿宋" w:cs="Calibri"/>
                <w:color w:val="auto"/>
                <w:sz w:val="21"/>
                <w:szCs w:val="21"/>
              </w:rPr>
              <w:t xml:space="preserve"> 卖方应保持交易所平台账户正常登录状态以及联动点价客户端的正常登录状态。卖方不能保持正常登录状态，造成以下结果的，损失由卖方自行承担：</w:t>
            </w:r>
          </w:p>
          <w:p>
            <w:pPr>
              <w:pStyle w:val="5"/>
              <w:shd w:val="clear" w:color="auto"/>
              <w:spacing w:before="0" w:beforeAutospacing="0" w:after="0" w:afterAutospacing="0"/>
              <w:ind w:firstLine="420" w:firstLineChars="200"/>
              <w:jc w:val="both"/>
              <w:rPr>
                <w:rFonts w:ascii="Calibri" w:hAnsi="Calibri" w:cs="Calibri"/>
                <w:color w:val="auto"/>
                <w:sz w:val="21"/>
                <w:szCs w:val="21"/>
              </w:rPr>
            </w:pPr>
            <w:r>
              <w:rPr>
                <w:rStyle w:val="14"/>
                <w:rFonts w:hint="eastAsia" w:ascii="仿宋" w:hAnsi="仿宋" w:eastAsia="仿宋" w:cs="Calibri"/>
                <w:color w:val="auto"/>
                <w:sz w:val="21"/>
                <w:szCs w:val="21"/>
              </w:rPr>
              <w:t>（一）该卖方的所有挂牌现货不再接受买方新报价；</w:t>
            </w:r>
          </w:p>
          <w:p>
            <w:pPr>
              <w:pStyle w:val="5"/>
              <w:shd w:val="clear" w:color="auto"/>
              <w:spacing w:before="0" w:beforeAutospacing="0" w:after="0" w:afterAutospacing="0"/>
              <w:ind w:firstLine="420" w:firstLineChars="200"/>
              <w:jc w:val="both"/>
              <w:rPr>
                <w:rFonts w:ascii="Calibri" w:hAnsi="Calibri" w:cs="Calibri"/>
                <w:color w:val="auto"/>
                <w:sz w:val="21"/>
                <w:szCs w:val="21"/>
              </w:rPr>
            </w:pPr>
            <w:r>
              <w:rPr>
                <w:rStyle w:val="14"/>
                <w:rFonts w:hint="eastAsia" w:ascii="仿宋" w:hAnsi="仿宋" w:eastAsia="仿宋" w:cs="Calibri"/>
                <w:color w:val="auto"/>
                <w:sz w:val="21"/>
                <w:szCs w:val="21"/>
              </w:rPr>
              <w:t>（二）买方撤回报价，而卖方平仓单未能撤回；</w:t>
            </w:r>
          </w:p>
          <w:p>
            <w:pPr>
              <w:pStyle w:val="5"/>
              <w:shd w:val="clear" w:color="auto"/>
              <w:spacing w:before="0" w:beforeAutospacing="0" w:after="0" w:afterAutospacing="0"/>
              <w:ind w:firstLine="420" w:firstLineChars="200"/>
              <w:jc w:val="both"/>
              <w:rPr>
                <w:rStyle w:val="13"/>
                <w:rFonts w:ascii="仿宋" w:hAnsi="仿宋" w:eastAsia="仿宋"/>
                <w:color w:val="auto"/>
                <w:sz w:val="21"/>
                <w:szCs w:val="21"/>
                <w:shd w:val="clear" w:color="auto" w:fill="FFFFFF"/>
              </w:rPr>
            </w:pPr>
            <w:r>
              <w:rPr>
                <w:rStyle w:val="14"/>
                <w:rFonts w:hint="eastAsia" w:ascii="仿宋" w:hAnsi="仿宋" w:eastAsia="仿宋" w:cs="Calibri"/>
                <w:color w:val="auto"/>
                <w:sz w:val="21"/>
                <w:szCs w:val="21"/>
              </w:rPr>
              <w:t>（三）期货市场结算前不能获取买方报价对应的卖方平仓结果，视为未成功点价。</w:t>
            </w:r>
          </w:p>
        </w:tc>
        <w:tc>
          <w:tcPr>
            <w:tcW w:w="2500" w:type="pct"/>
            <w:shd w:val="clear" w:color="auto" w:fill="auto"/>
            <w:noWrap w:val="0"/>
            <w:vAlign w:val="center"/>
          </w:tcPr>
          <w:p>
            <w:pPr>
              <w:pStyle w:val="12"/>
              <w:tabs>
                <w:tab w:val="left" w:pos="-420"/>
              </w:tabs>
              <w:rPr>
                <w:rFonts w:ascii="仿宋" w:hAnsi="仿宋" w:eastAsia="仿宋"/>
                <w:color w:val="auto"/>
                <w:szCs w:val="21"/>
              </w:rPr>
            </w:pPr>
            <w:r>
              <w:rPr>
                <w:rFonts w:ascii="仿宋" w:hAnsi="仿宋" w:eastAsia="仿宋"/>
                <w:b/>
                <w:bCs/>
                <w:strike/>
                <w:dstrike w:val="0"/>
                <w:color w:val="auto"/>
                <w:szCs w:val="21"/>
              </w:rPr>
              <w:t>第十</w:t>
            </w:r>
            <w:r>
              <w:rPr>
                <w:rFonts w:hint="eastAsia" w:ascii="仿宋" w:hAnsi="仿宋" w:eastAsia="仿宋"/>
                <w:b/>
                <w:bCs/>
                <w:strike/>
                <w:dstrike w:val="0"/>
                <w:color w:val="auto"/>
                <w:szCs w:val="21"/>
              </w:rPr>
              <w:t>三</w:t>
            </w:r>
            <w:r>
              <w:rPr>
                <w:rFonts w:ascii="仿宋" w:hAnsi="仿宋" w:eastAsia="仿宋"/>
                <w:b/>
                <w:bCs/>
                <w:strike/>
                <w:dstrike w:val="0"/>
                <w:color w:val="auto"/>
                <w:szCs w:val="21"/>
              </w:rPr>
              <w:t>条</w:t>
            </w:r>
            <w:r>
              <w:rPr>
                <w:rFonts w:hint="eastAsia" w:ascii="仿宋" w:hAnsi="仿宋" w:eastAsia="仿宋"/>
                <w:b/>
                <w:bCs/>
                <w:color w:val="auto"/>
                <w:szCs w:val="21"/>
                <w:u w:val="single"/>
                <w:lang w:eastAsia="zh-CN"/>
              </w:rPr>
              <w:t>第十四条</w:t>
            </w:r>
            <w:r>
              <w:rPr>
                <w:rFonts w:hint="eastAsia" w:ascii="仿宋" w:hAnsi="仿宋" w:eastAsia="仿宋"/>
                <w:b/>
                <w:bCs/>
                <w:color w:val="auto"/>
                <w:szCs w:val="21"/>
                <w:u w:val="none"/>
                <w:lang w:val="en-US" w:eastAsia="zh-CN"/>
              </w:rPr>
              <w:t xml:space="preserve"> </w:t>
            </w:r>
            <w:r>
              <w:rPr>
                <w:rFonts w:hint="eastAsia" w:ascii="仿宋" w:hAnsi="仿宋" w:eastAsia="仿宋"/>
                <w:strike/>
                <w:color w:val="auto"/>
                <w:szCs w:val="21"/>
              </w:rPr>
              <w:t>卖方</w:t>
            </w:r>
            <w:r>
              <w:rPr>
                <w:rFonts w:hint="eastAsia" w:ascii="黑体" w:hAnsi="黑体" w:eastAsia="仿宋"/>
                <w:b/>
                <w:color w:val="auto"/>
                <w:szCs w:val="21"/>
                <w:u w:val="single" w:color="000000"/>
              </w:rPr>
              <w:t>被点价方</w:t>
            </w:r>
            <w:r>
              <w:rPr>
                <w:rFonts w:hint="eastAsia" w:ascii="仿宋" w:hAnsi="仿宋" w:eastAsia="仿宋"/>
                <w:color w:val="auto"/>
                <w:szCs w:val="21"/>
              </w:rPr>
              <w:t>应保持</w:t>
            </w:r>
            <w:r>
              <w:rPr>
                <w:rFonts w:hint="eastAsia" w:ascii="仿宋" w:hAnsi="仿宋" w:eastAsia="仿宋"/>
                <w:strike/>
                <w:color w:val="auto"/>
                <w:szCs w:val="21"/>
              </w:rPr>
              <w:t>交易所平台账户正常登录状态以及</w:t>
            </w:r>
            <w:r>
              <w:rPr>
                <w:rFonts w:hint="eastAsia" w:ascii="仿宋" w:hAnsi="仿宋" w:eastAsia="仿宋"/>
                <w:color w:val="auto"/>
                <w:szCs w:val="21"/>
              </w:rPr>
              <w:t>联动点价客户端的正常登录状态。</w:t>
            </w:r>
            <w:r>
              <w:rPr>
                <w:rFonts w:hint="eastAsia" w:ascii="仿宋" w:hAnsi="仿宋" w:eastAsia="仿宋"/>
                <w:strike/>
                <w:color w:val="auto"/>
                <w:szCs w:val="21"/>
              </w:rPr>
              <w:t>卖方</w:t>
            </w:r>
            <w:r>
              <w:rPr>
                <w:rFonts w:hint="eastAsia" w:ascii="黑体" w:hAnsi="黑体" w:eastAsia="仿宋"/>
                <w:b/>
                <w:color w:val="auto"/>
                <w:szCs w:val="21"/>
                <w:u w:val="single" w:color="000000"/>
              </w:rPr>
              <w:t>被点价方</w:t>
            </w:r>
            <w:r>
              <w:rPr>
                <w:rFonts w:hint="eastAsia" w:ascii="仿宋" w:hAnsi="仿宋" w:eastAsia="仿宋"/>
                <w:strike/>
                <w:color w:val="auto"/>
                <w:szCs w:val="21"/>
              </w:rPr>
              <w:t>不能</w:t>
            </w:r>
            <w:r>
              <w:rPr>
                <w:rFonts w:hint="eastAsia" w:ascii="黑体" w:hAnsi="黑体" w:eastAsia="仿宋" w:cs="黑体"/>
                <w:b/>
                <w:color w:val="auto"/>
                <w:szCs w:val="21"/>
                <w:u w:val="single" w:color="000000"/>
              </w:rPr>
              <w:t>未</w:t>
            </w:r>
            <w:r>
              <w:rPr>
                <w:rFonts w:hint="eastAsia" w:ascii="仿宋" w:hAnsi="仿宋" w:eastAsia="仿宋"/>
                <w:color w:val="auto"/>
                <w:szCs w:val="21"/>
              </w:rPr>
              <w:t>保持正常登录状态，</w:t>
            </w:r>
            <w:r>
              <w:rPr>
                <w:rFonts w:hint="eastAsia" w:ascii="仿宋" w:hAnsi="仿宋" w:eastAsia="仿宋"/>
                <w:strike/>
                <w:color w:val="auto"/>
                <w:szCs w:val="21"/>
              </w:rPr>
              <w:t>造成</w:t>
            </w:r>
            <w:r>
              <w:rPr>
                <w:rFonts w:hint="eastAsia" w:ascii="黑体" w:hAnsi="黑体" w:eastAsia="仿宋" w:cs="黑体"/>
                <w:b/>
                <w:color w:val="auto"/>
                <w:szCs w:val="21"/>
                <w:u w:val="single" w:color="000000"/>
              </w:rPr>
              <w:t>出现</w:t>
            </w:r>
            <w:r>
              <w:rPr>
                <w:rFonts w:hint="eastAsia" w:ascii="仿宋" w:hAnsi="仿宋" w:eastAsia="仿宋"/>
                <w:color w:val="auto"/>
                <w:szCs w:val="21"/>
              </w:rPr>
              <w:t>以下</w:t>
            </w:r>
            <w:r>
              <w:rPr>
                <w:rFonts w:hint="eastAsia" w:ascii="仿宋" w:hAnsi="仿宋" w:eastAsia="仿宋"/>
                <w:strike/>
                <w:color w:val="auto"/>
                <w:szCs w:val="21"/>
              </w:rPr>
              <w:t>结果</w:t>
            </w:r>
            <w:r>
              <w:rPr>
                <w:rFonts w:hint="eastAsia" w:ascii="黑体" w:hAnsi="黑体" w:eastAsia="仿宋" w:cs="黑体"/>
                <w:b/>
                <w:color w:val="auto"/>
                <w:szCs w:val="21"/>
                <w:u w:val="single" w:color="000000"/>
              </w:rPr>
              <w:t>情形</w:t>
            </w:r>
            <w:r>
              <w:rPr>
                <w:rFonts w:hint="eastAsia" w:ascii="仿宋" w:hAnsi="仿宋" w:eastAsia="仿宋"/>
                <w:color w:val="auto"/>
                <w:szCs w:val="21"/>
              </w:rPr>
              <w:t>的，</w:t>
            </w:r>
            <w:r>
              <w:rPr>
                <w:rFonts w:hint="eastAsia" w:ascii="仿宋" w:hAnsi="仿宋" w:eastAsia="仿宋" w:cs="仿宋"/>
                <w:strike/>
                <w:color w:val="auto"/>
                <w:szCs w:val="21"/>
              </w:rPr>
              <w:t>损失</w:t>
            </w:r>
            <w:r>
              <w:rPr>
                <w:rFonts w:hint="eastAsia" w:ascii="黑体" w:hAnsi="黑体" w:eastAsia="仿宋" w:cs="黑体"/>
                <w:b/>
                <w:color w:val="auto"/>
                <w:szCs w:val="21"/>
                <w:u w:val="single" w:color="000000"/>
              </w:rPr>
              <w:t>后果</w:t>
            </w:r>
            <w:r>
              <w:rPr>
                <w:rFonts w:hint="eastAsia" w:ascii="仿宋" w:hAnsi="仿宋" w:eastAsia="仿宋"/>
                <w:color w:val="auto"/>
                <w:szCs w:val="21"/>
              </w:rPr>
              <w:t>由被点价方</w:t>
            </w:r>
            <w:r>
              <w:rPr>
                <w:rFonts w:hint="eastAsia" w:ascii="仿宋" w:hAnsi="仿宋" w:eastAsia="仿宋"/>
                <w:strike/>
                <w:color w:val="auto"/>
                <w:szCs w:val="21"/>
              </w:rPr>
              <w:t>自行</w:t>
            </w:r>
            <w:r>
              <w:rPr>
                <w:rFonts w:hint="eastAsia" w:ascii="仿宋" w:hAnsi="仿宋" w:eastAsia="仿宋"/>
                <w:color w:val="auto"/>
                <w:szCs w:val="21"/>
              </w:rPr>
              <w:t>承担：</w:t>
            </w:r>
          </w:p>
          <w:p>
            <w:pPr>
              <w:pStyle w:val="12"/>
              <w:tabs>
                <w:tab w:val="left" w:pos="-420"/>
              </w:tabs>
              <w:rPr>
                <w:rFonts w:ascii="仿宋" w:hAnsi="仿宋" w:eastAsia="仿宋"/>
                <w:strike/>
                <w:color w:val="auto"/>
                <w:szCs w:val="21"/>
              </w:rPr>
            </w:pPr>
            <w:r>
              <w:rPr>
                <w:rFonts w:hint="eastAsia" w:ascii="仿宋" w:hAnsi="仿宋" w:eastAsia="仿宋"/>
                <w:strike/>
                <w:color w:val="auto"/>
                <w:szCs w:val="21"/>
              </w:rPr>
              <w:t>（一）该卖方的所有挂牌现货不再接受新报价；</w:t>
            </w:r>
          </w:p>
          <w:p>
            <w:pPr>
              <w:pStyle w:val="12"/>
              <w:tabs>
                <w:tab w:val="left" w:pos="-420"/>
              </w:tabs>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strike/>
                <w:color w:val="auto"/>
                <w:szCs w:val="21"/>
              </w:rPr>
              <w:t>二</w:t>
            </w:r>
            <w:r>
              <w:rPr>
                <w:rFonts w:hint="eastAsia" w:ascii="黑体" w:hAnsi="黑体" w:eastAsia="仿宋" w:cs="黑体"/>
                <w:b/>
                <w:color w:val="auto"/>
                <w:szCs w:val="21"/>
                <w:u w:val="single" w:color="000000"/>
              </w:rPr>
              <w:t>一</w:t>
            </w:r>
            <w:r>
              <w:rPr>
                <w:rFonts w:hint="eastAsia" w:ascii="仿宋" w:hAnsi="仿宋" w:eastAsia="仿宋"/>
                <w:color w:val="auto"/>
                <w:szCs w:val="21"/>
              </w:rPr>
              <w:t>）</w:t>
            </w:r>
            <w:r>
              <w:rPr>
                <w:rFonts w:hint="eastAsia" w:ascii="仿宋" w:hAnsi="仿宋" w:eastAsia="仿宋"/>
                <w:strike/>
                <w:color w:val="auto"/>
                <w:szCs w:val="21"/>
              </w:rPr>
              <w:t>买方</w:t>
            </w:r>
            <w:r>
              <w:rPr>
                <w:rFonts w:hint="eastAsia" w:ascii="黑体" w:hAnsi="黑体" w:eastAsia="仿宋"/>
                <w:b/>
                <w:color w:val="auto"/>
                <w:szCs w:val="21"/>
                <w:u w:val="single" w:color="000000"/>
              </w:rPr>
              <w:t>点价方</w:t>
            </w:r>
            <w:r>
              <w:rPr>
                <w:rFonts w:hint="eastAsia" w:ascii="仿宋" w:hAnsi="仿宋" w:eastAsia="仿宋"/>
                <w:strike/>
                <w:dstrike w:val="0"/>
                <w:color w:val="auto"/>
                <w:szCs w:val="21"/>
              </w:rPr>
              <w:t>撤回</w:t>
            </w:r>
            <w:r>
              <w:rPr>
                <w:rFonts w:hint="eastAsia" w:ascii="仿宋" w:hAnsi="仿宋" w:eastAsia="仿宋"/>
                <w:strike/>
                <w:color w:val="auto"/>
                <w:szCs w:val="21"/>
              </w:rPr>
              <w:t>报价</w:t>
            </w:r>
            <w:r>
              <w:rPr>
                <w:rFonts w:hint="eastAsia" w:ascii="黑体" w:hAnsi="黑体" w:eastAsia="仿宋"/>
                <w:b/>
                <w:color w:val="auto"/>
                <w:szCs w:val="21"/>
                <w:u w:val="single" w:color="000000"/>
                <w:lang w:eastAsia="zh-CN"/>
              </w:rPr>
              <w:t>撤销</w:t>
            </w:r>
            <w:r>
              <w:rPr>
                <w:rFonts w:hint="eastAsia" w:ascii="黑体" w:hAnsi="黑体" w:eastAsia="仿宋"/>
                <w:b/>
                <w:color w:val="auto"/>
                <w:szCs w:val="21"/>
                <w:u w:val="single" w:color="000000"/>
              </w:rPr>
              <w:t>点价</w:t>
            </w:r>
            <w:r>
              <w:rPr>
                <w:rFonts w:hint="eastAsia" w:ascii="仿宋" w:hAnsi="仿宋" w:eastAsia="仿宋"/>
                <w:strike/>
                <w:color w:val="auto"/>
                <w:szCs w:val="21"/>
              </w:rPr>
              <w:t>，</w:t>
            </w:r>
            <w:r>
              <w:rPr>
                <w:rFonts w:hint="eastAsia" w:ascii="仿宋" w:hAnsi="仿宋" w:eastAsia="仿宋"/>
                <w:color w:val="auto"/>
                <w:szCs w:val="21"/>
              </w:rPr>
              <w:t>而</w:t>
            </w:r>
            <w:r>
              <w:rPr>
                <w:rFonts w:hint="eastAsia" w:ascii="仿宋" w:hAnsi="仿宋" w:eastAsia="仿宋"/>
                <w:strike/>
                <w:color w:val="auto"/>
                <w:szCs w:val="21"/>
              </w:rPr>
              <w:t>卖方</w:t>
            </w:r>
            <w:r>
              <w:rPr>
                <w:rFonts w:hint="eastAsia" w:ascii="黑体" w:hAnsi="黑体" w:eastAsia="仿宋"/>
                <w:b/>
                <w:color w:val="auto"/>
                <w:szCs w:val="21"/>
                <w:u w:val="single" w:color="000000"/>
              </w:rPr>
              <w:t>被点价方</w:t>
            </w:r>
            <w:r>
              <w:rPr>
                <w:rFonts w:hint="eastAsia" w:ascii="仿宋" w:hAnsi="仿宋" w:eastAsia="仿宋"/>
                <w:color w:val="auto"/>
                <w:szCs w:val="21"/>
              </w:rPr>
              <w:t>平仓单未能</w:t>
            </w:r>
            <w:r>
              <w:rPr>
                <w:rFonts w:hint="eastAsia" w:ascii="黑体" w:hAnsi="黑体" w:eastAsia="仿宋" w:cs="黑体"/>
                <w:b/>
                <w:color w:val="auto"/>
                <w:szCs w:val="21"/>
                <w:u w:val="single" w:color="000000"/>
                <w:lang w:eastAsia="zh-CN"/>
              </w:rPr>
              <w:t>撤销</w:t>
            </w:r>
            <w:r>
              <w:rPr>
                <w:rFonts w:hint="eastAsia" w:ascii="仿宋" w:hAnsi="仿宋" w:eastAsia="仿宋"/>
                <w:strike/>
                <w:color w:val="auto"/>
                <w:szCs w:val="21"/>
              </w:rPr>
              <w:t>撤回</w:t>
            </w:r>
            <w:r>
              <w:rPr>
                <w:rFonts w:hint="eastAsia" w:ascii="仿宋" w:hAnsi="仿宋" w:eastAsia="仿宋"/>
                <w:color w:val="auto"/>
                <w:szCs w:val="21"/>
              </w:rPr>
              <w:t>；</w:t>
            </w:r>
          </w:p>
          <w:p>
            <w:pPr>
              <w:pStyle w:val="12"/>
              <w:tabs>
                <w:tab w:val="left" w:pos="-420"/>
              </w:tabs>
              <w:rPr>
                <w:rFonts w:ascii="黑体" w:hAnsi="黑体" w:eastAsia="仿宋" w:cs="黑体"/>
                <w:b/>
                <w:color w:val="auto"/>
                <w:szCs w:val="21"/>
                <w:u w:val="single" w:color="000000"/>
              </w:rPr>
            </w:pPr>
            <w:r>
              <w:rPr>
                <w:rFonts w:hint="eastAsia" w:ascii="黑体" w:hAnsi="黑体" w:eastAsia="仿宋" w:cs="黑体"/>
                <w:b/>
                <w:color w:val="auto"/>
                <w:szCs w:val="21"/>
                <w:u w:val="single" w:color="000000"/>
              </w:rPr>
              <w:t>（二）点价成交而被点价方未下平仓单；</w:t>
            </w:r>
          </w:p>
          <w:p>
            <w:pPr>
              <w:pStyle w:val="12"/>
              <w:tabs>
                <w:tab w:val="left" w:pos="-420"/>
              </w:tabs>
              <w:rPr>
                <w:rFonts w:ascii="仿宋" w:hAnsi="仿宋" w:eastAsia="仿宋"/>
                <w:color w:val="auto"/>
                <w:szCs w:val="21"/>
              </w:rPr>
            </w:pPr>
            <w:r>
              <w:rPr>
                <w:rFonts w:hint="eastAsia" w:ascii="仿宋" w:hAnsi="仿宋" w:eastAsia="仿宋"/>
                <w:color w:val="auto"/>
                <w:szCs w:val="21"/>
              </w:rPr>
              <w:t>（三）期货市场结算前</w:t>
            </w:r>
            <w:r>
              <w:rPr>
                <w:rFonts w:hint="eastAsia" w:ascii="仿宋" w:hAnsi="仿宋" w:eastAsia="仿宋"/>
                <w:strike/>
                <w:color w:val="auto"/>
                <w:szCs w:val="21"/>
              </w:rPr>
              <w:t>不能</w:t>
            </w:r>
            <w:r>
              <w:rPr>
                <w:rFonts w:hint="eastAsia" w:ascii="黑体" w:hAnsi="黑体" w:eastAsia="仿宋" w:cs="黑体"/>
                <w:b/>
                <w:color w:val="auto"/>
                <w:szCs w:val="21"/>
                <w:u w:val="single" w:color="000000"/>
              </w:rPr>
              <w:t>交易所平台无法</w:t>
            </w:r>
            <w:r>
              <w:rPr>
                <w:rFonts w:hint="eastAsia" w:ascii="仿宋" w:hAnsi="仿宋" w:eastAsia="仿宋"/>
                <w:color w:val="auto"/>
                <w:szCs w:val="21"/>
              </w:rPr>
              <w:t>获取</w:t>
            </w:r>
            <w:r>
              <w:rPr>
                <w:rStyle w:val="14"/>
                <w:rFonts w:hint="eastAsia" w:ascii="仿宋" w:hAnsi="仿宋" w:eastAsia="仿宋" w:cs="Calibri"/>
                <w:strike/>
                <w:color w:val="auto"/>
                <w:szCs w:val="21"/>
              </w:rPr>
              <w:t>买方报价</w:t>
            </w:r>
            <w:r>
              <w:rPr>
                <w:rFonts w:hint="eastAsia" w:ascii="黑体" w:hAnsi="黑体" w:eastAsia="仿宋"/>
                <w:b/>
                <w:color w:val="auto"/>
                <w:szCs w:val="21"/>
                <w:u w:val="single" w:color="000000"/>
              </w:rPr>
              <w:t>点价</w:t>
            </w:r>
            <w:r>
              <w:rPr>
                <w:rFonts w:hint="eastAsia" w:ascii="仿宋" w:hAnsi="仿宋" w:eastAsia="仿宋"/>
                <w:color w:val="auto"/>
                <w:szCs w:val="21"/>
              </w:rPr>
              <w:t>对应的</w:t>
            </w:r>
            <w:r>
              <w:rPr>
                <w:rStyle w:val="14"/>
                <w:rFonts w:hint="eastAsia" w:ascii="仿宋" w:hAnsi="仿宋" w:eastAsia="仿宋" w:cs="Calibri"/>
                <w:strike/>
                <w:dstrike w:val="0"/>
                <w:color w:val="auto"/>
                <w:sz w:val="21"/>
                <w:szCs w:val="21"/>
              </w:rPr>
              <w:t>卖方</w:t>
            </w:r>
            <w:r>
              <w:rPr>
                <w:rFonts w:hint="eastAsia" w:ascii="仿宋" w:hAnsi="仿宋" w:eastAsia="仿宋"/>
                <w:color w:val="auto"/>
                <w:szCs w:val="21"/>
              </w:rPr>
              <w:t>平仓结果，</w:t>
            </w:r>
            <w:r>
              <w:rPr>
                <w:rFonts w:hint="eastAsia" w:ascii="仿宋" w:hAnsi="仿宋" w:eastAsia="仿宋"/>
                <w:strike/>
                <w:color w:val="auto"/>
                <w:szCs w:val="21"/>
              </w:rPr>
              <w:t>视为</w:t>
            </w:r>
            <w:r>
              <w:rPr>
                <w:rFonts w:hint="eastAsia" w:ascii="黑体" w:hAnsi="黑体" w:eastAsia="仿宋" w:cs="黑体"/>
                <w:b/>
                <w:color w:val="auto"/>
                <w:szCs w:val="21"/>
                <w:u w:val="single" w:color="000000"/>
              </w:rPr>
              <w:t>导致点价</w:t>
            </w:r>
            <w:r>
              <w:rPr>
                <w:rFonts w:hint="eastAsia" w:ascii="仿宋" w:hAnsi="仿宋" w:eastAsia="仿宋"/>
                <w:color w:val="auto"/>
                <w:szCs w:val="21"/>
              </w:rPr>
              <w:t>未成功</w:t>
            </w:r>
            <w:r>
              <w:rPr>
                <w:rFonts w:hint="eastAsia" w:ascii="仿宋" w:hAnsi="仿宋" w:eastAsia="仿宋"/>
                <w:strike/>
                <w:color w:val="auto"/>
                <w:szCs w:val="21"/>
              </w:rPr>
              <w:t>点价</w:t>
            </w:r>
            <w:r>
              <w:rPr>
                <w:rFonts w:hint="eastAsia" w:ascii="仿宋" w:hAnsi="仿宋" w:eastAsia="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2499" w:type="pct"/>
            <w:shd w:val="clear" w:color="auto" w:fill="auto"/>
            <w:noWrap w:val="0"/>
            <w:vAlign w:val="center"/>
          </w:tcPr>
          <w:p>
            <w:pPr>
              <w:pStyle w:val="5"/>
              <w:shd w:val="clear" w:color="auto"/>
              <w:spacing w:before="0" w:beforeAutospacing="0" w:after="0" w:afterAutospacing="0"/>
              <w:ind w:firstLine="422" w:firstLineChars="200"/>
              <w:jc w:val="both"/>
              <w:rPr>
                <w:rStyle w:val="14"/>
                <w:rFonts w:hint="eastAsia" w:ascii="仿宋" w:hAnsi="仿宋" w:eastAsia="仿宋" w:cs="Calibri"/>
                <w:color w:val="auto"/>
                <w:sz w:val="21"/>
                <w:szCs w:val="21"/>
              </w:rPr>
            </w:pPr>
            <w:r>
              <w:rPr>
                <w:rFonts w:ascii="仿宋" w:hAnsi="仿宋" w:eastAsia="仿宋" w:cs="Calibri"/>
                <w:b/>
                <w:bCs/>
                <w:color w:val="auto"/>
                <w:sz w:val="21"/>
                <w:szCs w:val="21"/>
              </w:rPr>
              <w:t>第十四条</w:t>
            </w:r>
            <w:r>
              <w:rPr>
                <w:rFonts w:ascii="Calibri" w:hAnsi="Calibri" w:eastAsia="仿宋" w:cs="Calibri"/>
                <w:color w:val="auto"/>
                <w:sz w:val="21"/>
                <w:szCs w:val="21"/>
              </w:rPr>
              <w:t> </w:t>
            </w:r>
            <w:r>
              <w:rPr>
                <w:rFonts w:ascii="仿宋" w:hAnsi="仿宋" w:eastAsia="仿宋" w:cs="Calibri"/>
                <w:color w:val="auto"/>
                <w:sz w:val="21"/>
                <w:szCs w:val="21"/>
              </w:rPr>
              <w:t>未成交的卖方挂牌和买方报价，当日闭市后自动撤销并释放相应保证金。</w:t>
            </w:r>
          </w:p>
        </w:tc>
        <w:tc>
          <w:tcPr>
            <w:tcW w:w="2500" w:type="pct"/>
            <w:shd w:val="clear" w:color="auto" w:fill="auto"/>
            <w:noWrap w:val="0"/>
            <w:vAlign w:val="center"/>
          </w:tcPr>
          <w:p>
            <w:pPr>
              <w:pStyle w:val="12"/>
              <w:tabs>
                <w:tab w:val="left" w:pos="-420"/>
              </w:tabs>
              <w:rPr>
                <w:rFonts w:hint="eastAsia" w:ascii="仿宋" w:hAnsi="仿宋" w:eastAsia="仿宋"/>
                <w:color w:val="auto"/>
                <w:szCs w:val="21"/>
              </w:rPr>
            </w:pPr>
            <w:r>
              <w:rPr>
                <w:rFonts w:ascii="仿宋" w:hAnsi="仿宋" w:eastAsia="仿宋" w:cs="Calibri"/>
                <w:b/>
                <w:bCs/>
                <w:strike/>
                <w:color w:val="auto"/>
                <w:szCs w:val="21"/>
              </w:rPr>
              <w:t>第十四条</w:t>
            </w:r>
            <w:r>
              <w:rPr>
                <w:rFonts w:ascii="黑体" w:hAnsi="黑体" w:eastAsia="仿宋"/>
                <w:b/>
                <w:color w:val="auto"/>
                <w:szCs w:val="21"/>
                <w:u w:val="single" w:color="000000"/>
              </w:rPr>
              <w:t>第十</w:t>
            </w:r>
            <w:r>
              <w:rPr>
                <w:rFonts w:hint="eastAsia" w:ascii="黑体" w:hAnsi="黑体" w:eastAsia="仿宋"/>
                <w:b/>
                <w:color w:val="auto"/>
                <w:szCs w:val="21"/>
                <w:u w:val="single" w:color="000000"/>
                <w:lang w:eastAsia="zh-CN"/>
              </w:rPr>
              <w:t>三</w:t>
            </w:r>
            <w:r>
              <w:rPr>
                <w:rFonts w:ascii="黑体" w:hAnsi="黑体" w:eastAsia="仿宋"/>
                <w:b/>
                <w:color w:val="auto"/>
                <w:szCs w:val="21"/>
                <w:u w:val="single" w:color="000000"/>
              </w:rPr>
              <w:t>条</w:t>
            </w:r>
            <w:r>
              <w:rPr>
                <w:rFonts w:hint="eastAsia" w:ascii="黑体" w:hAnsi="黑体" w:eastAsia="仿宋"/>
                <w:b/>
                <w:color w:val="auto"/>
                <w:szCs w:val="21"/>
                <w:u w:val="none" w:color="auto"/>
                <w:lang w:val="en-US" w:eastAsia="zh-CN"/>
              </w:rPr>
              <w:t xml:space="preserve"> </w:t>
            </w:r>
            <w:r>
              <w:rPr>
                <w:rFonts w:ascii="仿宋" w:hAnsi="仿宋" w:eastAsia="仿宋" w:cs="Calibri"/>
                <w:strike w:val="0"/>
                <w:color w:val="auto"/>
                <w:szCs w:val="21"/>
              </w:rPr>
              <w:t>未成交的</w:t>
            </w:r>
            <w:r>
              <w:rPr>
                <w:rFonts w:ascii="仿宋" w:hAnsi="仿宋" w:eastAsia="仿宋" w:cs="Calibri"/>
                <w:strike/>
                <w:color w:val="auto"/>
                <w:szCs w:val="21"/>
              </w:rPr>
              <w:t>卖方</w:t>
            </w:r>
            <w:r>
              <w:rPr>
                <w:rFonts w:ascii="仿宋" w:hAnsi="仿宋" w:eastAsia="仿宋" w:cs="Calibri"/>
                <w:strike w:val="0"/>
                <w:color w:val="auto"/>
                <w:szCs w:val="21"/>
              </w:rPr>
              <w:t>挂牌和</w:t>
            </w:r>
            <w:r>
              <w:rPr>
                <w:rFonts w:ascii="仿宋" w:hAnsi="仿宋" w:eastAsia="仿宋" w:cs="Calibri"/>
                <w:strike/>
                <w:color w:val="auto"/>
                <w:szCs w:val="21"/>
              </w:rPr>
              <w:t>买方报价</w:t>
            </w:r>
            <w:r>
              <w:rPr>
                <w:rFonts w:hint="eastAsia" w:ascii="仿宋" w:hAnsi="仿宋" w:eastAsia="仿宋" w:cs="Calibri"/>
                <w:b/>
                <w:bCs/>
                <w:strike w:val="0"/>
                <w:color w:val="auto"/>
                <w:szCs w:val="21"/>
                <w:u w:val="single"/>
                <w:lang w:eastAsia="zh-CN"/>
              </w:rPr>
              <w:t>点价</w:t>
            </w:r>
            <w:r>
              <w:rPr>
                <w:rFonts w:ascii="仿宋" w:hAnsi="仿宋" w:eastAsia="仿宋" w:cs="Calibri"/>
                <w:strike w:val="0"/>
                <w:color w:val="auto"/>
                <w:szCs w:val="21"/>
              </w:rPr>
              <w:t>，当日闭市后自动撤销</w:t>
            </w:r>
            <w:r>
              <w:rPr>
                <w:rFonts w:ascii="仿宋" w:hAnsi="仿宋" w:eastAsia="仿宋" w:cs="Calibri"/>
                <w:strike/>
                <w:color w:val="auto"/>
                <w:szCs w:val="21"/>
              </w:rPr>
              <w:t>并释放相应保证金</w:t>
            </w:r>
            <w:r>
              <w:rPr>
                <w:rFonts w:ascii="仿宋" w:hAnsi="仿宋" w:eastAsia="仿宋" w:cs="Calibri"/>
                <w:strike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5"/>
              <w:numPr>
                <w:ilvl w:val="0"/>
                <w:numId w:val="0"/>
              </w:numPr>
              <w:shd w:val="clear" w:color="auto"/>
              <w:spacing w:before="0" w:beforeAutospacing="0" w:after="0" w:afterAutospacing="0"/>
              <w:ind w:firstLine="422" w:firstLineChars="200"/>
              <w:jc w:val="both"/>
              <w:rPr>
                <w:rFonts w:hint="eastAsia" w:ascii="仿宋" w:hAnsi="仿宋" w:eastAsia="仿宋"/>
                <w:color w:val="auto"/>
                <w:sz w:val="21"/>
                <w:szCs w:val="21"/>
                <w:shd w:val="clear"/>
              </w:rPr>
            </w:pPr>
            <w:r>
              <w:rPr>
                <w:rFonts w:hint="eastAsia" w:ascii="仿宋" w:hAnsi="仿宋" w:eastAsia="仿宋"/>
                <w:b/>
                <w:bCs/>
                <w:color w:val="auto"/>
                <w:sz w:val="21"/>
                <w:szCs w:val="21"/>
                <w:shd w:val="clear"/>
                <w:lang w:eastAsia="zh-CN"/>
              </w:rPr>
              <w:t>第十五条</w:t>
            </w:r>
            <w:r>
              <w:rPr>
                <w:rFonts w:hint="eastAsia" w:ascii="仿宋" w:hAnsi="仿宋" w:eastAsia="仿宋"/>
                <w:color w:val="auto"/>
                <w:sz w:val="21"/>
                <w:szCs w:val="21"/>
                <w:shd w:val="clear"/>
                <w:lang w:val="en-US" w:eastAsia="zh-CN"/>
              </w:rPr>
              <w:t xml:space="preserve"> </w:t>
            </w:r>
            <w:r>
              <w:rPr>
                <w:rFonts w:hint="eastAsia" w:ascii="仿宋" w:hAnsi="仿宋" w:eastAsia="仿宋"/>
                <w:color w:val="auto"/>
                <w:sz w:val="21"/>
                <w:szCs w:val="21"/>
                <w:shd w:val="clear"/>
              </w:rPr>
              <w:t>本章所称交收业务，是指</w:t>
            </w:r>
            <w:r>
              <w:rPr>
                <w:rFonts w:ascii="仿宋" w:hAnsi="仿宋" w:eastAsia="仿宋"/>
                <w:color w:val="auto"/>
                <w:sz w:val="21"/>
                <w:szCs w:val="21"/>
                <w:shd w:val="clear"/>
              </w:rPr>
              <w:t>交易所平台将</w:t>
            </w:r>
            <w:r>
              <w:rPr>
                <w:rFonts w:hint="eastAsia" w:ascii="仿宋" w:hAnsi="仿宋" w:eastAsia="仿宋"/>
                <w:color w:val="auto"/>
                <w:sz w:val="21"/>
                <w:szCs w:val="21"/>
                <w:shd w:val="clear"/>
              </w:rPr>
              <w:t>点价成功的成交信息推送到泛糖平台，买卖双方与泛糖科技在泛糖平台办理现货交付、货款结算和发票流转。</w:t>
            </w:r>
          </w:p>
        </w:tc>
        <w:tc>
          <w:tcPr>
            <w:tcW w:w="2500" w:type="pct"/>
            <w:shd w:val="clear" w:color="auto" w:fill="auto"/>
            <w:noWrap w:val="0"/>
            <w:vAlign w:val="center"/>
          </w:tcPr>
          <w:p>
            <w:pPr>
              <w:pStyle w:val="12"/>
              <w:tabs>
                <w:tab w:val="left" w:pos="-420"/>
              </w:tabs>
              <w:rPr>
                <w:rFonts w:ascii="仿宋" w:hAnsi="仿宋" w:eastAsia="仿宋"/>
                <w:color w:val="auto"/>
                <w:szCs w:val="21"/>
              </w:rPr>
            </w:pPr>
            <w:r>
              <w:rPr>
                <w:rFonts w:ascii="仿宋" w:hAnsi="仿宋" w:eastAsia="仿宋"/>
                <w:b/>
                <w:bCs/>
                <w:strike w:val="0"/>
                <w:color w:val="auto"/>
                <w:szCs w:val="21"/>
              </w:rPr>
              <w:t>第十</w:t>
            </w:r>
            <w:r>
              <w:rPr>
                <w:rFonts w:hint="eastAsia" w:ascii="仿宋" w:hAnsi="仿宋" w:eastAsia="仿宋"/>
                <w:b/>
                <w:bCs/>
                <w:strike w:val="0"/>
                <w:color w:val="auto"/>
                <w:szCs w:val="21"/>
              </w:rPr>
              <w:t>五</w:t>
            </w:r>
            <w:r>
              <w:rPr>
                <w:rFonts w:ascii="仿宋" w:hAnsi="仿宋" w:eastAsia="仿宋"/>
                <w:b/>
                <w:bCs/>
                <w:strike w:val="0"/>
                <w:color w:val="auto"/>
                <w:szCs w:val="21"/>
              </w:rPr>
              <w:t>条</w:t>
            </w:r>
            <w:r>
              <w:rPr>
                <w:rFonts w:hint="eastAsia" w:ascii="黑体" w:hAnsi="黑体" w:eastAsia="仿宋"/>
                <w:b/>
                <w:color w:val="auto"/>
                <w:szCs w:val="21"/>
                <w:u w:val="none" w:color="auto"/>
                <w:lang w:val="en-US" w:eastAsia="zh-CN"/>
              </w:rPr>
              <w:t xml:space="preserve"> </w:t>
            </w:r>
            <w:r>
              <w:rPr>
                <w:rFonts w:hint="eastAsia" w:ascii="仿宋" w:hAnsi="仿宋" w:eastAsia="仿宋"/>
                <w:color w:val="auto"/>
                <w:szCs w:val="21"/>
              </w:rPr>
              <w:t>本章所称交收业务，是指</w:t>
            </w:r>
            <w:r>
              <w:rPr>
                <w:rFonts w:hint="eastAsia" w:ascii="仿宋" w:hAnsi="仿宋" w:eastAsia="仿宋"/>
                <w:strike/>
                <w:color w:val="auto"/>
                <w:szCs w:val="21"/>
              </w:rPr>
              <w:t>交易所平台将</w:t>
            </w:r>
            <w:r>
              <w:rPr>
                <w:rFonts w:hint="eastAsia" w:ascii="黑体" w:hAnsi="黑体" w:eastAsia="仿宋"/>
                <w:b/>
                <w:color w:val="auto"/>
                <w:szCs w:val="21"/>
                <w:u w:val="single" w:color="000000"/>
              </w:rPr>
              <w:t>泛糖平台</w:t>
            </w:r>
            <w:r>
              <w:rPr>
                <w:rFonts w:ascii="黑体" w:hAnsi="黑体" w:eastAsia="仿宋"/>
                <w:b/>
                <w:color w:val="auto"/>
                <w:szCs w:val="21"/>
                <w:u w:val="single" w:color="000000"/>
              </w:rPr>
              <w:t>获取</w:t>
            </w:r>
            <w:r>
              <w:rPr>
                <w:rFonts w:ascii="仿宋" w:hAnsi="仿宋" w:eastAsia="仿宋"/>
                <w:color w:val="auto"/>
                <w:szCs w:val="21"/>
              </w:rPr>
              <w:t>点价</w:t>
            </w:r>
            <w:r>
              <w:rPr>
                <w:rFonts w:ascii="仿宋" w:hAnsi="仿宋" w:eastAsia="仿宋"/>
                <w:strike/>
                <w:color w:val="auto"/>
                <w:szCs w:val="21"/>
              </w:rPr>
              <w:t>成功的</w:t>
            </w:r>
            <w:r>
              <w:rPr>
                <w:rFonts w:hint="eastAsia" w:ascii="仿宋" w:hAnsi="仿宋" w:eastAsia="仿宋"/>
                <w:color w:val="auto"/>
                <w:szCs w:val="21"/>
              </w:rPr>
              <w:t>成交信息</w:t>
            </w:r>
            <w:r>
              <w:rPr>
                <w:rFonts w:ascii="黑体" w:hAnsi="黑体" w:eastAsia="仿宋"/>
                <w:b/>
                <w:color w:val="auto"/>
                <w:szCs w:val="21"/>
                <w:u w:val="single" w:color="000000"/>
              </w:rPr>
              <w:t>后</w:t>
            </w:r>
            <w:r>
              <w:rPr>
                <w:rFonts w:ascii="仿宋" w:hAnsi="仿宋" w:eastAsia="仿宋"/>
                <w:strike/>
                <w:color w:val="auto"/>
                <w:szCs w:val="21"/>
              </w:rPr>
              <w:t>推送到泛糖平台</w:t>
            </w:r>
            <w:r>
              <w:rPr>
                <w:rFonts w:hint="eastAsia" w:ascii="仿宋" w:hAnsi="仿宋" w:eastAsia="仿宋"/>
                <w:color w:val="auto"/>
                <w:szCs w:val="21"/>
              </w:rPr>
              <w:t>，买卖双方与泛糖科技在泛糖平台办理现货交付、货款结算和发票流转</w:t>
            </w:r>
            <w:r>
              <w:rPr>
                <w:rFonts w:hint="eastAsia" w:ascii="黑体" w:hAnsi="黑体" w:eastAsia="仿宋" w:cs="黑体"/>
                <w:b/>
                <w:color w:val="auto"/>
                <w:szCs w:val="21"/>
                <w:u w:val="single" w:color="000000"/>
              </w:rPr>
              <w:t>的业务</w:t>
            </w:r>
            <w:r>
              <w:rPr>
                <w:rFonts w:hint="eastAsia" w:ascii="仿宋" w:hAnsi="仿宋" w:eastAsia="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tabs>
                <w:tab w:val="left" w:pos="-420"/>
              </w:tabs>
              <w:ind w:firstLine="422" w:firstLineChars="200"/>
              <w:rPr>
                <w:rStyle w:val="14"/>
                <w:rFonts w:ascii="仿宋" w:hAnsi="仿宋" w:eastAsia="仿宋"/>
                <w:color w:val="auto"/>
                <w:szCs w:val="21"/>
              </w:rPr>
            </w:pPr>
            <w:r>
              <w:rPr>
                <w:rStyle w:val="14"/>
                <w:rFonts w:hint="eastAsia" w:ascii="仿宋" w:hAnsi="仿宋" w:eastAsia="仿宋" w:cs="Calibri"/>
                <w:b/>
                <w:bCs/>
                <w:color w:val="auto"/>
                <w:szCs w:val="21"/>
              </w:rPr>
              <w:t>第十六条</w:t>
            </w:r>
            <w:r>
              <w:rPr>
                <w:rStyle w:val="14"/>
                <w:rFonts w:hint="eastAsia" w:ascii="仿宋" w:hAnsi="仿宋" w:eastAsia="仿宋" w:cs="Calibri"/>
                <w:color w:val="auto"/>
                <w:szCs w:val="21"/>
              </w:rPr>
              <w:t xml:space="preserve"> </w:t>
            </w:r>
            <w:r>
              <w:rPr>
                <w:rFonts w:hint="eastAsia" w:ascii="仿宋" w:hAnsi="仿宋" w:eastAsia="仿宋"/>
                <w:color w:val="auto"/>
                <w:szCs w:val="21"/>
              </w:rPr>
              <w:t>买卖双方根据交易所平台推送的成交信息分别和泛糖科技签订合同。</w:t>
            </w:r>
          </w:p>
        </w:tc>
        <w:tc>
          <w:tcPr>
            <w:tcW w:w="2500" w:type="pct"/>
            <w:shd w:val="clear" w:color="auto" w:fill="auto"/>
            <w:noWrap w:val="0"/>
            <w:vAlign w:val="center"/>
          </w:tcPr>
          <w:p>
            <w:pPr>
              <w:tabs>
                <w:tab w:val="left" w:pos="-420"/>
              </w:tabs>
              <w:ind w:firstLine="422" w:firstLineChars="200"/>
              <w:rPr>
                <w:rFonts w:ascii="仿宋" w:hAnsi="仿宋" w:eastAsia="仿宋"/>
                <w:color w:val="auto"/>
                <w:szCs w:val="21"/>
              </w:rPr>
            </w:pPr>
            <w:r>
              <w:rPr>
                <w:rFonts w:ascii="仿宋" w:hAnsi="仿宋" w:eastAsia="仿宋"/>
                <w:b/>
                <w:bCs/>
                <w:strike w:val="0"/>
                <w:color w:val="auto"/>
                <w:szCs w:val="21"/>
              </w:rPr>
              <w:t>第十</w:t>
            </w:r>
            <w:r>
              <w:rPr>
                <w:rFonts w:hint="eastAsia" w:ascii="仿宋" w:hAnsi="仿宋" w:eastAsia="仿宋"/>
                <w:b/>
                <w:bCs/>
                <w:strike w:val="0"/>
                <w:color w:val="auto"/>
                <w:szCs w:val="21"/>
              </w:rPr>
              <w:t>六</w:t>
            </w:r>
            <w:r>
              <w:rPr>
                <w:rFonts w:ascii="仿宋" w:hAnsi="仿宋" w:eastAsia="仿宋"/>
                <w:b/>
                <w:bCs/>
                <w:strike w:val="0"/>
                <w:color w:val="auto"/>
                <w:szCs w:val="21"/>
              </w:rPr>
              <w:t>条</w:t>
            </w:r>
            <w:r>
              <w:rPr>
                <w:rFonts w:hint="eastAsia" w:ascii="黑体" w:hAnsi="黑体" w:eastAsia="仿宋"/>
                <w:b/>
                <w:color w:val="auto"/>
                <w:szCs w:val="21"/>
                <w:u w:val="none" w:color="auto"/>
                <w:lang w:val="en-US" w:eastAsia="zh-CN"/>
              </w:rPr>
              <w:t xml:space="preserve"> </w:t>
            </w:r>
            <w:r>
              <w:rPr>
                <w:rFonts w:hint="eastAsia" w:ascii="仿宋" w:hAnsi="仿宋" w:eastAsia="仿宋"/>
                <w:color w:val="auto"/>
                <w:szCs w:val="21"/>
              </w:rPr>
              <w:t>买卖双方根据</w:t>
            </w:r>
            <w:r>
              <w:rPr>
                <w:rFonts w:hint="eastAsia" w:ascii="仿宋" w:hAnsi="仿宋" w:eastAsia="仿宋"/>
                <w:strike/>
                <w:color w:val="auto"/>
                <w:szCs w:val="21"/>
              </w:rPr>
              <w:t>交易所平台推送的</w:t>
            </w:r>
            <w:r>
              <w:rPr>
                <w:rFonts w:hint="eastAsia" w:ascii="黑体" w:hAnsi="黑体" w:eastAsia="仿宋"/>
                <w:b/>
                <w:color w:val="auto"/>
                <w:szCs w:val="21"/>
                <w:u w:val="single" w:color="000000"/>
              </w:rPr>
              <w:t>点价</w:t>
            </w:r>
            <w:r>
              <w:rPr>
                <w:rFonts w:hint="eastAsia" w:ascii="仿宋" w:hAnsi="仿宋" w:eastAsia="仿宋"/>
                <w:color w:val="auto"/>
                <w:szCs w:val="21"/>
              </w:rPr>
              <w:t>成交信息分别</w:t>
            </w:r>
            <w:r>
              <w:rPr>
                <w:rFonts w:hint="eastAsia" w:ascii="仿宋" w:hAnsi="仿宋" w:eastAsia="仿宋"/>
                <w:strike/>
                <w:color w:val="auto"/>
                <w:szCs w:val="21"/>
              </w:rPr>
              <w:t>和</w:t>
            </w:r>
            <w:r>
              <w:rPr>
                <w:rFonts w:ascii="黑体" w:hAnsi="黑体" w:eastAsia="仿宋"/>
                <w:b/>
                <w:color w:val="auto"/>
                <w:szCs w:val="21"/>
                <w:u w:val="single" w:color="000000"/>
              </w:rPr>
              <w:t>与</w:t>
            </w:r>
            <w:r>
              <w:rPr>
                <w:rFonts w:hint="eastAsia" w:ascii="仿宋" w:hAnsi="仿宋" w:eastAsia="仿宋"/>
                <w:color w:val="auto"/>
                <w:szCs w:val="21"/>
              </w:rPr>
              <w:t>泛糖科技签订合同。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tabs>
                <w:tab w:val="left" w:pos="-420"/>
              </w:tabs>
              <w:ind w:firstLine="422" w:firstLineChars="200"/>
              <w:rPr>
                <w:rStyle w:val="14"/>
                <w:rFonts w:hint="eastAsia" w:ascii="仿宋" w:hAnsi="仿宋" w:eastAsia="仿宋" w:cs="Calibri"/>
                <w:b/>
                <w:bCs/>
                <w:color w:val="auto"/>
                <w:szCs w:val="21"/>
              </w:rPr>
            </w:pPr>
            <w:r>
              <w:rPr>
                <w:rStyle w:val="14"/>
                <w:rFonts w:hint="eastAsia" w:ascii="仿宋" w:hAnsi="仿宋" w:eastAsia="仿宋" w:cs="Calibri"/>
                <w:b/>
                <w:bCs/>
                <w:color w:val="auto"/>
                <w:szCs w:val="21"/>
              </w:rPr>
              <w:t>第十七条</w:t>
            </w:r>
            <w:r>
              <w:rPr>
                <w:rStyle w:val="14"/>
                <w:rFonts w:hint="eastAsia" w:ascii="仿宋" w:hAnsi="仿宋" w:eastAsia="仿宋" w:cs="Calibri"/>
                <w:b/>
                <w:bCs/>
                <w:color w:val="auto"/>
                <w:szCs w:val="21"/>
                <w:lang w:val="en-US" w:eastAsia="zh-CN"/>
              </w:rPr>
              <w:t xml:space="preserve"> </w:t>
            </w:r>
            <w:r>
              <w:rPr>
                <w:rStyle w:val="7"/>
                <w:rFonts w:hint="eastAsia" w:ascii="仿宋" w:hAnsi="仿宋" w:eastAsia="仿宋" w:cs="Times New Roman"/>
                <w:b w:val="0"/>
                <w:bCs w:val="0"/>
                <w:color w:val="auto"/>
                <w:szCs w:val="21"/>
              </w:rPr>
              <w:t>实际交收现货以泛糖平台可选现货为准，买方应提前在泛糖平台选择拟购买的现货。具体选货事项按照泛糖</w:t>
            </w:r>
            <w:r>
              <w:rPr>
                <w:rFonts w:hint="eastAsia" w:ascii="仿宋" w:hAnsi="仿宋" w:eastAsia="仿宋" w:cs="Times New Roman"/>
                <w:b w:val="0"/>
                <w:bCs w:val="0"/>
                <w:color w:val="auto"/>
                <w:szCs w:val="21"/>
                <w:lang w:eastAsia="zh-CN"/>
              </w:rPr>
              <w:t>平台</w:t>
            </w:r>
            <w:r>
              <w:rPr>
                <w:rStyle w:val="7"/>
                <w:rFonts w:hint="eastAsia" w:ascii="仿宋" w:hAnsi="仿宋" w:eastAsia="仿宋" w:cs="Times New Roman"/>
                <w:b w:val="0"/>
                <w:bCs w:val="0"/>
                <w:color w:val="auto"/>
                <w:szCs w:val="21"/>
              </w:rPr>
              <w:t>相关规定执行。</w:t>
            </w:r>
          </w:p>
        </w:tc>
        <w:tc>
          <w:tcPr>
            <w:tcW w:w="2500" w:type="pct"/>
            <w:shd w:val="clear" w:color="auto" w:fill="auto"/>
            <w:noWrap w:val="0"/>
            <w:vAlign w:val="center"/>
          </w:tcPr>
          <w:p>
            <w:pPr>
              <w:tabs>
                <w:tab w:val="left" w:pos="-420"/>
              </w:tabs>
              <w:ind w:firstLine="422" w:firstLineChars="200"/>
              <w:rPr>
                <w:rFonts w:ascii="仿宋" w:hAnsi="仿宋" w:eastAsia="仿宋"/>
                <w:b/>
                <w:bCs/>
                <w:strike w:val="0"/>
                <w:color w:val="auto"/>
                <w:szCs w:val="21"/>
              </w:rPr>
            </w:pPr>
            <w:r>
              <w:rPr>
                <w:rStyle w:val="14"/>
                <w:rFonts w:hint="eastAsia" w:ascii="仿宋" w:hAnsi="仿宋" w:eastAsia="仿宋" w:cs="Calibri"/>
                <w:b/>
                <w:bCs/>
                <w:color w:val="auto"/>
                <w:szCs w:val="21"/>
              </w:rPr>
              <w:t>第十七条</w:t>
            </w:r>
            <w:r>
              <w:rPr>
                <w:rStyle w:val="14"/>
                <w:rFonts w:hint="eastAsia" w:ascii="仿宋" w:hAnsi="仿宋" w:eastAsia="仿宋" w:cs="Calibri"/>
                <w:b/>
                <w:bCs/>
                <w:color w:val="auto"/>
                <w:szCs w:val="21"/>
                <w:lang w:val="en-US" w:eastAsia="zh-CN"/>
              </w:rPr>
              <w:t xml:space="preserve"> </w:t>
            </w:r>
            <w:r>
              <w:rPr>
                <w:rFonts w:hint="eastAsia" w:ascii="仿宋" w:hAnsi="仿宋" w:eastAsia="仿宋" w:cs="Times New Roman"/>
                <w:b w:val="0"/>
                <w:bCs w:val="0"/>
                <w:color w:val="auto"/>
                <w:szCs w:val="21"/>
              </w:rPr>
              <w:t>实际交收现货以泛糖平台可选现货为准，买方应提前在泛糖平台选择拟购买的现货。具体选货事项按照泛糖</w:t>
            </w:r>
            <w:r>
              <w:rPr>
                <w:rFonts w:hint="eastAsia" w:ascii="仿宋" w:hAnsi="仿宋" w:eastAsia="仿宋" w:cs="Times New Roman"/>
                <w:b/>
                <w:bCs/>
                <w:color w:val="auto"/>
                <w:szCs w:val="21"/>
                <w:u w:val="single"/>
              </w:rPr>
              <w:t>科技</w:t>
            </w:r>
            <w:r>
              <w:rPr>
                <w:rFonts w:hint="eastAsia" w:ascii="仿宋" w:hAnsi="仿宋" w:eastAsia="仿宋" w:cs="Times New Roman"/>
                <w:b w:val="0"/>
                <w:bCs w:val="0"/>
                <w:strike/>
                <w:color w:val="auto"/>
                <w:szCs w:val="21"/>
                <w:lang w:eastAsia="zh-CN"/>
              </w:rPr>
              <w:t>平台</w:t>
            </w:r>
            <w:r>
              <w:rPr>
                <w:rFonts w:hint="eastAsia" w:ascii="仿宋" w:hAnsi="仿宋" w:eastAsia="仿宋" w:cs="Times New Roman"/>
                <w:b w:val="0"/>
                <w:bCs w:val="0"/>
                <w:color w:val="auto"/>
                <w:szCs w:val="21"/>
              </w:rPr>
              <w:t>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tabs>
                <w:tab w:val="left" w:pos="-420"/>
              </w:tabs>
              <w:ind w:firstLine="422" w:firstLineChars="200"/>
              <w:rPr>
                <w:rStyle w:val="14"/>
                <w:rFonts w:ascii="仿宋" w:hAnsi="仿宋" w:eastAsia="仿宋"/>
                <w:color w:val="auto"/>
                <w:szCs w:val="21"/>
              </w:rPr>
            </w:pPr>
            <w:r>
              <w:rPr>
                <w:rFonts w:hint="eastAsia" w:ascii="仿宋" w:hAnsi="仿宋" w:eastAsia="仿宋"/>
                <w:b/>
                <w:bCs/>
                <w:color w:val="auto"/>
                <w:szCs w:val="21"/>
              </w:rPr>
              <w:t>第十八条</w:t>
            </w:r>
            <w:r>
              <w:rPr>
                <w:rFonts w:hint="eastAsia" w:ascii="仿宋" w:hAnsi="仿宋" w:eastAsia="仿宋"/>
                <w:color w:val="auto"/>
                <w:szCs w:val="21"/>
              </w:rPr>
              <w:t xml:space="preserve"> 卖方与泛糖科技、泛糖科技与买方应当按点价成交数量、交收价格、实际交付货物的升贴水等确认货款。升贴水由泛糖平台根据现货的质量等级、品牌等因素制定公布。</w:t>
            </w:r>
          </w:p>
        </w:tc>
        <w:tc>
          <w:tcPr>
            <w:tcW w:w="2500" w:type="pct"/>
            <w:shd w:val="clear" w:color="auto" w:fill="auto"/>
            <w:noWrap w:val="0"/>
            <w:vAlign w:val="center"/>
          </w:tcPr>
          <w:p>
            <w:pPr>
              <w:tabs>
                <w:tab w:val="left" w:pos="-420"/>
              </w:tabs>
              <w:ind w:firstLine="422" w:firstLineChars="200"/>
              <w:rPr>
                <w:rFonts w:ascii="仿宋" w:hAnsi="仿宋" w:eastAsia="仿宋"/>
                <w:strike/>
                <w:color w:val="auto"/>
                <w:szCs w:val="21"/>
              </w:rPr>
            </w:pPr>
            <w:r>
              <w:rPr>
                <w:rFonts w:ascii="仿宋" w:hAnsi="仿宋" w:eastAsia="仿宋"/>
                <w:b/>
                <w:bCs/>
                <w:strike w:val="0"/>
                <w:color w:val="auto"/>
                <w:szCs w:val="21"/>
                <w:u w:val="none" w:color="auto"/>
              </w:rPr>
              <w:t>第十</w:t>
            </w:r>
            <w:r>
              <w:rPr>
                <w:rFonts w:hint="eastAsia" w:ascii="仿宋" w:hAnsi="仿宋" w:eastAsia="仿宋"/>
                <w:b/>
                <w:bCs/>
                <w:strike w:val="0"/>
                <w:color w:val="auto"/>
                <w:szCs w:val="21"/>
                <w:u w:val="none" w:color="auto"/>
              </w:rPr>
              <w:t>八</w:t>
            </w:r>
            <w:r>
              <w:rPr>
                <w:rFonts w:ascii="仿宋" w:hAnsi="仿宋" w:eastAsia="仿宋"/>
                <w:b/>
                <w:bCs/>
                <w:strike w:val="0"/>
                <w:color w:val="auto"/>
                <w:szCs w:val="21"/>
                <w:u w:val="none" w:color="auto"/>
              </w:rPr>
              <w:t>条</w:t>
            </w:r>
            <w:r>
              <w:rPr>
                <w:rFonts w:hint="eastAsia" w:ascii="黑体" w:hAnsi="黑体" w:eastAsia="仿宋"/>
                <w:b/>
                <w:strike w:val="0"/>
                <w:color w:val="auto"/>
                <w:szCs w:val="21"/>
                <w:u w:val="none" w:color="auto"/>
                <w:lang w:val="en-US" w:eastAsia="zh-CN"/>
              </w:rPr>
              <w:t xml:space="preserve"> </w:t>
            </w:r>
            <w:r>
              <w:rPr>
                <w:rFonts w:hint="eastAsia" w:ascii="仿宋" w:hAnsi="仿宋" w:eastAsia="仿宋"/>
                <w:color w:val="auto"/>
                <w:szCs w:val="21"/>
              </w:rPr>
              <w:t>卖方与泛糖科技、泛糖科技与买方应当按</w:t>
            </w:r>
            <w:r>
              <w:rPr>
                <w:rFonts w:hint="eastAsia" w:ascii="黑体" w:hAnsi="黑体" w:eastAsia="仿宋"/>
                <w:b/>
                <w:color w:val="auto"/>
                <w:szCs w:val="21"/>
                <w:u w:val="single" w:color="000000"/>
              </w:rPr>
              <w:t>交收价格、</w:t>
            </w:r>
            <w:r>
              <w:rPr>
                <w:rFonts w:hint="eastAsia" w:ascii="仿宋" w:hAnsi="仿宋" w:eastAsia="仿宋"/>
                <w:color w:val="auto"/>
                <w:szCs w:val="21"/>
              </w:rPr>
              <w:t>点价成交数量、</w:t>
            </w:r>
            <w:r>
              <w:rPr>
                <w:rFonts w:hint="eastAsia" w:ascii="仿宋" w:hAnsi="仿宋" w:eastAsia="仿宋"/>
                <w:strike/>
                <w:color w:val="auto"/>
                <w:szCs w:val="21"/>
              </w:rPr>
              <w:t>交收价格、</w:t>
            </w:r>
            <w:r>
              <w:rPr>
                <w:rFonts w:hint="eastAsia" w:ascii="仿宋" w:hAnsi="仿宋" w:eastAsia="仿宋"/>
                <w:color w:val="auto"/>
                <w:szCs w:val="21"/>
              </w:rPr>
              <w:t>实际交付货物</w:t>
            </w:r>
            <w:r>
              <w:rPr>
                <w:rFonts w:hint="eastAsia" w:ascii="仿宋" w:hAnsi="仿宋" w:eastAsia="仿宋"/>
                <w:strike/>
                <w:color w:val="auto"/>
                <w:szCs w:val="21"/>
              </w:rPr>
              <w:t>的</w:t>
            </w:r>
            <w:r>
              <w:rPr>
                <w:rFonts w:hint="eastAsia" w:ascii="仿宋" w:hAnsi="仿宋" w:eastAsia="仿宋"/>
                <w:color w:val="auto"/>
                <w:szCs w:val="21"/>
              </w:rPr>
              <w:t>升贴水</w:t>
            </w:r>
            <w:r>
              <w:rPr>
                <w:rFonts w:ascii="仿宋" w:hAnsi="仿宋" w:eastAsia="仿宋"/>
                <w:color w:val="auto"/>
                <w:szCs w:val="21"/>
              </w:rPr>
              <w:t>等</w:t>
            </w:r>
            <w:r>
              <w:rPr>
                <w:rFonts w:hint="eastAsia" w:ascii="仿宋" w:hAnsi="仿宋" w:eastAsia="仿宋"/>
                <w:color w:val="auto"/>
                <w:szCs w:val="21"/>
              </w:rPr>
              <w:t>确认货款。升贴水由泛糖</w:t>
            </w:r>
            <w:r>
              <w:rPr>
                <w:rFonts w:hint="eastAsia" w:ascii="黑体" w:hAnsi="黑体" w:eastAsia="仿宋" w:cs="黑体"/>
                <w:b/>
                <w:color w:val="auto"/>
                <w:szCs w:val="21"/>
                <w:u w:val="single" w:color="000000"/>
              </w:rPr>
              <w:t>科技</w:t>
            </w:r>
            <w:r>
              <w:rPr>
                <w:rFonts w:hint="eastAsia" w:ascii="仿宋" w:hAnsi="仿宋" w:eastAsia="仿宋"/>
                <w:strike/>
                <w:color w:val="auto"/>
                <w:szCs w:val="21"/>
              </w:rPr>
              <w:t>平台</w:t>
            </w:r>
            <w:r>
              <w:rPr>
                <w:rFonts w:hint="eastAsia" w:ascii="仿宋" w:hAnsi="仿宋" w:eastAsia="仿宋"/>
                <w:color w:val="auto"/>
                <w:szCs w:val="21"/>
              </w:rPr>
              <w:t>根据现货的质量等级、品牌等因素制定公布。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tabs>
                <w:tab w:val="left" w:pos="-420"/>
              </w:tabs>
              <w:ind w:firstLine="422" w:firstLineChars="200"/>
              <w:rPr>
                <w:rFonts w:ascii="仿宋" w:hAnsi="仿宋" w:eastAsia="仿宋"/>
                <w:color w:val="auto"/>
                <w:szCs w:val="21"/>
              </w:rPr>
            </w:pPr>
            <w:r>
              <w:rPr>
                <w:rFonts w:hint="eastAsia" w:ascii="仿宋" w:hAnsi="仿宋" w:eastAsia="仿宋"/>
                <w:b/>
                <w:bCs/>
                <w:color w:val="auto"/>
                <w:szCs w:val="21"/>
              </w:rPr>
              <w:t>第十</w:t>
            </w:r>
            <w:r>
              <w:rPr>
                <w:rFonts w:hint="eastAsia" w:ascii="仿宋" w:hAnsi="仿宋" w:eastAsia="仿宋"/>
                <w:b/>
                <w:bCs/>
                <w:color w:val="auto"/>
                <w:szCs w:val="21"/>
                <w:lang w:eastAsia="zh-CN"/>
              </w:rPr>
              <w:t>九</w:t>
            </w:r>
            <w:r>
              <w:rPr>
                <w:rFonts w:hint="eastAsia" w:ascii="仿宋" w:hAnsi="仿宋" w:eastAsia="仿宋"/>
                <w:b/>
                <w:bCs/>
                <w:color w:val="auto"/>
                <w:szCs w:val="21"/>
              </w:rPr>
              <w:t>条</w:t>
            </w:r>
            <w:r>
              <w:rPr>
                <w:rFonts w:hint="eastAsia" w:ascii="仿宋" w:hAnsi="仿宋" w:eastAsia="仿宋"/>
                <w:color w:val="auto"/>
                <w:szCs w:val="21"/>
              </w:rPr>
              <w:t xml:space="preserve"> 货款发票流转事宜按照泛糖平台相关规定办理。</w:t>
            </w:r>
          </w:p>
        </w:tc>
        <w:tc>
          <w:tcPr>
            <w:tcW w:w="2500" w:type="pct"/>
            <w:shd w:val="clear" w:color="auto" w:fill="auto"/>
            <w:noWrap w:val="0"/>
            <w:vAlign w:val="center"/>
          </w:tcPr>
          <w:p>
            <w:pPr>
              <w:tabs>
                <w:tab w:val="left" w:pos="-420"/>
              </w:tabs>
              <w:ind w:firstLine="422" w:firstLineChars="200"/>
              <w:rPr>
                <w:rFonts w:ascii="仿宋" w:hAnsi="仿宋" w:eastAsia="仿宋"/>
                <w:strike/>
                <w:color w:val="auto"/>
                <w:szCs w:val="21"/>
              </w:rPr>
            </w:pPr>
            <w:r>
              <w:rPr>
                <w:rFonts w:hint="eastAsia" w:ascii="仿宋" w:hAnsi="仿宋" w:eastAsia="仿宋"/>
                <w:b/>
                <w:bCs/>
                <w:color w:val="auto"/>
                <w:szCs w:val="21"/>
              </w:rPr>
              <w:t>第十</w:t>
            </w:r>
            <w:r>
              <w:rPr>
                <w:rFonts w:hint="eastAsia" w:ascii="仿宋" w:hAnsi="仿宋" w:eastAsia="仿宋"/>
                <w:b/>
                <w:bCs/>
                <w:color w:val="auto"/>
                <w:szCs w:val="21"/>
                <w:lang w:eastAsia="zh-CN"/>
              </w:rPr>
              <w:t>九</w:t>
            </w:r>
            <w:r>
              <w:rPr>
                <w:rFonts w:hint="eastAsia" w:ascii="仿宋" w:hAnsi="仿宋" w:eastAsia="仿宋"/>
                <w:b/>
                <w:bCs/>
                <w:color w:val="auto"/>
                <w:szCs w:val="21"/>
              </w:rPr>
              <w:t>条</w:t>
            </w:r>
            <w:r>
              <w:rPr>
                <w:rFonts w:hint="eastAsia" w:ascii="仿宋" w:hAnsi="仿宋" w:eastAsia="仿宋"/>
                <w:color w:val="auto"/>
                <w:szCs w:val="21"/>
              </w:rPr>
              <w:t xml:space="preserve"> 货款发票流转事宜按照泛糖</w:t>
            </w:r>
            <w:r>
              <w:rPr>
                <w:rFonts w:hint="eastAsia" w:ascii="黑体" w:hAnsi="黑体" w:eastAsia="仿宋" w:cs="黑体"/>
                <w:b/>
                <w:color w:val="auto"/>
                <w:szCs w:val="21"/>
                <w:u w:val="single" w:color="000000"/>
              </w:rPr>
              <w:t>科技</w:t>
            </w:r>
            <w:r>
              <w:rPr>
                <w:rFonts w:hint="eastAsia" w:ascii="仿宋" w:hAnsi="仿宋" w:eastAsia="仿宋"/>
                <w:strike/>
                <w:color w:val="auto"/>
                <w:szCs w:val="21"/>
              </w:rPr>
              <w:t>平台</w:t>
            </w:r>
            <w:r>
              <w:rPr>
                <w:rFonts w:hint="eastAsia" w:ascii="仿宋" w:hAnsi="仿宋" w:eastAsia="仿宋"/>
                <w:color w:val="auto"/>
                <w:szCs w:val="21"/>
              </w:rPr>
              <w:t>相关规定办理。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tabs>
                <w:tab w:val="left" w:pos="-420"/>
              </w:tabs>
              <w:ind w:firstLine="422" w:firstLineChars="200"/>
              <w:rPr>
                <w:rStyle w:val="14"/>
                <w:rFonts w:ascii="仿宋" w:hAnsi="仿宋" w:eastAsia="仿宋" w:cs="Calibri"/>
                <w:color w:val="auto"/>
                <w:szCs w:val="21"/>
              </w:rPr>
            </w:pPr>
            <w:r>
              <w:rPr>
                <w:rFonts w:hint="eastAsia" w:ascii="仿宋" w:hAnsi="仿宋" w:eastAsia="仿宋"/>
                <w:b/>
                <w:bCs/>
                <w:color w:val="auto"/>
                <w:szCs w:val="21"/>
              </w:rPr>
              <w:t>第二十条</w:t>
            </w:r>
            <w:r>
              <w:rPr>
                <w:rFonts w:hint="eastAsia" w:ascii="仿宋" w:hAnsi="仿宋" w:eastAsia="仿宋"/>
                <w:color w:val="auto"/>
                <w:szCs w:val="21"/>
              </w:rPr>
              <w:t xml:space="preserve"> 泛糖平台应及时反馈客户的交收情况，在交收前提供相关合同、授权书、交收凭证。确认完成交收的，交易所释放客户保证金。</w:t>
            </w:r>
          </w:p>
        </w:tc>
        <w:tc>
          <w:tcPr>
            <w:tcW w:w="2500" w:type="pct"/>
            <w:shd w:val="clear" w:color="auto" w:fill="auto"/>
            <w:noWrap w:val="0"/>
            <w:vAlign w:val="center"/>
          </w:tcPr>
          <w:p>
            <w:pPr>
              <w:tabs>
                <w:tab w:val="left" w:pos="-420"/>
              </w:tabs>
              <w:ind w:firstLine="422" w:firstLineChars="200"/>
              <w:rPr>
                <w:rFonts w:ascii="仿宋" w:hAnsi="仿宋" w:eastAsia="仿宋"/>
                <w:strike/>
                <w:color w:val="auto"/>
                <w:szCs w:val="21"/>
              </w:rPr>
            </w:pPr>
            <w:r>
              <w:rPr>
                <w:rFonts w:ascii="仿宋" w:hAnsi="仿宋" w:eastAsia="仿宋"/>
                <w:b/>
                <w:bCs/>
                <w:strike w:val="0"/>
                <w:color w:val="auto"/>
                <w:szCs w:val="21"/>
                <w:u w:val="none" w:color="auto"/>
              </w:rPr>
              <w:t>第</w:t>
            </w:r>
            <w:r>
              <w:rPr>
                <w:rFonts w:hint="eastAsia" w:ascii="仿宋" w:hAnsi="仿宋" w:eastAsia="仿宋"/>
                <w:b/>
                <w:bCs/>
                <w:strike w:val="0"/>
                <w:color w:val="auto"/>
                <w:szCs w:val="21"/>
                <w:u w:val="none" w:color="auto"/>
              </w:rPr>
              <w:t>二十</w:t>
            </w:r>
            <w:r>
              <w:rPr>
                <w:rFonts w:ascii="仿宋" w:hAnsi="仿宋" w:eastAsia="仿宋"/>
                <w:b/>
                <w:bCs/>
                <w:strike w:val="0"/>
                <w:color w:val="auto"/>
                <w:szCs w:val="21"/>
                <w:u w:val="none" w:color="auto"/>
              </w:rPr>
              <w:t>条</w:t>
            </w:r>
            <w:r>
              <w:rPr>
                <w:rFonts w:hint="eastAsia" w:ascii="黑体" w:hAnsi="黑体" w:eastAsia="仿宋"/>
                <w:b/>
                <w:strike w:val="0"/>
                <w:color w:val="auto"/>
                <w:szCs w:val="21"/>
                <w:u w:val="none" w:color="auto"/>
                <w:lang w:val="en-US" w:eastAsia="zh-CN"/>
              </w:rPr>
              <w:t xml:space="preserve"> </w:t>
            </w:r>
            <w:r>
              <w:rPr>
                <w:rFonts w:hint="eastAsia" w:ascii="仿宋" w:hAnsi="仿宋" w:eastAsia="仿宋"/>
                <w:color w:val="auto"/>
                <w:szCs w:val="21"/>
              </w:rPr>
              <w:t>泛糖</w:t>
            </w:r>
            <w:r>
              <w:rPr>
                <w:rFonts w:hint="eastAsia" w:ascii="黑体" w:hAnsi="黑体" w:eastAsia="仿宋" w:cs="黑体"/>
                <w:b/>
                <w:color w:val="auto"/>
                <w:szCs w:val="21"/>
                <w:u w:val="single" w:color="000000"/>
              </w:rPr>
              <w:t>科技</w:t>
            </w:r>
            <w:r>
              <w:rPr>
                <w:rFonts w:hint="eastAsia" w:ascii="仿宋" w:hAnsi="仿宋" w:eastAsia="仿宋"/>
                <w:strike/>
                <w:color w:val="auto"/>
                <w:szCs w:val="21"/>
              </w:rPr>
              <w:t>平台</w:t>
            </w:r>
            <w:r>
              <w:rPr>
                <w:rFonts w:hint="eastAsia" w:ascii="仿宋" w:hAnsi="仿宋" w:eastAsia="仿宋"/>
                <w:color w:val="auto"/>
                <w:szCs w:val="21"/>
              </w:rPr>
              <w:t>应</w:t>
            </w:r>
            <w:r>
              <w:rPr>
                <w:rFonts w:hint="eastAsia" w:ascii="黑体" w:hAnsi="黑体" w:eastAsia="仿宋"/>
                <w:b/>
                <w:color w:val="auto"/>
                <w:szCs w:val="21"/>
                <w:u w:val="single" w:color="000000"/>
              </w:rPr>
              <w:t>当</w:t>
            </w:r>
            <w:r>
              <w:rPr>
                <w:rFonts w:hint="eastAsia" w:ascii="仿宋" w:hAnsi="仿宋" w:eastAsia="仿宋"/>
                <w:color w:val="auto"/>
                <w:szCs w:val="21"/>
              </w:rPr>
              <w:t>及时</w:t>
            </w:r>
            <w:r>
              <w:rPr>
                <w:rFonts w:hint="eastAsia" w:ascii="黑体" w:hAnsi="黑体" w:eastAsia="仿宋"/>
                <w:b/>
                <w:color w:val="auto"/>
                <w:szCs w:val="21"/>
                <w:u w:val="single" w:color="000000"/>
              </w:rPr>
              <w:t>向交易所</w:t>
            </w:r>
            <w:r>
              <w:rPr>
                <w:rFonts w:hint="eastAsia" w:ascii="仿宋" w:hAnsi="仿宋" w:eastAsia="仿宋"/>
                <w:color w:val="auto"/>
                <w:szCs w:val="21"/>
              </w:rPr>
              <w:t>反馈客户的交收情况</w:t>
            </w:r>
            <w:r>
              <w:rPr>
                <w:rFonts w:hint="eastAsia" w:ascii="仿宋" w:hAnsi="仿宋" w:eastAsia="仿宋"/>
                <w:color w:val="auto"/>
                <w:szCs w:val="21"/>
                <w:lang w:eastAsia="zh-CN"/>
              </w:rPr>
              <w:t>。</w:t>
            </w:r>
            <w:r>
              <w:rPr>
                <w:rFonts w:hint="eastAsia" w:ascii="仿宋" w:hAnsi="仿宋" w:eastAsia="仿宋"/>
                <w:strike/>
                <w:color w:val="auto"/>
                <w:szCs w:val="21"/>
              </w:rPr>
              <w:t>，在交收前提供相关合同、授权书、交收凭证</w:t>
            </w:r>
            <w:r>
              <w:rPr>
                <w:rFonts w:hint="eastAsia" w:ascii="仿宋" w:hAnsi="仿宋" w:eastAsia="仿宋"/>
                <w:color w:val="auto"/>
                <w:szCs w:val="21"/>
              </w:rPr>
              <w:t>。</w:t>
            </w:r>
            <w:r>
              <w:rPr>
                <w:rFonts w:hint="eastAsia" w:ascii="仿宋" w:hAnsi="仿宋" w:eastAsia="仿宋"/>
                <w:strike/>
                <w:color w:val="auto"/>
                <w:szCs w:val="21"/>
              </w:rPr>
              <w:t>确认完成交收的，交易所释放客户保证金。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tabs>
                <w:tab w:val="left" w:pos="-420"/>
              </w:tabs>
              <w:ind w:firstLine="422" w:firstLineChars="200"/>
              <w:rPr>
                <w:rFonts w:ascii="仿宋" w:hAnsi="仿宋" w:eastAsia="仿宋"/>
                <w:color w:val="auto"/>
                <w:szCs w:val="21"/>
                <w:highlight w:val="none"/>
              </w:rPr>
            </w:pPr>
            <w:r>
              <w:rPr>
                <w:rFonts w:hint="eastAsia" w:ascii="仿宋" w:hAnsi="仿宋" w:eastAsia="仿宋"/>
                <w:b/>
                <w:bCs/>
                <w:color w:val="auto"/>
                <w:szCs w:val="21"/>
                <w:highlight w:val="none"/>
                <w:shd w:val="clear" w:color="auto" w:fill="FFFFFF"/>
              </w:rPr>
              <w:t>第二十一条</w:t>
            </w:r>
            <w:r>
              <w:rPr>
                <w:rFonts w:hint="eastAsia" w:ascii="仿宋" w:hAnsi="仿宋" w:eastAsia="仿宋"/>
                <w:color w:val="auto"/>
                <w:szCs w:val="21"/>
                <w:highlight w:val="none"/>
                <w:shd w:val="clear" w:color="auto" w:fill="FFFFFF"/>
                <w:lang w:val="en-US" w:eastAsia="zh-CN"/>
              </w:rPr>
              <w:t xml:space="preserve"> </w:t>
            </w:r>
            <w:r>
              <w:rPr>
                <w:rFonts w:hint="eastAsia" w:ascii="仿宋" w:hAnsi="仿宋" w:eastAsia="仿宋"/>
                <w:color w:val="auto"/>
                <w:szCs w:val="21"/>
                <w:highlight w:val="none"/>
                <w:shd w:val="clear" w:color="auto" w:fill="FFFFFF"/>
              </w:rPr>
              <w:t>泛糖平台反馈客户交收违约的，交易所通知客户相关事项，客户可在通知送达之日起</w:t>
            </w:r>
            <w:r>
              <w:rPr>
                <w:rFonts w:ascii="仿宋" w:hAnsi="仿宋" w:eastAsia="仿宋"/>
                <w:color w:val="auto"/>
                <w:szCs w:val="21"/>
                <w:highlight w:val="none"/>
                <w:shd w:val="clear" w:color="auto" w:fill="FFFFFF"/>
              </w:rPr>
              <w:t>10</w:t>
            </w:r>
            <w:r>
              <w:rPr>
                <w:rFonts w:hint="eastAsia" w:ascii="仿宋" w:hAnsi="仿宋" w:eastAsia="仿宋"/>
                <w:color w:val="auto"/>
                <w:szCs w:val="21"/>
                <w:highlight w:val="none"/>
                <w:shd w:val="clear" w:color="auto" w:fill="FFFFFF"/>
              </w:rPr>
              <w:t>个工作日内申诉。提起申诉的，应提供有效转账凭证、出入库证明等完成现货交收的证据。申诉受理后，客户和泛糖平台应在</w:t>
            </w:r>
            <w:r>
              <w:rPr>
                <w:rFonts w:ascii="仿宋" w:hAnsi="仿宋" w:eastAsia="仿宋"/>
                <w:color w:val="auto"/>
                <w:szCs w:val="21"/>
                <w:highlight w:val="none"/>
                <w:shd w:val="clear" w:color="auto" w:fill="FFFFFF"/>
              </w:rPr>
              <w:t>10</w:t>
            </w:r>
            <w:r>
              <w:rPr>
                <w:rFonts w:hint="eastAsia" w:ascii="仿宋" w:hAnsi="仿宋" w:eastAsia="仿宋"/>
                <w:color w:val="auto"/>
                <w:szCs w:val="21"/>
                <w:highlight w:val="none"/>
                <w:shd w:val="clear" w:color="auto" w:fill="FFFFFF"/>
              </w:rPr>
              <w:t>个工作日内将协商结果告知交易所，交易所根据协商结果处理保证金，</w:t>
            </w:r>
            <w:r>
              <w:rPr>
                <w:rFonts w:ascii="仿宋" w:hAnsi="仿宋" w:eastAsia="仿宋"/>
                <w:color w:val="auto"/>
                <w:szCs w:val="21"/>
                <w:highlight w:val="none"/>
                <w:shd w:val="clear" w:color="auto" w:fill="FFFFFF"/>
              </w:rPr>
              <w:t>10</w:t>
            </w:r>
            <w:r>
              <w:rPr>
                <w:rFonts w:hint="eastAsia" w:ascii="仿宋" w:hAnsi="仿宋" w:eastAsia="仿宋"/>
                <w:color w:val="auto"/>
                <w:szCs w:val="21"/>
                <w:highlight w:val="none"/>
                <w:shd w:val="clear" w:color="auto" w:fill="FFFFFF"/>
              </w:rPr>
              <w:t>个工作日内协商未果的，交易所将向客户退还相应保证金，并将结果通知客户和泛糖科技。没有在规定时间内提起申诉的，交易所将扣划保证金给守约客户。客户与泛糖科技之间的其他争议由双方自行处理。</w:t>
            </w:r>
          </w:p>
        </w:tc>
        <w:tc>
          <w:tcPr>
            <w:tcW w:w="2500" w:type="pct"/>
            <w:shd w:val="clear" w:color="auto" w:fill="auto"/>
            <w:noWrap w:val="0"/>
            <w:vAlign w:val="center"/>
          </w:tcPr>
          <w:p>
            <w:pPr>
              <w:tabs>
                <w:tab w:val="left" w:pos="-420"/>
              </w:tabs>
              <w:ind w:firstLine="422" w:firstLineChars="200"/>
              <w:rPr>
                <w:rFonts w:ascii="仿宋" w:hAnsi="仿宋" w:eastAsia="仿宋"/>
                <w:color w:val="auto"/>
                <w:szCs w:val="21"/>
                <w:highlight w:val="none"/>
              </w:rPr>
            </w:pPr>
            <w:r>
              <w:rPr>
                <w:rFonts w:hint="eastAsia" w:ascii="仿宋" w:hAnsi="仿宋" w:eastAsia="仿宋"/>
                <w:b/>
                <w:bCs/>
                <w:strike w:val="0"/>
                <w:color w:val="auto"/>
                <w:szCs w:val="21"/>
                <w:highlight w:val="none"/>
                <w:shd w:val="clear" w:color="auto" w:fill="FFFFFF"/>
              </w:rPr>
              <w:t>第二十一条</w:t>
            </w:r>
            <w:r>
              <w:rPr>
                <w:rFonts w:hint="eastAsia" w:ascii="仿宋" w:hAnsi="仿宋" w:eastAsia="仿宋"/>
                <w:strike w:val="0"/>
                <w:color w:val="auto"/>
                <w:szCs w:val="21"/>
                <w:highlight w:val="none"/>
                <w:shd w:val="clear" w:color="auto" w:fill="FFFFFF"/>
                <w:lang w:val="en-US" w:eastAsia="zh-CN"/>
              </w:rPr>
              <w:t xml:space="preserve"> </w:t>
            </w:r>
            <w:r>
              <w:rPr>
                <w:rFonts w:hint="eastAsia" w:ascii="仿宋" w:hAnsi="仿宋" w:eastAsia="仿宋"/>
                <w:strike/>
                <w:color w:val="auto"/>
                <w:szCs w:val="21"/>
                <w:highlight w:val="none"/>
                <w:shd w:val="clear" w:color="auto" w:fill="FFFFFF"/>
              </w:rPr>
              <w:t>泛糖平台反馈客户交收违约的，交易所通知客户相关事项，客户可在通知送达之日起</w:t>
            </w:r>
            <w:r>
              <w:rPr>
                <w:rFonts w:ascii="仿宋" w:hAnsi="仿宋" w:eastAsia="仿宋"/>
                <w:strike/>
                <w:color w:val="auto"/>
                <w:szCs w:val="21"/>
                <w:highlight w:val="none"/>
                <w:shd w:val="clear" w:color="auto" w:fill="FFFFFF"/>
              </w:rPr>
              <w:t>10</w:t>
            </w:r>
            <w:r>
              <w:rPr>
                <w:rFonts w:hint="eastAsia" w:ascii="仿宋" w:hAnsi="仿宋" w:eastAsia="仿宋"/>
                <w:strike/>
                <w:color w:val="auto"/>
                <w:szCs w:val="21"/>
                <w:highlight w:val="none"/>
                <w:shd w:val="clear" w:color="auto" w:fill="FFFFFF"/>
              </w:rPr>
              <w:t>个工作日内申诉。提起申诉的，应提供有效转账凭证、出入库证明等完成现货交收的证据。申诉受理后，客户和泛糖平台应在</w:t>
            </w:r>
            <w:r>
              <w:rPr>
                <w:rFonts w:ascii="仿宋" w:hAnsi="仿宋" w:eastAsia="仿宋"/>
                <w:strike/>
                <w:color w:val="auto"/>
                <w:szCs w:val="21"/>
                <w:highlight w:val="none"/>
                <w:shd w:val="clear" w:color="auto" w:fill="FFFFFF"/>
              </w:rPr>
              <w:t>10</w:t>
            </w:r>
            <w:r>
              <w:rPr>
                <w:rFonts w:hint="eastAsia" w:ascii="仿宋" w:hAnsi="仿宋" w:eastAsia="仿宋"/>
                <w:strike/>
                <w:color w:val="auto"/>
                <w:szCs w:val="21"/>
                <w:highlight w:val="none"/>
                <w:shd w:val="clear" w:color="auto" w:fill="FFFFFF"/>
              </w:rPr>
              <w:t>个工作日内将协商结果告知交易所，交易所根据协商结果处理保证金，</w:t>
            </w:r>
            <w:r>
              <w:rPr>
                <w:rFonts w:ascii="仿宋" w:hAnsi="仿宋" w:eastAsia="仿宋"/>
                <w:strike/>
                <w:color w:val="auto"/>
                <w:szCs w:val="21"/>
                <w:highlight w:val="none"/>
                <w:shd w:val="clear" w:color="auto" w:fill="FFFFFF"/>
              </w:rPr>
              <w:t>10</w:t>
            </w:r>
            <w:r>
              <w:rPr>
                <w:rFonts w:hint="eastAsia" w:ascii="仿宋" w:hAnsi="仿宋" w:eastAsia="仿宋"/>
                <w:strike/>
                <w:color w:val="auto"/>
                <w:szCs w:val="21"/>
                <w:highlight w:val="none"/>
                <w:shd w:val="clear" w:color="auto" w:fill="FFFFFF"/>
              </w:rPr>
              <w:t>个工作日内协商未果的，交易所将向客户退还相应保证金，并将结果通知客户和泛糖科技。没有在规定时间内提起申诉的，交易所将扣划保证金给守约客户。</w:t>
            </w:r>
            <w:r>
              <w:rPr>
                <w:rFonts w:hint="eastAsia" w:ascii="仿宋" w:hAnsi="仿宋" w:eastAsia="仿宋"/>
                <w:strike w:val="0"/>
                <w:color w:val="auto"/>
                <w:szCs w:val="21"/>
                <w:highlight w:val="none"/>
                <w:shd w:val="clear" w:color="auto" w:fill="FFFFFF"/>
              </w:rPr>
              <w:t>客户与泛糖科技之间的</w:t>
            </w:r>
            <w:r>
              <w:rPr>
                <w:rFonts w:hint="eastAsia" w:ascii="仿宋" w:hAnsi="仿宋" w:eastAsia="仿宋"/>
                <w:strike/>
                <w:color w:val="auto"/>
                <w:szCs w:val="21"/>
                <w:highlight w:val="none"/>
                <w:shd w:val="clear" w:color="auto" w:fill="FFFFFF"/>
              </w:rPr>
              <w:t>其他</w:t>
            </w:r>
            <w:r>
              <w:rPr>
                <w:rFonts w:hint="eastAsia" w:ascii="仿宋" w:hAnsi="仿宋" w:eastAsia="仿宋"/>
                <w:strike w:val="0"/>
                <w:color w:val="auto"/>
                <w:szCs w:val="21"/>
                <w:highlight w:val="none"/>
                <w:shd w:val="clear" w:color="auto" w:fill="FFFFFF"/>
              </w:rPr>
              <w:t>争议由双方自行处理。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5"/>
              <w:shd w:val="clear" w:color="auto"/>
              <w:spacing w:before="0" w:beforeAutospacing="0" w:after="0" w:afterAutospacing="0"/>
              <w:ind w:firstLine="422" w:firstLineChars="200"/>
              <w:jc w:val="both"/>
              <w:rPr>
                <w:rFonts w:hint="eastAsia" w:ascii="仿宋" w:hAnsi="仿宋" w:eastAsia="仿宋" w:cs="Times New Roman"/>
                <w:color w:val="auto"/>
                <w:kern w:val="2"/>
                <w:sz w:val="21"/>
                <w:szCs w:val="21"/>
                <w:highlight w:val="none"/>
                <w:shd w:val="clear" w:color="auto" w:fill="FFFFFF"/>
                <w:lang w:val="en-US" w:eastAsia="zh-CN" w:bidi="ar-SA"/>
              </w:rPr>
            </w:pPr>
            <w:r>
              <w:rPr>
                <w:rFonts w:hint="eastAsia" w:ascii="仿宋" w:hAnsi="仿宋" w:eastAsia="仿宋" w:cs="Times New Roman"/>
                <w:b/>
                <w:bCs/>
                <w:color w:val="auto"/>
                <w:kern w:val="2"/>
                <w:sz w:val="21"/>
                <w:szCs w:val="21"/>
                <w:highlight w:val="none"/>
                <w:shd w:val="clear" w:color="auto" w:fill="FFFFFF"/>
                <w:lang w:val="en-US" w:eastAsia="zh-CN" w:bidi="ar-SA"/>
              </w:rPr>
              <w:t>第二十二条</w:t>
            </w:r>
            <w:r>
              <w:rPr>
                <w:rFonts w:hint="eastAsia" w:ascii="仿宋" w:hAnsi="仿宋" w:eastAsia="仿宋" w:cs="Times New Roman"/>
                <w:color w:val="auto"/>
                <w:kern w:val="2"/>
                <w:sz w:val="21"/>
                <w:szCs w:val="21"/>
                <w:highlight w:val="none"/>
                <w:shd w:val="clear" w:color="auto" w:fill="FFFFFF"/>
                <w:lang w:val="en-US" w:eastAsia="zh-CN" w:bidi="ar-SA"/>
              </w:rPr>
              <w:t xml:space="preserve"> 泛糖科技不能对客户履行交收义务的，由双方根据法律法规或者双方约定自行处理有关争议。</w:t>
            </w:r>
          </w:p>
        </w:tc>
        <w:tc>
          <w:tcPr>
            <w:tcW w:w="2500" w:type="pct"/>
            <w:shd w:val="clear" w:color="auto" w:fill="auto"/>
            <w:noWrap w:val="0"/>
            <w:vAlign w:val="center"/>
          </w:tcPr>
          <w:p>
            <w:pPr>
              <w:pStyle w:val="12"/>
              <w:tabs>
                <w:tab w:val="left" w:pos="-420"/>
              </w:tabs>
              <w:ind w:firstLine="421"/>
              <w:rPr>
                <w:rFonts w:ascii="仿宋" w:hAnsi="仿宋" w:eastAsia="仿宋" w:cs="仿宋"/>
                <w:strike/>
                <w:color w:val="auto"/>
                <w:szCs w:val="21"/>
              </w:rPr>
            </w:pPr>
            <w:r>
              <w:rPr>
                <w:rFonts w:hint="eastAsia" w:ascii="仿宋" w:hAnsi="仿宋" w:eastAsia="仿宋" w:cs="仿宋"/>
                <w:b/>
                <w:bCs/>
                <w:strike w:val="0"/>
                <w:color w:val="auto"/>
                <w:szCs w:val="21"/>
              </w:rPr>
              <w:t>第二十二条</w:t>
            </w:r>
            <w:r>
              <w:rPr>
                <w:rFonts w:hint="eastAsia" w:ascii="仿宋" w:hAnsi="仿宋" w:eastAsia="仿宋" w:cs="仿宋"/>
                <w:strike w:val="0"/>
                <w:color w:val="auto"/>
                <w:szCs w:val="21"/>
              </w:rPr>
              <w:t xml:space="preserve"> </w:t>
            </w:r>
            <w:r>
              <w:rPr>
                <w:rFonts w:hint="eastAsia" w:ascii="仿宋" w:hAnsi="仿宋" w:eastAsia="仿宋" w:cs="仿宋"/>
                <w:strike/>
                <w:color w:val="auto"/>
                <w:szCs w:val="21"/>
              </w:rPr>
              <w:t>泛糖科技不能对客户履行交收义务的</w:t>
            </w:r>
            <w:r>
              <w:rPr>
                <w:rFonts w:hint="eastAsia" w:ascii="仿宋" w:hAnsi="仿宋" w:eastAsia="仿宋" w:cs="仿宋"/>
                <w:strike/>
                <w:color w:val="auto"/>
                <w:szCs w:val="21"/>
                <w:lang w:eastAsia="zh-CN"/>
              </w:rPr>
              <w:t>，</w:t>
            </w:r>
            <w:r>
              <w:rPr>
                <w:rFonts w:hint="eastAsia" w:ascii="仿宋" w:hAnsi="仿宋" w:eastAsia="仿宋" w:cs="仿宋"/>
                <w:strike/>
                <w:color w:val="auto"/>
                <w:szCs w:val="21"/>
              </w:rPr>
              <w:t>由双方根据法律法规或者双方约定自行处理有关争议。</w:t>
            </w:r>
            <w:r>
              <w:rPr>
                <w:rFonts w:hint="eastAsia" w:ascii="黑体" w:hAnsi="黑体" w:eastAsia="仿宋" w:cs="黑体"/>
                <w:b/>
                <w:color w:val="auto"/>
                <w:szCs w:val="21"/>
                <w:u w:val="single" w:color="000000"/>
              </w:rPr>
              <w:t>多日点价的，点价方在最后点价日闭市前未按照约定的数量完成点价，由泛糖科技协调买卖双方处理。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5"/>
              <w:shd w:val="clear" w:color="auto"/>
              <w:spacing w:before="0" w:beforeAutospacing="0" w:after="0" w:afterAutospacing="0"/>
              <w:ind w:firstLine="422" w:firstLineChars="200"/>
              <w:jc w:val="both"/>
              <w:rPr>
                <w:rFonts w:ascii="Calibri" w:hAnsi="Calibri" w:cs="Calibri"/>
                <w:color w:val="auto"/>
                <w:sz w:val="21"/>
                <w:szCs w:val="21"/>
              </w:rPr>
            </w:pPr>
            <w:r>
              <w:rPr>
                <w:rStyle w:val="13"/>
                <w:rFonts w:hint="eastAsia" w:ascii="仿宋" w:hAnsi="仿宋" w:eastAsia="仿宋" w:cs="Calibri"/>
                <w:b/>
                <w:bCs/>
                <w:color w:val="auto"/>
                <w:sz w:val="21"/>
                <w:szCs w:val="21"/>
              </w:rPr>
              <w:t>第二十三条</w:t>
            </w:r>
            <w:r>
              <w:rPr>
                <w:rStyle w:val="13"/>
                <w:rFonts w:ascii="Calibri" w:hAnsi="Calibri" w:eastAsia="仿宋" w:cs="Calibri"/>
                <w:b w:val="0"/>
                <w:bCs/>
                <w:color w:val="auto"/>
                <w:sz w:val="21"/>
                <w:szCs w:val="21"/>
                <w:u w:val="none" w:color="auto"/>
              </w:rPr>
              <w:t> </w:t>
            </w:r>
            <w:r>
              <w:rPr>
                <w:rStyle w:val="14"/>
                <w:rFonts w:hint="eastAsia" w:ascii="仿宋" w:hAnsi="仿宋" w:eastAsia="仿宋" w:cs="Calibri"/>
                <w:color w:val="auto"/>
                <w:sz w:val="21"/>
                <w:szCs w:val="21"/>
              </w:rPr>
              <w:t>客户存在以下违规违约行为的，交易所可以依据《郑州商品交易所综合业务平台管理办法》等相关业务规则采取限制交易、通报批评、没收交易保证金等措施：</w:t>
            </w:r>
          </w:p>
          <w:p>
            <w:pPr>
              <w:pStyle w:val="5"/>
              <w:shd w:val="clear" w:color="auto"/>
              <w:spacing w:before="0" w:beforeAutospacing="0" w:after="0" w:afterAutospacing="0"/>
              <w:ind w:firstLine="420" w:firstLineChars="200"/>
              <w:jc w:val="both"/>
              <w:rPr>
                <w:rFonts w:ascii="Calibri" w:hAnsi="Calibri" w:cs="Calibri"/>
                <w:color w:val="auto"/>
                <w:sz w:val="21"/>
                <w:szCs w:val="21"/>
              </w:rPr>
            </w:pPr>
            <w:r>
              <w:rPr>
                <w:rStyle w:val="14"/>
                <w:rFonts w:hint="eastAsia" w:ascii="仿宋" w:hAnsi="仿宋" w:eastAsia="仿宋" w:cs="Calibri"/>
                <w:color w:val="auto"/>
                <w:sz w:val="21"/>
                <w:szCs w:val="21"/>
              </w:rPr>
              <w:t>（一）卖方没有足够可平仓期货头寸而频繁挂牌的；</w:t>
            </w:r>
          </w:p>
          <w:p>
            <w:pPr>
              <w:pStyle w:val="5"/>
              <w:shd w:val="clear" w:color="auto"/>
              <w:spacing w:before="0" w:beforeAutospacing="0" w:after="0" w:afterAutospacing="0"/>
              <w:ind w:firstLine="420" w:firstLineChars="200"/>
              <w:jc w:val="both"/>
              <w:rPr>
                <w:rFonts w:ascii="Calibri" w:hAnsi="Calibri" w:cs="Calibri"/>
                <w:color w:val="auto"/>
                <w:sz w:val="21"/>
                <w:szCs w:val="21"/>
              </w:rPr>
            </w:pPr>
            <w:r>
              <w:rPr>
                <w:rStyle w:val="14"/>
                <w:rFonts w:hint="eastAsia" w:ascii="仿宋" w:hAnsi="仿宋" w:eastAsia="仿宋" w:cs="Calibri"/>
                <w:color w:val="auto"/>
                <w:sz w:val="21"/>
                <w:szCs w:val="21"/>
              </w:rPr>
              <w:t>（二）在已有买方报价的情况下，卖方频繁撤销挂牌或者断开交易所平台账户、卖方指定期货账户登录状态的；</w:t>
            </w:r>
          </w:p>
          <w:p>
            <w:pPr>
              <w:pStyle w:val="5"/>
              <w:shd w:val="clear" w:color="auto"/>
              <w:spacing w:before="0" w:beforeAutospacing="0" w:after="0" w:afterAutospacing="0"/>
              <w:ind w:firstLine="420" w:firstLineChars="200"/>
              <w:jc w:val="both"/>
              <w:rPr>
                <w:rFonts w:ascii="Calibri" w:hAnsi="Calibri" w:cs="Calibri"/>
                <w:color w:val="auto"/>
                <w:sz w:val="21"/>
                <w:szCs w:val="21"/>
              </w:rPr>
            </w:pPr>
            <w:r>
              <w:rPr>
                <w:rStyle w:val="14"/>
                <w:rFonts w:hint="eastAsia" w:ascii="仿宋" w:hAnsi="仿宋" w:eastAsia="仿宋" w:cs="Calibri"/>
                <w:color w:val="auto"/>
                <w:sz w:val="21"/>
                <w:szCs w:val="21"/>
              </w:rPr>
              <w:t>（三）卖方未取得对应白糖现货所有权或者未取得泛糖科技委托其代为报价的授权的；</w:t>
            </w:r>
          </w:p>
          <w:p>
            <w:pPr>
              <w:pStyle w:val="5"/>
              <w:shd w:val="clear" w:color="auto"/>
              <w:spacing w:before="0" w:beforeAutospacing="0" w:after="0" w:afterAutospacing="0"/>
              <w:ind w:firstLine="420" w:firstLineChars="200"/>
              <w:jc w:val="both"/>
              <w:rPr>
                <w:rFonts w:ascii="Calibri" w:hAnsi="Calibri" w:cs="Calibri"/>
                <w:color w:val="auto"/>
                <w:sz w:val="21"/>
                <w:szCs w:val="21"/>
              </w:rPr>
            </w:pPr>
            <w:r>
              <w:rPr>
                <w:rStyle w:val="14"/>
                <w:rFonts w:hint="eastAsia" w:ascii="仿宋" w:hAnsi="仿宋" w:eastAsia="仿宋" w:cs="Calibri"/>
                <w:color w:val="auto"/>
                <w:sz w:val="21"/>
                <w:szCs w:val="21"/>
              </w:rPr>
              <w:t>（四）买方频繁撤销报价的；</w:t>
            </w:r>
          </w:p>
          <w:p>
            <w:pPr>
              <w:pStyle w:val="5"/>
              <w:shd w:val="clear" w:color="auto"/>
              <w:spacing w:before="0" w:beforeAutospacing="0" w:after="0" w:afterAutospacing="0"/>
              <w:ind w:firstLine="420" w:firstLineChars="200"/>
              <w:jc w:val="both"/>
              <w:rPr>
                <w:rStyle w:val="14"/>
                <w:rFonts w:ascii="仿宋" w:hAnsi="仿宋" w:eastAsia="仿宋" w:cs="Calibri"/>
                <w:color w:val="auto"/>
                <w:sz w:val="21"/>
                <w:szCs w:val="21"/>
              </w:rPr>
            </w:pPr>
            <w:r>
              <w:rPr>
                <w:rStyle w:val="14"/>
                <w:rFonts w:hint="eastAsia" w:ascii="仿宋" w:hAnsi="仿宋" w:eastAsia="仿宋" w:cs="Calibri"/>
                <w:color w:val="auto"/>
                <w:sz w:val="21"/>
                <w:szCs w:val="21"/>
              </w:rPr>
              <w:t>（五）经生效裁判、仲裁文书确认，存在交收违约的。</w:t>
            </w:r>
          </w:p>
        </w:tc>
        <w:tc>
          <w:tcPr>
            <w:tcW w:w="2500" w:type="pct"/>
            <w:shd w:val="clear" w:color="auto" w:fill="auto"/>
            <w:noWrap w:val="0"/>
            <w:vAlign w:val="center"/>
          </w:tcPr>
          <w:p>
            <w:pPr>
              <w:pStyle w:val="12"/>
              <w:tabs>
                <w:tab w:val="left" w:pos="-420"/>
              </w:tabs>
              <w:rPr>
                <w:rFonts w:ascii="仿宋" w:hAnsi="仿宋" w:eastAsia="仿宋"/>
                <w:color w:val="auto"/>
                <w:szCs w:val="21"/>
              </w:rPr>
            </w:pPr>
            <w:r>
              <w:rPr>
                <w:rFonts w:hint="eastAsia" w:ascii="仿宋" w:hAnsi="仿宋" w:eastAsia="仿宋"/>
                <w:b/>
                <w:bCs/>
                <w:strike w:val="0"/>
                <w:color w:val="auto"/>
                <w:szCs w:val="21"/>
              </w:rPr>
              <w:t>第二十三条</w:t>
            </w:r>
            <w:r>
              <w:rPr>
                <w:rFonts w:hint="eastAsia" w:ascii="黑体" w:hAnsi="黑体" w:eastAsia="仿宋" w:cs="黑体"/>
                <w:b/>
                <w:color w:val="auto"/>
                <w:szCs w:val="21"/>
                <w:u w:val="none" w:color="auto"/>
              </w:rPr>
              <w:t xml:space="preserve"> </w:t>
            </w:r>
            <w:r>
              <w:rPr>
                <w:rFonts w:hint="eastAsia" w:ascii="仿宋" w:hAnsi="仿宋" w:eastAsia="仿宋"/>
                <w:color w:val="auto"/>
                <w:szCs w:val="21"/>
              </w:rPr>
              <w:t>客户存在以下违规违约行为的，交易所可以依据《郑州商品交易所综合业务平台管理办法》等相关业务规则采取限制交易、通报批评</w:t>
            </w:r>
            <w:r>
              <w:rPr>
                <w:rFonts w:hint="eastAsia" w:ascii="仿宋" w:hAnsi="仿宋" w:eastAsia="仿宋"/>
                <w:strike/>
                <w:color w:val="auto"/>
                <w:szCs w:val="21"/>
              </w:rPr>
              <w:t>、没收交易保证金</w:t>
            </w:r>
            <w:r>
              <w:rPr>
                <w:rFonts w:hint="eastAsia" w:ascii="仿宋" w:hAnsi="仿宋" w:eastAsia="仿宋"/>
                <w:color w:val="auto"/>
                <w:szCs w:val="21"/>
              </w:rPr>
              <w:t>等措施：</w:t>
            </w:r>
          </w:p>
          <w:p>
            <w:pPr>
              <w:pStyle w:val="12"/>
              <w:tabs>
                <w:tab w:val="left" w:pos="-420"/>
              </w:tabs>
              <w:rPr>
                <w:rFonts w:ascii="仿宋" w:hAnsi="仿宋" w:eastAsia="仿宋"/>
                <w:strike/>
                <w:color w:val="auto"/>
                <w:szCs w:val="21"/>
              </w:rPr>
            </w:pPr>
            <w:r>
              <w:rPr>
                <w:rFonts w:hint="eastAsia" w:ascii="仿宋" w:hAnsi="仿宋" w:eastAsia="仿宋"/>
                <w:strike/>
                <w:color w:val="auto"/>
                <w:szCs w:val="21"/>
              </w:rPr>
              <w:t>（一）卖方被点价方没有足够可平仓期货头寸而频繁挂牌的；</w:t>
            </w:r>
          </w:p>
          <w:p>
            <w:pPr>
              <w:pStyle w:val="12"/>
              <w:tabs>
                <w:tab w:val="left" w:pos="-420"/>
              </w:tabs>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strike/>
                <w:color w:val="auto"/>
                <w:szCs w:val="21"/>
              </w:rPr>
              <w:t>二</w:t>
            </w:r>
            <w:r>
              <w:rPr>
                <w:rFonts w:hint="eastAsia" w:ascii="黑体" w:hAnsi="黑体" w:eastAsia="仿宋"/>
                <w:b/>
                <w:color w:val="auto"/>
                <w:szCs w:val="21"/>
                <w:u w:val="single" w:color="000000"/>
              </w:rPr>
              <w:t>一</w:t>
            </w:r>
            <w:r>
              <w:rPr>
                <w:rFonts w:hint="eastAsia" w:ascii="仿宋" w:hAnsi="仿宋" w:eastAsia="仿宋"/>
                <w:color w:val="auto"/>
                <w:szCs w:val="21"/>
              </w:rPr>
              <w:t>）在已有</w:t>
            </w:r>
            <w:r>
              <w:rPr>
                <w:rFonts w:hint="eastAsia" w:ascii="仿宋" w:hAnsi="仿宋" w:eastAsia="仿宋"/>
                <w:strike/>
                <w:color w:val="auto"/>
                <w:szCs w:val="21"/>
              </w:rPr>
              <w:t>买方报价</w:t>
            </w:r>
            <w:r>
              <w:rPr>
                <w:rFonts w:hint="eastAsia" w:ascii="黑体" w:hAnsi="黑体" w:eastAsia="仿宋"/>
                <w:b/>
                <w:color w:val="auto"/>
                <w:szCs w:val="21"/>
                <w:u w:val="single" w:color="000000"/>
              </w:rPr>
              <w:t>点价</w:t>
            </w:r>
            <w:r>
              <w:rPr>
                <w:rFonts w:hint="eastAsia" w:ascii="仿宋" w:hAnsi="仿宋" w:eastAsia="仿宋"/>
                <w:color w:val="auto"/>
                <w:szCs w:val="21"/>
              </w:rPr>
              <w:t>的情况下，</w:t>
            </w:r>
            <w:r>
              <w:rPr>
                <w:rFonts w:hint="eastAsia" w:ascii="仿宋" w:hAnsi="仿宋" w:eastAsia="仿宋"/>
                <w:strike/>
                <w:color w:val="auto"/>
                <w:szCs w:val="21"/>
              </w:rPr>
              <w:t>卖方</w:t>
            </w:r>
            <w:r>
              <w:rPr>
                <w:rFonts w:hint="eastAsia" w:ascii="黑体" w:hAnsi="黑体" w:eastAsia="仿宋"/>
                <w:b/>
                <w:color w:val="auto"/>
                <w:szCs w:val="21"/>
                <w:u w:val="single" w:color="000000"/>
              </w:rPr>
              <w:t>被点价方</w:t>
            </w:r>
            <w:r>
              <w:rPr>
                <w:rFonts w:hint="eastAsia" w:ascii="仿宋" w:hAnsi="仿宋" w:eastAsia="仿宋"/>
                <w:color w:val="auto"/>
                <w:szCs w:val="21"/>
              </w:rPr>
              <w:t>频繁撤销挂牌</w:t>
            </w:r>
            <w:r>
              <w:rPr>
                <w:rFonts w:hint="eastAsia" w:ascii="黑体" w:hAnsi="黑体" w:eastAsia="仿宋" w:cs="黑体"/>
                <w:b/>
                <w:color w:val="auto"/>
                <w:szCs w:val="21"/>
                <w:u w:val="single" w:color="000000"/>
              </w:rPr>
              <w:t>、期货平仓单</w:t>
            </w:r>
            <w:r>
              <w:rPr>
                <w:rFonts w:hint="eastAsia" w:ascii="仿宋" w:hAnsi="仿宋" w:eastAsia="仿宋" w:cs="仿宋"/>
                <w:strike/>
                <w:color w:val="auto"/>
                <w:szCs w:val="21"/>
              </w:rPr>
              <w:t>或者故意断开交易所平台账户、卖方指定期货账户联动点价客户端登录状态</w:t>
            </w:r>
            <w:r>
              <w:rPr>
                <w:rFonts w:hint="eastAsia" w:ascii="仿宋" w:hAnsi="仿宋" w:eastAsia="仿宋"/>
                <w:color w:val="auto"/>
                <w:szCs w:val="21"/>
              </w:rPr>
              <w:t>的；</w:t>
            </w:r>
          </w:p>
          <w:p>
            <w:pPr>
              <w:pStyle w:val="12"/>
              <w:tabs>
                <w:tab w:val="left" w:pos="-420"/>
              </w:tabs>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strike/>
                <w:color w:val="auto"/>
                <w:szCs w:val="21"/>
              </w:rPr>
              <w:t>三</w:t>
            </w:r>
            <w:r>
              <w:rPr>
                <w:rFonts w:hint="eastAsia" w:ascii="黑体" w:hAnsi="黑体" w:eastAsia="仿宋"/>
                <w:b/>
                <w:color w:val="auto"/>
                <w:szCs w:val="21"/>
                <w:u w:val="single" w:color="000000"/>
              </w:rPr>
              <w:t>二</w:t>
            </w:r>
            <w:r>
              <w:rPr>
                <w:rFonts w:hint="eastAsia" w:ascii="仿宋" w:hAnsi="仿宋" w:eastAsia="仿宋"/>
                <w:color w:val="auto"/>
                <w:szCs w:val="21"/>
              </w:rPr>
              <w:t>）卖方未取得对应白糖现货所有权，或者未取得泛糖科技委托其代为</w:t>
            </w:r>
            <w:r>
              <w:rPr>
                <w:rFonts w:hint="eastAsia" w:ascii="仿宋" w:hAnsi="仿宋" w:eastAsia="仿宋"/>
                <w:strike/>
                <w:color w:val="auto"/>
                <w:szCs w:val="21"/>
              </w:rPr>
              <w:t>报价的</w:t>
            </w:r>
            <w:r>
              <w:rPr>
                <w:rFonts w:hint="eastAsia" w:ascii="黑体" w:hAnsi="黑体" w:eastAsia="仿宋"/>
                <w:b/>
                <w:color w:val="auto"/>
                <w:szCs w:val="21"/>
                <w:u w:val="single" w:color="000000"/>
              </w:rPr>
              <w:t>挂牌</w:t>
            </w:r>
            <w:r>
              <w:rPr>
                <w:rFonts w:hint="eastAsia" w:ascii="仿宋" w:hAnsi="仿宋" w:eastAsia="仿宋"/>
                <w:color w:val="auto"/>
                <w:szCs w:val="21"/>
              </w:rPr>
              <w:t>授权的；</w:t>
            </w:r>
          </w:p>
          <w:p>
            <w:pPr>
              <w:pStyle w:val="12"/>
              <w:tabs>
                <w:tab w:val="left" w:pos="-420"/>
              </w:tabs>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strike/>
                <w:color w:val="auto"/>
                <w:szCs w:val="21"/>
              </w:rPr>
              <w:t>四</w:t>
            </w:r>
            <w:r>
              <w:rPr>
                <w:rFonts w:hint="eastAsia" w:ascii="黑体" w:hAnsi="黑体" w:eastAsia="仿宋"/>
                <w:b/>
                <w:color w:val="auto"/>
                <w:szCs w:val="21"/>
                <w:u w:val="single" w:color="000000"/>
              </w:rPr>
              <w:t>三</w:t>
            </w:r>
            <w:r>
              <w:rPr>
                <w:rFonts w:hint="eastAsia" w:ascii="仿宋" w:hAnsi="仿宋" w:eastAsia="仿宋"/>
                <w:color w:val="auto"/>
                <w:szCs w:val="21"/>
              </w:rPr>
              <w:t>）</w:t>
            </w:r>
            <w:r>
              <w:rPr>
                <w:rFonts w:hint="eastAsia" w:ascii="仿宋" w:hAnsi="仿宋" w:eastAsia="仿宋"/>
                <w:strike/>
                <w:color w:val="auto"/>
                <w:szCs w:val="21"/>
              </w:rPr>
              <w:t>买方</w:t>
            </w:r>
            <w:r>
              <w:rPr>
                <w:rFonts w:hint="eastAsia" w:ascii="黑体" w:hAnsi="黑体" w:eastAsia="仿宋"/>
                <w:b/>
                <w:color w:val="auto"/>
                <w:szCs w:val="21"/>
                <w:u w:val="single" w:color="000000"/>
              </w:rPr>
              <w:t>点价方</w:t>
            </w:r>
            <w:r>
              <w:rPr>
                <w:rFonts w:hint="eastAsia" w:ascii="仿宋" w:hAnsi="仿宋" w:eastAsia="仿宋"/>
                <w:color w:val="auto"/>
                <w:szCs w:val="21"/>
              </w:rPr>
              <w:t>频繁撤销</w:t>
            </w:r>
            <w:r>
              <w:rPr>
                <w:rFonts w:hint="eastAsia" w:ascii="仿宋" w:hAnsi="仿宋" w:eastAsia="仿宋"/>
                <w:strike/>
                <w:color w:val="auto"/>
                <w:szCs w:val="21"/>
              </w:rPr>
              <w:t>报价</w:t>
            </w:r>
            <w:r>
              <w:rPr>
                <w:rFonts w:hint="eastAsia" w:ascii="黑体" w:hAnsi="黑体" w:eastAsia="仿宋"/>
                <w:b/>
                <w:color w:val="auto"/>
                <w:szCs w:val="21"/>
                <w:u w:val="single" w:color="000000"/>
              </w:rPr>
              <w:t>点价</w:t>
            </w:r>
            <w:r>
              <w:rPr>
                <w:rFonts w:hint="eastAsia" w:ascii="仿宋" w:hAnsi="仿宋" w:eastAsia="仿宋"/>
                <w:color w:val="auto"/>
                <w:szCs w:val="21"/>
              </w:rPr>
              <w:t>的；</w:t>
            </w:r>
          </w:p>
          <w:p>
            <w:pPr>
              <w:pStyle w:val="12"/>
              <w:tabs>
                <w:tab w:val="left" w:pos="-420"/>
              </w:tabs>
              <w:rPr>
                <w:rFonts w:ascii="黑体" w:hAnsi="黑体" w:eastAsia="黑体"/>
                <w:color w:val="auto"/>
                <w:szCs w:val="21"/>
              </w:rPr>
            </w:pPr>
            <w:r>
              <w:rPr>
                <w:rFonts w:hint="eastAsia" w:ascii="仿宋" w:hAnsi="仿宋" w:eastAsia="仿宋"/>
                <w:color w:val="auto"/>
                <w:szCs w:val="21"/>
              </w:rPr>
              <w:t>（</w:t>
            </w:r>
            <w:r>
              <w:rPr>
                <w:rFonts w:hint="eastAsia" w:ascii="仿宋" w:hAnsi="仿宋" w:eastAsia="仿宋"/>
                <w:strike/>
                <w:color w:val="auto"/>
                <w:szCs w:val="21"/>
              </w:rPr>
              <w:t>五</w:t>
            </w:r>
            <w:r>
              <w:rPr>
                <w:rFonts w:hint="eastAsia" w:ascii="黑体" w:hAnsi="黑体" w:eastAsia="仿宋"/>
                <w:b/>
                <w:color w:val="auto"/>
                <w:szCs w:val="21"/>
                <w:u w:val="single" w:color="000000"/>
              </w:rPr>
              <w:t>四</w:t>
            </w:r>
            <w:r>
              <w:rPr>
                <w:rFonts w:hint="eastAsia" w:ascii="仿宋" w:hAnsi="仿宋" w:eastAsia="仿宋"/>
                <w:color w:val="auto"/>
                <w:szCs w:val="21"/>
              </w:rPr>
              <w:t>）经生效裁判、仲裁文书确认，存在交收违约的。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pct"/>
            <w:shd w:val="clear" w:color="auto" w:fill="auto"/>
            <w:noWrap w:val="0"/>
            <w:vAlign w:val="center"/>
          </w:tcPr>
          <w:p>
            <w:pPr>
              <w:pStyle w:val="5"/>
              <w:shd w:val="clear" w:color="auto"/>
              <w:spacing w:before="0" w:beforeAutospacing="0" w:after="0" w:afterAutospacing="0"/>
              <w:ind w:firstLine="422" w:firstLineChars="200"/>
              <w:jc w:val="both"/>
              <w:rPr>
                <w:rStyle w:val="13"/>
                <w:rFonts w:hint="eastAsia" w:ascii="仿宋" w:hAnsi="仿宋" w:eastAsia="仿宋" w:cs="Calibri"/>
                <w:color w:val="auto"/>
                <w:sz w:val="21"/>
                <w:szCs w:val="21"/>
                <w:shd w:val="clear"/>
              </w:rPr>
            </w:pPr>
            <w:r>
              <w:rPr>
                <w:rStyle w:val="13"/>
                <w:rFonts w:hint="eastAsia" w:ascii="仿宋" w:hAnsi="仿宋" w:eastAsia="仿宋" w:cs="Calibri"/>
                <w:b/>
                <w:bCs/>
                <w:color w:val="auto"/>
                <w:sz w:val="21"/>
                <w:szCs w:val="21"/>
                <w:shd w:val="clear"/>
              </w:rPr>
              <w:t>第二十四条</w:t>
            </w:r>
            <w:r>
              <w:rPr>
                <w:rStyle w:val="13"/>
                <w:rFonts w:hint="eastAsia" w:ascii="仿宋" w:hAnsi="仿宋" w:eastAsia="仿宋" w:cs="Calibri"/>
                <w:color w:val="auto"/>
                <w:sz w:val="21"/>
                <w:szCs w:val="21"/>
                <w:shd w:val="clear"/>
              </w:rPr>
              <w:t xml:space="preserve"> 本业务指引解释权属于郑州商品交易所。</w:t>
            </w:r>
          </w:p>
        </w:tc>
        <w:tc>
          <w:tcPr>
            <w:tcW w:w="2500" w:type="pct"/>
            <w:shd w:val="clear" w:color="auto" w:fill="auto"/>
            <w:noWrap w:val="0"/>
            <w:vAlign w:val="center"/>
          </w:tcPr>
          <w:p>
            <w:pPr>
              <w:pStyle w:val="12"/>
              <w:tabs>
                <w:tab w:val="left" w:pos="-420"/>
              </w:tabs>
              <w:rPr>
                <w:rFonts w:ascii="仿宋" w:hAnsi="仿宋" w:eastAsia="仿宋"/>
                <w:strike/>
                <w:color w:val="auto"/>
                <w:szCs w:val="21"/>
              </w:rPr>
            </w:pPr>
            <w:r>
              <w:rPr>
                <w:rStyle w:val="13"/>
                <w:rFonts w:hint="eastAsia" w:ascii="仿宋" w:hAnsi="仿宋" w:eastAsia="仿宋" w:cs="Calibri"/>
                <w:b/>
                <w:bCs/>
                <w:strike w:val="0"/>
                <w:color w:val="auto"/>
                <w:szCs w:val="21"/>
              </w:rPr>
              <w:t>第二十四条</w:t>
            </w:r>
            <w:r>
              <w:rPr>
                <w:rStyle w:val="13"/>
                <w:rFonts w:hint="eastAsia" w:ascii="黑体" w:hAnsi="黑体" w:eastAsia="仿宋" w:cs="Calibri"/>
                <w:b/>
                <w:color w:val="auto"/>
                <w:szCs w:val="21"/>
                <w:u w:val="none" w:color="auto"/>
              </w:rPr>
              <w:t xml:space="preserve"> </w:t>
            </w:r>
            <w:r>
              <w:rPr>
                <w:rStyle w:val="13"/>
                <w:rFonts w:hint="eastAsia" w:ascii="仿宋" w:hAnsi="仿宋" w:eastAsia="仿宋" w:cs="Calibri"/>
                <w:color w:val="auto"/>
                <w:szCs w:val="21"/>
              </w:rPr>
              <w:t>本业务指引解释权属于郑州商品交易所。</w:t>
            </w:r>
            <w:r>
              <w:rPr>
                <w:rStyle w:val="13"/>
                <w:rFonts w:hint="eastAsia" w:ascii="黑体" w:hAnsi="黑体" w:eastAsia="仿宋" w:cs="黑体"/>
                <w:b/>
                <w:color w:val="auto"/>
                <w:szCs w:val="21"/>
                <w:u w:val="single" w:color="000000"/>
              </w:rPr>
              <w:t>本指引施行前发布的</w:t>
            </w:r>
            <w:r>
              <w:rPr>
                <w:rStyle w:val="13"/>
                <w:rFonts w:hint="eastAsia" w:ascii="黑体" w:hAnsi="黑体" w:eastAsia="仿宋" w:cs="Calibri"/>
                <w:b/>
                <w:color w:val="auto"/>
                <w:szCs w:val="21"/>
                <w:u w:val="single" w:color="000000"/>
              </w:rPr>
              <w:t>其他</w:t>
            </w:r>
            <w:r>
              <w:rPr>
                <w:rStyle w:val="13"/>
                <w:rFonts w:hint="eastAsia" w:ascii="黑体" w:hAnsi="黑体" w:eastAsia="仿宋" w:cs="Calibri"/>
                <w:b/>
                <w:color w:val="auto"/>
                <w:szCs w:val="21"/>
                <w:u w:val="single" w:color="000000"/>
                <w:lang w:eastAsia="zh-CN"/>
              </w:rPr>
              <w:t>有关</w:t>
            </w:r>
            <w:r>
              <w:rPr>
                <w:rStyle w:val="13"/>
                <w:rFonts w:hint="eastAsia" w:ascii="黑体" w:hAnsi="黑体" w:eastAsia="仿宋" w:cs="Calibri"/>
                <w:b/>
                <w:color w:val="auto"/>
                <w:szCs w:val="21"/>
                <w:u w:val="single" w:color="000000"/>
              </w:rPr>
              <w:t>业务规则与本指引不一致的，按照本指引执行。</w:t>
            </w:r>
          </w:p>
        </w:tc>
      </w:tr>
    </w:tbl>
    <w:p>
      <w:pPr>
        <w:rPr>
          <w:szCs w:val="21"/>
        </w:rPr>
      </w:pPr>
    </w:p>
    <w:p>
      <w:pPr>
        <w:rPr>
          <w:rFonts w:ascii="仿宋" w:hAnsi="仿宋" w:eastAsia="仿宋"/>
          <w:sz w:val="32"/>
          <w:szCs w:val="32"/>
        </w:rPr>
      </w:pPr>
    </w:p>
    <w:p>
      <w:pPr>
        <w:snapToGrid w:val="0"/>
        <w:spacing w:line="560" w:lineRule="atLeast"/>
        <w:jc w:val="center"/>
        <w:rPr>
          <w:rFonts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MERGEFIELD 文件标题 </w:instrText>
      </w:r>
      <w:r>
        <w:rPr>
          <w:rFonts w:hint="eastAsia" w:ascii="仿宋" w:hAnsi="仿宋" w:eastAsia="仿宋"/>
          <w:sz w:val="32"/>
          <w:szCs w:val="32"/>
        </w:rPr>
        <w:fldChar w:fldCharType="end"/>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1CA62D1"/>
    <w:rsid w:val="1C7A2668"/>
    <w:rsid w:val="1FFE7D17"/>
    <w:rsid w:val="2167D9F7"/>
    <w:rsid w:val="295C3BCD"/>
    <w:rsid w:val="2B328956"/>
    <w:rsid w:val="3FFDAA12"/>
    <w:rsid w:val="3FFF10F5"/>
    <w:rsid w:val="3FFFF22A"/>
    <w:rsid w:val="43FF770A"/>
    <w:rsid w:val="4F3DB914"/>
    <w:rsid w:val="4F55B0C7"/>
    <w:rsid w:val="4FFB4DCA"/>
    <w:rsid w:val="537FB28B"/>
    <w:rsid w:val="5FBF6CA4"/>
    <w:rsid w:val="5FC9C253"/>
    <w:rsid w:val="5FFFC430"/>
    <w:rsid w:val="61FF7FCC"/>
    <w:rsid w:val="636D5EB0"/>
    <w:rsid w:val="64A92749"/>
    <w:rsid w:val="64DE4BB7"/>
    <w:rsid w:val="67EF80F9"/>
    <w:rsid w:val="68680F9C"/>
    <w:rsid w:val="69FE01AC"/>
    <w:rsid w:val="6BAF20F2"/>
    <w:rsid w:val="6DFF61D7"/>
    <w:rsid w:val="6E4D6179"/>
    <w:rsid w:val="6E87D9DC"/>
    <w:rsid w:val="6EF73625"/>
    <w:rsid w:val="6EFB94B9"/>
    <w:rsid w:val="6EFE787E"/>
    <w:rsid w:val="6FDF7D2B"/>
    <w:rsid w:val="6FFFBA2F"/>
    <w:rsid w:val="727F6B50"/>
    <w:rsid w:val="73F30210"/>
    <w:rsid w:val="77FF98FF"/>
    <w:rsid w:val="78031D0F"/>
    <w:rsid w:val="79DFF2FB"/>
    <w:rsid w:val="79E7BD87"/>
    <w:rsid w:val="7CBB66F2"/>
    <w:rsid w:val="7DDB2BB2"/>
    <w:rsid w:val="7DFB02B8"/>
    <w:rsid w:val="7E0F5493"/>
    <w:rsid w:val="7E3F2BA9"/>
    <w:rsid w:val="7EBE3445"/>
    <w:rsid w:val="7FC220FD"/>
    <w:rsid w:val="9F5F09C5"/>
    <w:rsid w:val="A6BF49A0"/>
    <w:rsid w:val="B7F6EBE6"/>
    <w:rsid w:val="B94E9450"/>
    <w:rsid w:val="BDEF9675"/>
    <w:rsid w:val="C57FC814"/>
    <w:rsid w:val="CBDF16D2"/>
    <w:rsid w:val="CF67E6F1"/>
    <w:rsid w:val="DBFF892A"/>
    <w:rsid w:val="DFBFC354"/>
    <w:rsid w:val="DFF5664C"/>
    <w:rsid w:val="DFFB5567"/>
    <w:rsid w:val="EDD32370"/>
    <w:rsid w:val="EDD69C8C"/>
    <w:rsid w:val="EDEE2492"/>
    <w:rsid w:val="EE45434C"/>
    <w:rsid w:val="EF3FF8A9"/>
    <w:rsid w:val="EF4D5251"/>
    <w:rsid w:val="EFD1D68E"/>
    <w:rsid w:val="F3DE0CDD"/>
    <w:rsid w:val="F6DABFC2"/>
    <w:rsid w:val="F6F7B805"/>
    <w:rsid w:val="FAAFB7A7"/>
    <w:rsid w:val="FB7D8F54"/>
    <w:rsid w:val="FBEFA53E"/>
    <w:rsid w:val="FBFE5E83"/>
    <w:rsid w:val="FDCF1698"/>
    <w:rsid w:val="FDF747C2"/>
    <w:rsid w:val="FE6E6487"/>
    <w:rsid w:val="FEE730B3"/>
    <w:rsid w:val="FEF84D00"/>
    <w:rsid w:val="FF398129"/>
    <w:rsid w:val="FFBF29D0"/>
    <w:rsid w:val="FFEE0A62"/>
    <w:rsid w:val="FFF8E48C"/>
    <w:rsid w:val="FFFD5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law-title"/>
    <w:qFormat/>
    <w:uiPriority w:val="0"/>
  </w:style>
  <w:style w:type="character" w:customStyle="1" w:styleId="14">
    <w:name w:val="law-content"/>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7618</Words>
  <Characters>7646</Characters>
  <Lines>2</Lines>
  <Paragraphs>1</Paragraphs>
  <TotalTime>0</TotalTime>
  <ScaleCrop>false</ScaleCrop>
  <LinksUpToDate>false</LinksUpToDate>
  <CharactersWithSpaces>7773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2019-09-23T06:10:00Z</dcterms:created>
  <dc:creator>CN=李小鹏/OU=办公室/O=CZCE</dc:creator>
  <cp:lastModifiedBy>zqli</cp:lastModifiedBy>
  <cp:lastPrinted>2023-10-13T16:26:00Z</cp:lastPrinted>
  <dcterms:modified xsi:type="dcterms:W3CDTF">2023-10-13T02:53:10Z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8C11034AB99F4048BB46C048468584AB</vt:lpwstr>
  </property>
</Properties>
</file>