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Times New Roman" w:hAnsi="Times New Roman" w:eastAsia="黑体"/>
          <w:sz w:val="32"/>
          <w:lang w:val="en-US" w:eastAsia="zh-CN"/>
        </w:rPr>
      </w:pPr>
      <w:bookmarkStart w:id="0" w:name="_GoBack"/>
      <w:r>
        <w:rPr>
          <w:rFonts w:hint="eastAsia" w:ascii="Times New Roman" w:hAnsi="黑体" w:eastAsia="黑体"/>
          <w:sz w:val="32"/>
        </w:rPr>
        <w:t>附件</w:t>
      </w:r>
      <w:r>
        <w:rPr>
          <w:rFonts w:hint="eastAsia" w:ascii="Times New Roman" w:hAnsi="Times New Roman" w:eastAsia="黑体"/>
          <w:sz w:val="32"/>
          <w:lang w:val="en-US" w:eastAsia="zh-CN"/>
        </w:rPr>
        <w:t>5</w:t>
      </w:r>
    </w:p>
    <w:bookmarkEnd w:id="0"/>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《郑州商品交易所</w:t>
      </w:r>
      <w:r>
        <w:rPr>
          <w:rFonts w:hint="eastAsia" w:ascii="方正小标宋简体" w:hAnsi="宋体" w:eastAsia="方正小标宋简体"/>
          <w:sz w:val="44"/>
          <w:szCs w:val="44"/>
          <w:lang w:eastAsia="zh-CN"/>
        </w:rPr>
        <w:t>尿素</w:t>
      </w:r>
      <w:r>
        <w:rPr>
          <w:rFonts w:hint="eastAsia" w:ascii="方正小标宋简体" w:hAnsi="宋体" w:eastAsia="方正小标宋简体"/>
          <w:sz w:val="44"/>
          <w:szCs w:val="44"/>
        </w:rPr>
        <w:t>期权合约（征求意见稿）》及起草说明</w:t>
      </w:r>
    </w:p>
    <w:p>
      <w:pPr>
        <w:suppressAutoHyphens/>
        <w:bidi w:val="0"/>
        <w:ind w:firstLine="640" w:firstLineChars="200"/>
        <w:outlineLvl w:val="1"/>
        <w:rPr>
          <w:rFonts w:hint="eastAsia" w:ascii="方正小标宋简体" w:hAnsi="宋体" w:eastAsia="方正小标宋简体"/>
          <w:sz w:val="44"/>
          <w:szCs w:val="44"/>
        </w:rPr>
      </w:pPr>
      <w:r>
        <w:rPr>
          <w:rFonts w:hint="eastAsia" w:ascii="Times New Roman" w:hAnsi="Times New Roman" w:eastAsia="黑体"/>
          <w:sz w:val="32"/>
          <w:szCs w:val="32"/>
          <w:lang w:eastAsia="zh-CN"/>
        </w:rPr>
        <w:t>一</w:t>
      </w:r>
      <w:r>
        <w:rPr>
          <w:rFonts w:hint="eastAsia" w:ascii="Times New Roman" w:hAnsi="Times New Roman" w:eastAsia="黑体"/>
          <w:sz w:val="32"/>
          <w:szCs w:val="32"/>
        </w:rPr>
        <w:t>、</w:t>
      </w:r>
      <w:r>
        <w:rPr>
          <w:rFonts w:hint="eastAsia" w:ascii="Times New Roman" w:hAnsi="Times New Roman" w:eastAsia="黑体"/>
          <w:sz w:val="32"/>
          <w:szCs w:val="32"/>
          <w:lang w:eastAsia="zh-CN"/>
        </w:rPr>
        <w:t>尿素</w:t>
      </w:r>
      <w:r>
        <w:rPr>
          <w:rFonts w:hint="eastAsia" w:ascii="Times New Roman" w:hAnsi="Times New Roman" w:eastAsia="黑体"/>
          <w:sz w:val="32"/>
          <w:szCs w:val="32"/>
        </w:rPr>
        <w:t>期权合约（</w:t>
      </w:r>
      <w:r>
        <w:rPr>
          <w:rFonts w:hint="eastAsia" w:eastAsia="黑体"/>
          <w:sz w:val="32"/>
          <w:szCs w:val="32"/>
        </w:rPr>
        <w:t>征求意见稿</w:t>
      </w:r>
      <w:r>
        <w:rPr>
          <w:rFonts w:hint="eastAsia" w:ascii="Times New Roman" w:hAnsi="Times New Roman" w:eastAsia="黑体"/>
          <w:sz w:val="32"/>
          <w:szCs w:val="32"/>
        </w:rPr>
        <w:t>）</w:t>
      </w:r>
    </w:p>
    <w:tbl>
      <w:tblPr>
        <w:tblStyle w:val="2"/>
        <w:tblW w:w="87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1"/>
        <w:gridCol w:w="68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合约标的物</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尿素期货合约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合约类型</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看涨期权、看跌期权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交易单位</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1手尿素期货合约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报价单位</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元（人民币）/吨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最小变动价位</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0.5元/吨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涨跌停板幅度</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与尿素期货合约涨跌停板幅度相同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合约月份</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标的期货合约中的连续两个近月，其后月份在标的期货合约结算后持仓量达到10000手（单边）之后的第二个交易日挂牌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交易时间</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每周一至周五上午9:00</w:t>
            </w:r>
            <w:r>
              <w:rPr>
                <w:rFonts w:hint="eastAsia" w:ascii="仿宋" w:hAnsi="仿宋" w:eastAsia="仿宋" w:cs="仿宋"/>
                <w:sz w:val="24"/>
              </w:rPr>
              <w:t>-</w:t>
            </w:r>
            <w:r>
              <w:rPr>
                <w:rFonts w:hint="default" w:ascii="Times New Roman" w:hAnsi="Times New Roman" w:eastAsia="仿宋" w:cs="Times New Roman"/>
                <w:sz w:val="24"/>
              </w:rPr>
              <w:t>11:30，下午13:30</w:t>
            </w:r>
            <w:r>
              <w:rPr>
                <w:rFonts w:hint="eastAsia" w:ascii="仿宋" w:hAnsi="仿宋" w:eastAsia="仿宋" w:cs="仿宋"/>
                <w:sz w:val="24"/>
              </w:rPr>
              <w:t>-</w:t>
            </w:r>
            <w:r>
              <w:rPr>
                <w:rFonts w:hint="default" w:ascii="Times New Roman" w:hAnsi="Times New Roman" w:eastAsia="仿宋" w:cs="Times New Roman"/>
                <w:sz w:val="24"/>
              </w:rPr>
              <w:t>15:00，以及交易所规定的其他交易时间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最后交易日</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标的期货合约交割月份前一个月第15个日历日之前（含该日）的倒数第3个交易日，以及交易所规定的其他日期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到期日</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同最后交易日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行权价格</w:t>
            </w:r>
          </w:p>
        </w:tc>
        <w:tc>
          <w:tcPr>
            <w:tcW w:w="681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FF0000"/>
                <w:sz w:val="24"/>
              </w:rPr>
            </w:pPr>
            <w:r>
              <w:rPr>
                <w:rFonts w:hint="default" w:ascii="Times New Roman" w:hAnsi="Times New Roman" w:eastAsia="仿宋" w:cs="Times New Roman"/>
                <w:sz w:val="24"/>
              </w:rPr>
              <w:t>行权价格覆盖标的期货合约上一交易日结算价上下浮动1.5倍当日涨跌停板幅度对应的价格范围。行权价格</w:t>
            </w:r>
            <w:r>
              <w:rPr>
                <w:rFonts w:hint="eastAsia" w:ascii="仿宋" w:hAnsi="仿宋" w:eastAsia="仿宋" w:cs="仿宋"/>
                <w:sz w:val="24"/>
              </w:rPr>
              <w:t>≤</w:t>
            </w:r>
            <w:r>
              <w:rPr>
                <w:rFonts w:hint="default" w:ascii="Times New Roman" w:hAnsi="Times New Roman" w:eastAsia="仿宋" w:cs="Times New Roman"/>
                <w:sz w:val="24"/>
              </w:rPr>
              <w:t>1000元/吨，行权价格间距为10元/吨；1000元/吨＜行权价格</w:t>
            </w:r>
            <w:r>
              <w:rPr>
                <w:rFonts w:hint="eastAsia" w:ascii="仿宋" w:hAnsi="仿宋" w:eastAsia="仿宋" w:cs="仿宋"/>
                <w:sz w:val="24"/>
              </w:rPr>
              <w:t>≤</w:t>
            </w:r>
            <w:r>
              <w:rPr>
                <w:rFonts w:hint="default" w:ascii="Times New Roman" w:hAnsi="Times New Roman" w:eastAsia="仿宋" w:cs="Times New Roman"/>
                <w:sz w:val="24"/>
              </w:rPr>
              <w:t>2000元/吨，行权价格间距为20元/吨；行权价格＞2000元/吨，行权价格间距为40元/吨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行权方式</w:t>
            </w:r>
          </w:p>
        </w:tc>
        <w:tc>
          <w:tcPr>
            <w:tcW w:w="6813"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美式。买方可在到期日前任一交易日的交易时间提交行权申请；买方可在到期日15:30之前提交行权申请、放弃申请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交易代码</w:t>
            </w:r>
          </w:p>
        </w:tc>
        <w:tc>
          <w:tcPr>
            <w:tcW w:w="6813"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看涨期权：UR</w:t>
            </w:r>
            <w:r>
              <w:rPr>
                <w:rFonts w:hint="eastAsia" w:ascii="仿宋" w:hAnsi="仿宋" w:eastAsia="仿宋" w:cs="仿宋"/>
                <w:sz w:val="24"/>
              </w:rPr>
              <w:t>-</w:t>
            </w:r>
            <w:r>
              <w:rPr>
                <w:rFonts w:hint="default" w:ascii="Times New Roman" w:hAnsi="Times New Roman" w:eastAsia="仿宋" w:cs="Times New Roman"/>
                <w:sz w:val="24"/>
              </w:rPr>
              <w:t>合约月份</w:t>
            </w:r>
            <w:r>
              <w:rPr>
                <w:rFonts w:hint="eastAsia" w:ascii="仿宋" w:hAnsi="仿宋" w:eastAsia="仿宋" w:cs="仿宋"/>
                <w:sz w:val="24"/>
              </w:rPr>
              <w:t>-</w:t>
            </w:r>
            <w:r>
              <w:rPr>
                <w:rFonts w:hint="default" w:ascii="Times New Roman" w:hAnsi="Times New Roman" w:eastAsia="仿宋" w:cs="Times New Roman"/>
                <w:sz w:val="24"/>
              </w:rPr>
              <w:t>C</w:t>
            </w:r>
            <w:r>
              <w:rPr>
                <w:rFonts w:hint="default" w:ascii="仿宋" w:hAnsi="仿宋" w:eastAsia="仿宋" w:cs="仿宋"/>
                <w:sz w:val="24"/>
              </w:rPr>
              <w:t>-行权</w:t>
            </w:r>
            <w:r>
              <w:rPr>
                <w:rFonts w:hint="default" w:ascii="Times New Roman" w:hAnsi="Times New Roman" w:eastAsia="仿宋" w:cs="Times New Roman"/>
                <w:sz w:val="24"/>
              </w:rPr>
              <w:t>价格</w:t>
            </w:r>
          </w:p>
          <w:p>
            <w:pPr>
              <w:rPr>
                <w:rFonts w:hint="default" w:ascii="Times New Roman" w:hAnsi="Times New Roman" w:eastAsia="仿宋" w:cs="Times New Roman"/>
                <w:sz w:val="24"/>
              </w:rPr>
            </w:pPr>
            <w:r>
              <w:rPr>
                <w:rFonts w:hint="default" w:ascii="Times New Roman" w:hAnsi="Times New Roman" w:eastAsia="仿宋" w:cs="Times New Roman"/>
                <w:sz w:val="24"/>
              </w:rPr>
              <w:t>看跌期权：UR</w:t>
            </w:r>
            <w:r>
              <w:rPr>
                <w:rFonts w:hint="eastAsia" w:ascii="仿宋" w:hAnsi="仿宋" w:eastAsia="仿宋" w:cs="仿宋"/>
                <w:sz w:val="24"/>
              </w:rPr>
              <w:t>-</w:t>
            </w:r>
            <w:r>
              <w:rPr>
                <w:rFonts w:hint="default" w:ascii="Times New Roman" w:hAnsi="Times New Roman" w:eastAsia="仿宋" w:cs="Times New Roman"/>
                <w:sz w:val="24"/>
              </w:rPr>
              <w:t>合约月份</w:t>
            </w:r>
            <w:r>
              <w:rPr>
                <w:rFonts w:hint="default" w:ascii="仿宋" w:hAnsi="仿宋" w:eastAsia="仿宋" w:cs="仿宋"/>
                <w:sz w:val="24"/>
              </w:rPr>
              <w:t>-</w:t>
            </w:r>
            <w:r>
              <w:rPr>
                <w:rFonts w:hint="default" w:ascii="Times New Roman" w:hAnsi="Times New Roman" w:eastAsia="仿宋" w:cs="Times New Roman"/>
                <w:sz w:val="24"/>
              </w:rPr>
              <w:t>P</w:t>
            </w:r>
            <w:r>
              <w:rPr>
                <w:rFonts w:hint="default" w:ascii="仿宋" w:hAnsi="仿宋" w:eastAsia="仿宋" w:cs="仿宋"/>
                <w:sz w:val="24"/>
              </w:rPr>
              <w:t>-行权</w:t>
            </w:r>
            <w:r>
              <w:rPr>
                <w:rFonts w:hint="default" w:ascii="Times New Roman" w:hAnsi="Times New Roman" w:eastAsia="仿宋" w:cs="Times New Roman"/>
                <w:sz w:val="24"/>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上市交易所</w:t>
            </w:r>
          </w:p>
        </w:tc>
        <w:tc>
          <w:tcPr>
            <w:tcW w:w="6813"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郑州商品交易所</w:t>
            </w:r>
          </w:p>
        </w:tc>
      </w:tr>
    </w:tbl>
    <w:p>
      <w:pPr>
        <w:suppressAutoHyphens/>
        <w:bidi w:val="0"/>
        <w:ind w:firstLine="640" w:firstLineChars="200"/>
        <w:jc w:val="left"/>
        <w:outlineLvl w:val="1"/>
        <w:rPr>
          <w:rFonts w:ascii="Times New Roman" w:hAnsi="Times New Roman" w:eastAsia="黑体"/>
          <w:sz w:val="32"/>
          <w:szCs w:val="32"/>
        </w:rPr>
      </w:pPr>
      <w:r>
        <w:rPr>
          <w:rFonts w:hint="eastAsia" w:ascii="Times New Roman" w:hAnsi="Times New Roman" w:eastAsia="黑体"/>
          <w:sz w:val="32"/>
          <w:szCs w:val="32"/>
          <w:lang w:eastAsia="zh-CN"/>
        </w:rPr>
        <w:t>二</w:t>
      </w:r>
      <w:r>
        <w:rPr>
          <w:rFonts w:hint="eastAsia" w:ascii="Times New Roman" w:hAnsi="Times New Roman" w:eastAsia="黑体"/>
          <w:sz w:val="32"/>
          <w:szCs w:val="32"/>
        </w:rPr>
        <w:t>、主要条款设计说明</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（一）交易单位：1手尿素期货合约</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期权合约的交易单位是指每一交易单位对应标的物数量。设置尿素期权交易单位为1手尿素期货合约，方便</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对冲期货部位风险。</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（二）报价单位：元（人民币）/吨</w:t>
      </w:r>
    </w:p>
    <w:p>
      <w:pPr>
        <w:adjustRightIn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期权报价单位一般与标的期货报价单位保持一致。与尿素期货合约报价单位相同，尿素期权合约报价单位为元（人民币）/吨。</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（三）最小变动价位：0.5元/吨</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最小变动价位是指期权合约单位价格涨跌变动的最小值。从国内期权市场运行情况来看，Delta绝对值在0.2至0.5之间的虚值、平值期权合约较为活跃，即期权价格波动约为期货的1/5至1/2。尿素期权与期货最小变动价位（1元/吨）之比为1/2，在此范围内，可以满足市场交易需</w:t>
      </w:r>
      <w:r>
        <w:rPr>
          <w:rFonts w:hint="eastAsia" w:ascii="Times New Roman" w:hAnsi="Times New Roman" w:eastAsia="仿宋" w:cs="Times New Roman"/>
          <w:sz w:val="32"/>
          <w:szCs w:val="32"/>
          <w:lang w:eastAsia="zh-CN"/>
        </w:rPr>
        <w:t>求</w:t>
      </w:r>
      <w:r>
        <w:rPr>
          <w:rFonts w:hint="default" w:ascii="Times New Roman" w:hAnsi="Times New Roman" w:eastAsia="仿宋" w:cs="Times New Roman"/>
          <w:sz w:val="32"/>
          <w:szCs w:val="32"/>
        </w:rPr>
        <w:t>。</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（四）涨跌停板幅度：与标的期货涨跌停板幅度相同</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尿素期权合约涨跌停板幅度与标的期货相同</w:t>
      </w:r>
      <w:r>
        <w:rPr>
          <w:rFonts w:hint="eastAsia" w:ascii="仿宋" w:hAnsi="仿宋" w:eastAsia="仿宋" w:cs="仿宋"/>
          <w:sz w:val="32"/>
          <w:szCs w:val="32"/>
        </w:rPr>
        <w:t>,</w:t>
      </w:r>
      <w:r>
        <w:rPr>
          <w:rFonts w:hint="default" w:ascii="Times New Roman" w:hAnsi="Times New Roman" w:eastAsia="仿宋" w:cs="Times New Roman"/>
          <w:sz w:val="32"/>
          <w:szCs w:val="32"/>
        </w:rPr>
        <w:t>这里的相同是指绝对数相同，即期权合约的涨跌停板幅度按标的期货合约的结算价和价幅比例计算。当期权权利金小于涨跌停板幅度时，跌停板价格取期权合约的最小变动价位。</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（五）合约月份：两个近月+活跃月份</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尿素期权合约月份规定为两个近月及持仓量超过10000手（单边）的活跃月份，既能及时满足市场交易需求，也有利于集中市场流动性，提高市场运行效率。</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（六）最后交易日/到期日：标的期货合约交割月份前一个月第15个日历日之前（含该日）的倒数第3个交易日</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尿素期权到期日为交割月份前一个月第15个日历日之前（含该日）的倒数第3个交易日，与</w:t>
      </w:r>
      <w:r>
        <w:rPr>
          <w:rFonts w:hint="eastAsia" w:ascii="Times New Roman" w:hAnsi="Times New Roman" w:eastAsia="仿宋" w:cs="Times New Roman"/>
          <w:sz w:val="32"/>
          <w:szCs w:val="32"/>
          <w:lang w:eastAsia="zh-CN"/>
        </w:rPr>
        <w:t>郑州商品交易所</w:t>
      </w:r>
      <w:r>
        <w:rPr>
          <w:rFonts w:hint="default" w:ascii="Times New Roman" w:hAnsi="Times New Roman" w:eastAsia="仿宋" w:cs="Times New Roman"/>
          <w:sz w:val="32"/>
          <w:szCs w:val="32"/>
        </w:rPr>
        <w:t>已上市期权现行合约规则保持一致，方便会员公司到期日行权业务操作，有利于</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熟悉掌握。一方面，期权到期日尽量接近标的期货交割月，有利于企业更好地使用期权开展套期保值；另一方面，期权在标的期货交割月前一个月梯度限仓调整前到期，可以降低期权行权对期货交割月运行的影响。</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（七）行权价格数量：覆盖标的期货合约上一交易日结算价上下浮动1.5倍当日涨跌停板幅度对应的价格范围</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权价格数量过多，不利于集中市场流动性；数量过少，不能有效覆盖标的期货价格波动范围。将行权价格数量与标的期货涨跌停板幅度挂钩，在标的期货价格波动较大时，可以有效覆盖标的期货价格波动范围，满足</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对虚值、平值、实值期权的避险需求。随着标的期货价格变动，到期日前的每一个交易日将根据上一交易日标的期货结算价上下浮动1.5倍当日涨跌停板幅度对应的价格范围，增挂新行权价格的期权合约。到期日前一交易日闭市后不再挂牌新行权价格的期权合约。</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（八）行权价格间距：根据行权价格分段设置</w:t>
      </w:r>
    </w:p>
    <w:p>
      <w:pPr>
        <w:adjustRightInd w:val="0"/>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行权价格间距的设计主要考虑期现货价格水平及波动程度。行权价格间距越小，相同行权价格范围内对应的期权合约数量越多，不利于集中市场流动性；行权价格间距越大，对应的期权合约数量越少，可供</w:t>
      </w:r>
      <w:r>
        <w:rPr>
          <w:rFonts w:hint="eastAsia" w:ascii="Times New Roman" w:hAnsi="Times New Roman" w:eastAsia="仿宋" w:cs="Times New Roman"/>
          <w:sz w:val="32"/>
          <w:lang w:eastAsia="zh-CN"/>
        </w:rPr>
        <w:t>交易者</w:t>
      </w:r>
      <w:r>
        <w:rPr>
          <w:rFonts w:hint="default" w:ascii="Times New Roman" w:hAnsi="Times New Roman" w:eastAsia="仿宋" w:cs="Times New Roman"/>
          <w:sz w:val="32"/>
        </w:rPr>
        <w:t>选择的行权价格也越少</w:t>
      </w:r>
      <w:r>
        <w:rPr>
          <w:rFonts w:hint="default" w:ascii="Times New Roman" w:hAnsi="Times New Roman" w:eastAsia="仿宋" w:cs="Times New Roman"/>
          <w:sz w:val="32"/>
          <w:szCs w:val="32"/>
        </w:rPr>
        <w:t>，</w:t>
      </w:r>
      <w:r>
        <w:rPr>
          <w:rFonts w:hint="default" w:ascii="Times New Roman" w:hAnsi="Times New Roman" w:eastAsia="仿宋" w:cs="Times New Roman"/>
          <w:sz w:val="32"/>
        </w:rPr>
        <w:t>难以满足不同</w:t>
      </w:r>
      <w:r>
        <w:rPr>
          <w:rFonts w:hint="eastAsia" w:ascii="Times New Roman" w:hAnsi="Times New Roman" w:eastAsia="仿宋" w:cs="Times New Roman"/>
          <w:sz w:val="32"/>
          <w:lang w:eastAsia="zh-CN"/>
        </w:rPr>
        <w:t>交易者的</w:t>
      </w:r>
      <w:r>
        <w:rPr>
          <w:rFonts w:hint="default" w:ascii="Times New Roman" w:hAnsi="Times New Roman" w:eastAsia="仿宋" w:cs="Times New Roman"/>
          <w:sz w:val="32"/>
        </w:rPr>
        <w:t>需要。</w:t>
      </w:r>
    </w:p>
    <w:p>
      <w:pPr>
        <w:adjustRightInd w:val="0"/>
        <w:ind w:firstLine="640" w:firstLineChars="200"/>
        <w:rPr>
          <w:rFonts w:hint="default" w:ascii="Times New Roman" w:hAnsi="Times New Roman" w:eastAsia="仿宋" w:cs="Times New Roman"/>
          <w:sz w:val="32"/>
        </w:rPr>
      </w:pPr>
      <w:r>
        <w:rPr>
          <w:rFonts w:hint="eastAsia" w:ascii="仿宋" w:hAnsi="仿宋" w:eastAsia="仿宋"/>
          <w:sz w:val="32"/>
          <w:szCs w:val="32"/>
          <w:highlight w:val="none"/>
          <w:lang w:eastAsia="zh-CN"/>
        </w:rPr>
        <w:t>根据近年来尿素期现货价格主要运行区间，将</w:t>
      </w:r>
      <w:r>
        <w:rPr>
          <w:rFonts w:hint="default" w:ascii="Times New Roman" w:hAnsi="Times New Roman" w:eastAsia="仿宋" w:cs="Times New Roman"/>
          <w:sz w:val="32"/>
        </w:rPr>
        <w:t>尿素期权行权价格以1000元/吨和2000元/吨为节点分为三段，各段行权价格间距分别取10、20、40元/吨，与行权价格的比值在1%至2%之间，与国际成熟市场惯例基本一致。</w:t>
      </w:r>
    </w:p>
    <w:p>
      <w:pPr>
        <w:adjustRightInd w:val="0"/>
        <w:spacing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rPr>
        <w:t>尿素期权行权价格间距（单位：元/吨）</w:t>
      </w:r>
    </w:p>
    <w:tbl>
      <w:tblPr>
        <w:tblStyle w:val="2"/>
        <w:tblW w:w="4999"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084"/>
        <w:gridCol w:w="1681"/>
        <w:gridCol w:w="2395"/>
        <w:gridCol w:w="13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809"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行权价格</w:t>
            </w:r>
          </w:p>
        </w:tc>
        <w:tc>
          <w:tcPr>
            <w:tcW w:w="986"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1000</w:t>
            </w:r>
          </w:p>
        </w:tc>
        <w:tc>
          <w:tcPr>
            <w:tcW w:w="1405"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＞1000且</w:t>
            </w:r>
            <w:r>
              <w:rPr>
                <w:rFonts w:hint="eastAsia" w:ascii="仿宋" w:hAnsi="仿宋" w:eastAsia="仿宋" w:cs="仿宋"/>
                <w:sz w:val="24"/>
              </w:rPr>
              <w:t>≤</w:t>
            </w:r>
            <w:r>
              <w:rPr>
                <w:rFonts w:hint="default" w:ascii="Times New Roman" w:hAnsi="Times New Roman" w:eastAsia="仿宋" w:cs="Times New Roman"/>
                <w:sz w:val="24"/>
              </w:rPr>
              <w:t>2000</w:t>
            </w:r>
          </w:p>
        </w:tc>
        <w:tc>
          <w:tcPr>
            <w:tcW w:w="798" w:type="pct"/>
            <w:tcBorders>
              <w:top w:val="single" w:color="000000" w:sz="4" w:space="0"/>
              <w:left w:val="nil"/>
              <w:bottom w:val="single" w:color="000000" w:sz="4" w:space="0"/>
              <w:right w:val="nil"/>
            </w:tcBorders>
            <w:noWrap w:val="0"/>
            <w:vAlign w:val="top"/>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809"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行权价格间距</w:t>
            </w:r>
          </w:p>
        </w:tc>
        <w:tc>
          <w:tcPr>
            <w:tcW w:w="986"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1405"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c>
          <w:tcPr>
            <w:tcW w:w="798" w:type="pct"/>
            <w:tcBorders>
              <w:top w:val="single" w:color="000000" w:sz="4" w:space="0"/>
              <w:left w:val="nil"/>
              <w:bottom w:val="single" w:color="000000" w:sz="4" w:space="0"/>
              <w:right w:val="nil"/>
            </w:tcBorders>
            <w:noWrap w:val="0"/>
            <w:vAlign w:val="top"/>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809"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行权价格间距/行权价格</w:t>
            </w:r>
          </w:p>
        </w:tc>
        <w:tc>
          <w:tcPr>
            <w:tcW w:w="986"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1%</w:t>
            </w:r>
          </w:p>
        </w:tc>
        <w:tc>
          <w:tcPr>
            <w:tcW w:w="1405"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1%且＜2%</w:t>
            </w:r>
          </w:p>
        </w:tc>
        <w:tc>
          <w:tcPr>
            <w:tcW w:w="798" w:type="pct"/>
            <w:tcBorders>
              <w:top w:val="single" w:color="000000" w:sz="4" w:space="0"/>
              <w:left w:val="nil"/>
              <w:bottom w:val="single" w:color="000000" w:sz="4" w:space="0"/>
              <w:right w:val="nil"/>
            </w:tcBorders>
            <w:noWrap w:val="0"/>
            <w:vAlign w:val="top"/>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r>
    </w:tbl>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（九）行权方式：美式</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期权行权方式可分为美式与欧式。对于期权买方，美式期权行权可在到期日及之前任一交易日进行，而欧式期权行权只能在到期日进行。</w:t>
      </w:r>
    </w:p>
    <w:p>
      <w:pPr>
        <w:adjustRightInd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国际商品期权一般为美式期权。美式期权行权方式有利于保持期权和期货价格更强的关联性，给</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提供灵活的选择，可以降低期权集中到期对标的期货市场运行的影响。</w:t>
      </w:r>
    </w:p>
    <w:p>
      <w:pPr>
        <w:adjustRightInd w:val="0"/>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根据已上市期权品种运行情况，市场存在提前行权需求。</w:t>
      </w:r>
      <w:r>
        <w:rPr>
          <w:rFonts w:hint="default" w:ascii="Times New Roman" w:hAnsi="Times New Roman" w:eastAsia="仿宋" w:cs="Times New Roman"/>
          <w:sz w:val="32"/>
          <w:szCs w:val="32"/>
        </w:rPr>
        <w:t>借鉴国际市场和</w:t>
      </w:r>
      <w:r>
        <w:rPr>
          <w:rFonts w:hint="eastAsia" w:ascii="Times New Roman" w:hAnsi="Times New Roman" w:eastAsia="仿宋" w:cs="Times New Roman"/>
          <w:sz w:val="32"/>
          <w:szCs w:val="32"/>
          <w:lang w:eastAsia="zh-CN"/>
        </w:rPr>
        <w:t>已上市</w:t>
      </w:r>
      <w:r>
        <w:rPr>
          <w:rFonts w:hint="default" w:ascii="Times New Roman" w:hAnsi="Times New Roman" w:eastAsia="仿宋" w:cs="Times New Roman"/>
          <w:sz w:val="32"/>
          <w:szCs w:val="32"/>
        </w:rPr>
        <w:t>期权运行经验，尿素期权也采用美式期权。</w:t>
      </w:r>
    </w:p>
    <w:p>
      <w:pPr>
        <w:adjustRightInd w:val="0"/>
        <w:spacing w:line="360" w:lineRule="auto"/>
        <w:ind w:firstLine="640"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（十）交易代码：UR-合约月份-C（P）</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rPr>
        <w:t>行权价格</w:t>
      </w:r>
    </w:p>
    <w:p>
      <w:pPr>
        <w:adjustRightInd w:val="0"/>
        <w:ind w:firstLine="640" w:firstLineChars="200"/>
      </w:pPr>
      <w:r>
        <w:rPr>
          <w:rFonts w:hint="default" w:ascii="Times New Roman" w:hAnsi="Times New Roman" w:eastAsia="仿宋" w:cs="Times New Roman"/>
          <w:sz w:val="32"/>
          <w:szCs w:val="32"/>
        </w:rPr>
        <w:t>尿素期权合约沿用国内商品期权通行的交易代码组成方式，与已上市期权交易代码组成方式一致，便于</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理解与掌握。</w:t>
      </w:r>
      <w:r>
        <w:rPr>
          <w:rFonts w:hint="default" w:ascii="Times New Roman" w:hAnsi="Times New Roman" w:eastAsia="仿宋" w:cs="Times New Roman"/>
          <w:color w:val="000000"/>
          <w:sz w:val="32"/>
          <w:szCs w:val="32"/>
        </w:rPr>
        <w:t>其中，看涨期权（Call）用大写英文字母C表示，看跌期权（Put）用大写英文字母P表示。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08ED"/>
    <w:rsid w:val="02220782"/>
    <w:rsid w:val="0BE4564E"/>
    <w:rsid w:val="0CDA7B18"/>
    <w:rsid w:val="0EB17C89"/>
    <w:rsid w:val="1829275F"/>
    <w:rsid w:val="182A1252"/>
    <w:rsid w:val="1A4D0317"/>
    <w:rsid w:val="27355C36"/>
    <w:rsid w:val="29DC6918"/>
    <w:rsid w:val="364D5A11"/>
    <w:rsid w:val="42BC2D37"/>
    <w:rsid w:val="4CCE778A"/>
    <w:rsid w:val="51BF2250"/>
    <w:rsid w:val="676F5287"/>
    <w:rsid w:val="795F3794"/>
    <w:rsid w:val="7D794966"/>
    <w:rsid w:val="7EBF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2023-07-03T05:58:00Z</dcterms:created>
  <dc:creator>仇一萌</dc:creator>
  <cp:lastModifiedBy>仇一萌</cp:lastModifiedBy>
  <dcterms:modified xsi:type="dcterms:W3CDTF">2023-07-03T05:59:10Z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36E861FE379F4DA9B564908CAAF7BE82</vt:lpwstr>
  </property>
</Properties>
</file>