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郑州商品交易所菜籽粕期货业务细则</w:t>
      </w:r>
    </w:p>
    <w:p>
      <w:pPr>
        <w:jc w:val="center"/>
        <w:outlineLvl w:val="0"/>
        <w:rPr>
          <w:rFonts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修订案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对《郑州商品交易所</w:t>
      </w:r>
      <w:r>
        <w:rPr>
          <w:rFonts w:hint="eastAsia" w:ascii="仿宋" w:hAnsi="仿宋" w:eastAsia="仿宋"/>
          <w:sz w:val="32"/>
        </w:rPr>
        <w:t>菜籽粕期货业务细则</w:t>
      </w:r>
      <w:r>
        <w:rPr>
          <w:rFonts w:hint="eastAsia" w:ascii="仿宋" w:hAnsi="仿宋" w:eastAsia="仿宋"/>
          <w:sz w:val="32"/>
          <w:szCs w:val="32"/>
        </w:rPr>
        <w:t>》作如下修订：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将第二条修订为：</w:t>
      </w: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“交易所、会员、境外经纪机构、客户、交割仓库（以下简称仓库）、交割厂库（以下简称厂库）、指定质检机构及期货市场其他参与者应当遵守本细则。”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郑州商品交易所菜籽粕期货业务细则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（修订条款对照表）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现行条文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修改后条文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第二条 交易所、会员、客户、交割仓库（以下简称仓库）、交割厂库（以下简称厂库）、指定质检机构及期货市场其他参与者应当遵守本细则。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第二条 交易所、会员、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u w:val="single"/>
              </w:rPr>
              <w:t>境外经纪机构、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客户、交割仓库（以下简称仓库）、交割厂库（以下简称厂库）、指定质检机构及期货市场其他参与者应当遵守本细则。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1455"/>
    <w:rsid w:val="1A4D0317"/>
    <w:rsid w:val="364D5A11"/>
    <w:rsid w:val="5D6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2023-01-09T09:12:00Z</dcterms:created>
  <dc:creator>张纯熙</dc:creator>
  <cp:lastModifiedBy>张纯熙</cp:lastModifiedBy>
  <dcterms:modified xsi:type="dcterms:W3CDTF">2023-01-09T09:13:09Z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04F2AF73DD5D442AA4C25AB11D73B4A6</vt:lpwstr>
  </property>
</Properties>
</file>