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24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  件</w:t>
      </w:r>
    </w:p>
    <w:p>
      <w:pPr>
        <w:pStyle w:val="3"/>
        <w:widowControl/>
        <w:shd w:val="clear" w:color="auto" w:fill="FFFFFF"/>
        <w:spacing w:before="0" w:beforeAutospacing="0" w:after="0" w:afterAutospacing="0" w:line="240" w:lineRule="atLeas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培训课程安排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32"/>
                <w:szCs w:val="32"/>
              </w:rPr>
              <w:t>序</w:t>
            </w:r>
            <w:r>
              <w:rPr>
                <w:rFonts w:hAnsi="Times New Roman" w:eastAsia="仿宋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hAnsi="仿宋" w:eastAsia="仿宋"/>
                <w:b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4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32"/>
                <w:szCs w:val="32"/>
              </w:rPr>
              <w:t>主</w:t>
            </w:r>
            <w:r>
              <w:rPr>
                <w:rFonts w:hAnsi="Times New Roman" w:eastAsia="仿宋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hAnsi="仿宋" w:eastAsia="仿宋"/>
                <w:b/>
                <w:color w:val="000000"/>
                <w:kern w:val="0"/>
                <w:sz w:val="32"/>
                <w:szCs w:val="32"/>
              </w:rPr>
              <w:t>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hAnsi="Times New Roman" w:eastAsia="仿宋"/>
                <w:b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能化行业风险管理要点及案例解析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冶金行业风险管理要点及案例解析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bookmarkStart w:id="0" w:name="RANGE!B4"/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建材行业风险管理要点及案例解析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纺织行业风险管理要点及案例解析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油脂油料行业风险管理要点及案例解析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Times New Roman" w:eastAsia="仿宋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糖果</w:t>
            </w:r>
            <w:r>
              <w:rPr>
                <w:rFonts w:hint="eastAsia" w:hAnsi="Times New Roman" w:eastAsia="仿宋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行业风险管理要点及案例解析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 w:val="0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期货和衍生品市场法律与监管体系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期货衍生品业务内控构架与决策流程搭建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套期会计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期货衍生品业务信息披露注意事项及审计要点解读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期权基础与场外衍生品风险管理实践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上市公司避险</w:t>
            </w:r>
            <w:r>
              <w:rPr>
                <w:rFonts w:hint="eastAsia" w:hAnsi="Times New Roman" w:eastAsia="仿宋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hint="eastAsia" w:hAnsi="仿宋" w:eastAsia="仿宋"/>
                <w:color w:val="000000"/>
                <w:kern w:val="0"/>
                <w:sz w:val="32"/>
                <w:szCs w:val="32"/>
              </w:rPr>
              <w:t>现状、典型案例及问题分析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1" w:name="抄送单位"/>
      <w:bookmarkEnd w:id="1"/>
    </w:p>
    <w:p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1</w:t>
    </w:r>
    <w:r>
      <w:rPr>
        <w:rStyle w:val="6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rFonts w:hint="eastAsia"/>
        <w:sz w:val="28"/>
      </w:rPr>
      <w:t>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2</w:t>
    </w:r>
    <w:r>
      <w:rPr>
        <w:rStyle w:val="6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50A32"/>
    <w:rsid w:val="1F55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2022-12-16T08:39:00Z</dcterms:created>
  <dc:creator>张纯熙</dc:creator>
  <cp:lastModifiedBy>张纯熙</cp:lastModifiedBy>
  <dcterms:modified xsi:type="dcterms:W3CDTF">2022-12-16T08:40:06Z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8FFC9100EECD4695B582F3D8165618BF</vt:lpwstr>
  </property>
</Properties>
</file>