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eastAsia="仿宋"/>
          <w:sz w:val="32"/>
          <w:szCs w:val="32"/>
        </w:rPr>
      </w:pPr>
      <w:r>
        <w:rPr>
          <w:rFonts w:hint="eastAsia" w:hAnsi="黑体" w:eastAsia="黑体"/>
          <w:sz w:val="32"/>
        </w:rPr>
        <w:t>附件</w:t>
      </w:r>
      <w:r>
        <w:rPr>
          <w:rFonts w:eastAsia="黑体"/>
          <w:sz w:val="32"/>
        </w:rPr>
        <w:t>1</w:t>
      </w:r>
    </w:p>
    <w:p>
      <w:pPr>
        <w:keepNext w:val="0"/>
        <w:keepLines w:val="0"/>
        <w:pageBreakBefore w:val="0"/>
        <w:widowControl w:val="0"/>
        <w:kinsoku/>
        <w:wordWrap/>
        <w:overflowPunct/>
        <w:topLinePunct w:val="0"/>
        <w:autoSpaceDE/>
        <w:autoSpaceDN/>
        <w:bidi w:val="0"/>
        <w:adjustRightInd/>
        <w:snapToGrid w:val="0"/>
        <w:jc w:val="center"/>
        <w:textAlignment w:val="auto"/>
        <w:outlineLvl w:val="1"/>
        <w:rPr>
          <w:rFonts w:hint="eastAsia" w:ascii="方正小标宋简体" w:hAnsi="宋体" w:eastAsia="方正小标宋简体"/>
          <w:sz w:val="44"/>
          <w:szCs w:val="44"/>
        </w:rPr>
      </w:pPr>
      <w:r>
        <w:rPr>
          <w:rFonts w:hint="eastAsia" w:ascii="方正小标宋简体" w:hAnsi="宋体" w:eastAsia="方正小标宋简体"/>
          <w:sz w:val="44"/>
          <w:szCs w:val="44"/>
        </w:rPr>
        <w:t>《郑州商品交易所期权交易管理办法》修改对照表</w:t>
      </w:r>
    </w:p>
    <w:p>
      <w:pPr>
        <w:keepNext w:val="0"/>
        <w:keepLines w:val="0"/>
        <w:pageBreakBefore w:val="0"/>
        <w:widowControl w:val="0"/>
        <w:kinsoku/>
        <w:wordWrap/>
        <w:overflowPunct/>
        <w:topLinePunct w:val="0"/>
        <w:autoSpaceDE/>
        <w:autoSpaceDN/>
        <w:bidi w:val="0"/>
        <w:adjustRightInd/>
        <w:snapToGrid w:val="0"/>
        <w:jc w:val="center"/>
        <w:textAlignment w:val="auto"/>
        <w:outlineLvl w:val="1"/>
        <w:rPr>
          <w:rFonts w:hint="eastAsia" w:ascii="方正小标宋简体" w:hAnsi="宋体" w:eastAsia="方正小标宋简体"/>
          <w:sz w:val="44"/>
          <w:szCs w:val="44"/>
        </w:rPr>
      </w:pPr>
    </w:p>
    <w:p>
      <w:pPr>
        <w:spacing w:line="360" w:lineRule="auto"/>
        <w:ind w:firstLine="640" w:firstLineChars="200"/>
        <w:rPr>
          <w:rFonts w:ascii="楷体" w:hAnsi="楷体" w:eastAsia="楷体" w:cs="Calibri"/>
          <w:sz w:val="28"/>
          <w:szCs w:val="28"/>
        </w:rPr>
      </w:pPr>
      <w:r>
        <w:rPr>
          <w:rFonts w:hint="eastAsia" w:ascii="楷体" w:hAnsi="楷体" w:eastAsia="楷体"/>
          <w:sz w:val="32"/>
          <w:szCs w:val="32"/>
        </w:rPr>
        <w:t>（删除线部分为删除，下划线加粗部分为修改增加）</w:t>
      </w:r>
    </w:p>
    <w:tbl>
      <w:tblPr>
        <w:tblStyle w:val="3"/>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21"/>
        <w:gridCol w:w="4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4321" w:type="dxa"/>
            <w:vAlign w:val="center"/>
          </w:tcPr>
          <w:p>
            <w:pPr>
              <w:jc w:val="center"/>
              <w:rPr>
                <w:rFonts w:ascii="仿宋" w:hAnsi="仿宋" w:eastAsia="仿宋"/>
                <w:b/>
              </w:rPr>
            </w:pPr>
            <w:r>
              <w:rPr>
                <w:rFonts w:hint="eastAsia" w:ascii="仿宋" w:hAnsi="仿宋" w:eastAsia="仿宋"/>
                <w:b/>
              </w:rPr>
              <w:t>现行条文</w:t>
            </w:r>
          </w:p>
        </w:tc>
        <w:tc>
          <w:tcPr>
            <w:tcW w:w="4321" w:type="dxa"/>
            <w:vAlign w:val="center"/>
          </w:tcPr>
          <w:p>
            <w:pPr>
              <w:jc w:val="center"/>
              <w:rPr>
                <w:rFonts w:ascii="仿宋" w:hAnsi="仿宋" w:eastAsia="仿宋"/>
                <w:b/>
              </w:rPr>
            </w:pPr>
            <w:r>
              <w:rPr>
                <w:rFonts w:hint="eastAsia" w:ascii="仿宋" w:hAnsi="仿宋" w:eastAsia="仿宋"/>
                <w:b/>
              </w:rPr>
              <w:t>修改后条文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4321" w:type="dxa"/>
            <w:vAlign w:val="center"/>
          </w:tcPr>
          <w:p>
            <w:pPr>
              <w:ind w:firstLine="420" w:firstLineChars="200"/>
              <w:rPr>
                <w:rFonts w:ascii="仿宋" w:hAnsi="仿宋" w:eastAsia="仿宋"/>
              </w:rPr>
            </w:pPr>
            <w:r>
              <w:rPr>
                <w:rFonts w:hint="eastAsia" w:ascii="仿宋" w:hAnsi="仿宋" w:eastAsia="仿宋"/>
              </w:rPr>
              <w:t>第四条 本办法适用于交易所内的期权交易活动，交易所、会员、做市商、客户、交易所指定的期货保证金存管银行及其他市场参与者应当遵守本办法。</w:t>
            </w:r>
          </w:p>
          <w:p>
            <w:pPr>
              <w:ind w:firstLine="420" w:firstLineChars="200"/>
              <w:rPr>
                <w:rFonts w:ascii="仿宋" w:hAnsi="仿宋" w:eastAsia="仿宋"/>
              </w:rPr>
            </w:pPr>
          </w:p>
        </w:tc>
        <w:tc>
          <w:tcPr>
            <w:tcW w:w="4321" w:type="dxa"/>
            <w:vAlign w:val="center"/>
          </w:tcPr>
          <w:p>
            <w:pPr>
              <w:rPr>
                <w:rFonts w:ascii="仿宋" w:hAnsi="仿宋" w:eastAsia="仿宋"/>
              </w:rPr>
            </w:pPr>
            <w:r>
              <w:rPr>
                <w:rFonts w:hint="eastAsia" w:ascii="仿宋" w:hAnsi="仿宋" w:eastAsia="仿宋"/>
              </w:rPr>
              <w:t>第四条 本办法适用于交易所内的期权交易活动，交易所、会员、做市商、</w:t>
            </w:r>
            <w:r>
              <w:rPr>
                <w:rFonts w:hint="eastAsia" w:ascii="仿宋" w:hAnsi="仿宋" w:eastAsia="仿宋"/>
                <w:b/>
                <w:u w:val="single"/>
              </w:rPr>
              <w:t>境外经纪机构、</w:t>
            </w:r>
            <w:r>
              <w:rPr>
                <w:rFonts w:hint="eastAsia" w:ascii="仿宋" w:hAnsi="仿宋" w:eastAsia="仿宋"/>
              </w:rPr>
              <w:t>客户、交易所指定的期货保证金存管银行及其他市场参与者应当遵守本办法。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6" w:hRule="atLeast"/>
        </w:trPr>
        <w:tc>
          <w:tcPr>
            <w:tcW w:w="4321" w:type="dxa"/>
            <w:vAlign w:val="center"/>
          </w:tcPr>
          <w:p>
            <w:pPr>
              <w:ind w:firstLine="420" w:firstLineChars="200"/>
              <w:rPr>
                <w:rFonts w:ascii="仿宋" w:hAnsi="仿宋" w:eastAsia="仿宋"/>
              </w:rPr>
            </w:pPr>
            <w:r>
              <w:rPr>
                <w:rFonts w:hint="eastAsia" w:ascii="仿宋" w:hAnsi="仿宋" w:eastAsia="仿宋"/>
              </w:rPr>
              <w:t xml:space="preserve">第二十二条 </w:t>
            </w:r>
          </w:p>
          <w:p>
            <w:pPr>
              <w:ind w:firstLine="420" w:firstLineChars="200"/>
              <w:jc w:val="left"/>
              <w:rPr>
                <w:rFonts w:ascii="仿宋" w:hAnsi="仿宋" w:eastAsia="仿宋" w:cs="宋体"/>
                <w:color w:val="000000"/>
                <w:kern w:val="0"/>
                <w:szCs w:val="21"/>
              </w:rPr>
            </w:pPr>
            <w:r>
              <w:rPr>
                <w:rFonts w:hint="eastAsia" w:ascii="仿宋" w:hAnsi="仿宋" w:eastAsia="仿宋" w:cs="宋体"/>
                <w:color w:val="000000"/>
                <w:kern w:val="0"/>
                <w:szCs w:val="21"/>
              </w:rPr>
              <w:t>……</w:t>
            </w:r>
          </w:p>
          <w:p>
            <w:pPr>
              <w:ind w:firstLine="420" w:firstLineChars="200"/>
              <w:rPr>
                <w:rFonts w:ascii="仿宋" w:hAnsi="仿宋" w:eastAsia="仿宋"/>
              </w:rPr>
            </w:pPr>
            <w:r>
              <w:rPr>
                <w:rFonts w:hint="eastAsia" w:ascii="仿宋" w:hAnsi="仿宋" w:eastAsia="仿宋"/>
              </w:rPr>
              <w:t>交易所对市场的询价进行管理，当市场询价出现异常时，交易所可以采取电话提示、要求报告情况等措施，会员和客户应当予以协助和配合。期货公司应当对客户的询价进行管理，要求其合理询价。</w:t>
            </w:r>
          </w:p>
        </w:tc>
        <w:tc>
          <w:tcPr>
            <w:tcW w:w="4321" w:type="dxa"/>
            <w:vAlign w:val="center"/>
          </w:tcPr>
          <w:p>
            <w:pPr>
              <w:ind w:firstLine="420" w:firstLineChars="200"/>
              <w:rPr>
                <w:rFonts w:ascii="仿宋" w:hAnsi="仿宋" w:eastAsia="仿宋"/>
              </w:rPr>
            </w:pPr>
            <w:r>
              <w:rPr>
                <w:rFonts w:hint="eastAsia" w:ascii="仿宋" w:hAnsi="仿宋" w:eastAsia="仿宋"/>
              </w:rPr>
              <w:t xml:space="preserve">第二十二条 </w:t>
            </w:r>
          </w:p>
          <w:p>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w:t>
            </w:r>
          </w:p>
          <w:p>
            <w:pPr>
              <w:ind w:firstLine="420" w:firstLineChars="200"/>
              <w:rPr>
                <w:rFonts w:ascii="仿宋" w:hAnsi="仿宋" w:eastAsia="仿宋"/>
              </w:rPr>
            </w:pPr>
            <w:r>
              <w:rPr>
                <w:rFonts w:hint="eastAsia" w:ascii="仿宋" w:hAnsi="仿宋" w:eastAsia="仿宋"/>
              </w:rPr>
              <w:t>交易所对市场的询价进行管理，当市场询价出现异常时，交易所可以采取电话提示、要求报告情况等措施，会员</w:t>
            </w:r>
            <w:r>
              <w:rPr>
                <w:rFonts w:hint="eastAsia" w:ascii="仿宋" w:hAnsi="仿宋" w:eastAsia="仿宋"/>
                <w:b/>
                <w:u w:val="single"/>
              </w:rPr>
              <w:t>、境外经纪机构</w:t>
            </w:r>
            <w:r>
              <w:rPr>
                <w:rFonts w:hint="eastAsia" w:ascii="仿宋" w:hAnsi="仿宋" w:eastAsia="仿宋"/>
              </w:rPr>
              <w:t>和客户应当予以协助和配合。期货公司</w:t>
            </w:r>
            <w:r>
              <w:rPr>
                <w:rFonts w:hint="eastAsia" w:ascii="仿宋" w:hAnsi="仿宋" w:eastAsia="仿宋"/>
                <w:b/>
                <w:u w:val="single"/>
              </w:rPr>
              <w:t>和境外经纪机构</w:t>
            </w:r>
            <w:r>
              <w:rPr>
                <w:rFonts w:hint="eastAsia" w:ascii="仿宋" w:hAnsi="仿宋" w:eastAsia="仿宋"/>
              </w:rPr>
              <w:t>应当对客户的询价进行管理，要求其合理询价。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321" w:type="dxa"/>
            <w:vAlign w:val="center"/>
          </w:tcPr>
          <w:p>
            <w:pPr>
              <w:ind w:firstLine="420" w:firstLineChars="200"/>
              <w:rPr>
                <w:rFonts w:ascii="仿宋" w:hAnsi="仿宋" w:eastAsia="仿宋"/>
              </w:rPr>
            </w:pPr>
            <w:r>
              <w:rPr>
                <w:rFonts w:hint="eastAsia" w:ascii="仿宋" w:hAnsi="仿宋" w:eastAsia="仿宋"/>
              </w:rPr>
              <w:t>第三十条 客户的行权与履约应当通过会员，并以会员名义在交易所办理。</w:t>
            </w:r>
          </w:p>
        </w:tc>
        <w:tc>
          <w:tcPr>
            <w:tcW w:w="4321" w:type="dxa"/>
            <w:vAlign w:val="center"/>
          </w:tcPr>
          <w:p>
            <w:pPr>
              <w:tabs>
                <w:tab w:val="left" w:pos="1380"/>
              </w:tabs>
              <w:ind w:firstLine="420" w:firstLineChars="200"/>
              <w:rPr>
                <w:rFonts w:ascii="仿宋" w:hAnsi="仿宋" w:eastAsia="仿宋"/>
              </w:rPr>
            </w:pPr>
            <w:r>
              <w:rPr>
                <w:rFonts w:hint="eastAsia" w:ascii="仿宋" w:hAnsi="仿宋" w:eastAsia="仿宋"/>
              </w:rPr>
              <w:t>第三十条 客户的行权与履约应当通过会员，</w:t>
            </w:r>
            <w:r>
              <w:rPr>
                <w:rFonts w:hint="eastAsia" w:ascii="仿宋" w:hAnsi="仿宋" w:eastAsia="仿宋"/>
                <w:b/>
                <w:u w:val="single"/>
              </w:rPr>
              <w:t>或通过境外经纪机构委托会员，</w:t>
            </w:r>
            <w:r>
              <w:rPr>
                <w:rFonts w:hint="eastAsia" w:ascii="仿宋" w:hAnsi="仿宋" w:eastAsia="仿宋"/>
              </w:rPr>
              <w:t>并以会员名义在交易所办理。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321" w:type="dxa"/>
            <w:vAlign w:val="center"/>
          </w:tcPr>
          <w:p>
            <w:pPr>
              <w:ind w:firstLine="420" w:firstLineChars="200"/>
              <w:rPr>
                <w:rFonts w:ascii="仿宋" w:hAnsi="仿宋" w:eastAsia="仿宋"/>
              </w:rPr>
            </w:pPr>
            <w:r>
              <w:rPr>
                <w:rFonts w:hint="eastAsia" w:ascii="仿宋" w:hAnsi="仿宋" w:eastAsia="仿宋"/>
              </w:rPr>
              <w:t>第三十四条 期权合约到期前，会员应当提醒客户妥善处理期权持仓。</w:t>
            </w:r>
          </w:p>
        </w:tc>
        <w:tc>
          <w:tcPr>
            <w:tcW w:w="4321" w:type="dxa"/>
            <w:vAlign w:val="center"/>
          </w:tcPr>
          <w:p>
            <w:pPr>
              <w:tabs>
                <w:tab w:val="left" w:pos="1380"/>
              </w:tabs>
              <w:ind w:firstLine="420" w:firstLineChars="200"/>
              <w:rPr>
                <w:rFonts w:ascii="仿宋" w:hAnsi="仿宋" w:eastAsia="仿宋"/>
              </w:rPr>
            </w:pPr>
            <w:r>
              <w:rPr>
                <w:rFonts w:hint="eastAsia" w:ascii="仿宋" w:hAnsi="仿宋" w:eastAsia="仿宋"/>
              </w:rPr>
              <w:t>第三十四条 期权合约到期前，会员</w:t>
            </w:r>
            <w:r>
              <w:rPr>
                <w:rFonts w:hint="eastAsia" w:ascii="仿宋" w:hAnsi="仿宋" w:eastAsia="仿宋"/>
                <w:b/>
                <w:u w:val="single"/>
              </w:rPr>
              <w:t>、境外经纪机构</w:t>
            </w:r>
            <w:r>
              <w:rPr>
                <w:rFonts w:hint="eastAsia" w:ascii="仿宋" w:hAnsi="仿宋" w:eastAsia="仿宋"/>
              </w:rPr>
              <w:t>应当提醒客户妥善处理期权持仓。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6" w:hRule="atLeast"/>
        </w:trPr>
        <w:tc>
          <w:tcPr>
            <w:tcW w:w="4321" w:type="dxa"/>
            <w:vAlign w:val="center"/>
          </w:tcPr>
          <w:p>
            <w:pPr>
              <w:ind w:firstLine="420" w:firstLineChars="200"/>
              <w:rPr>
                <w:rFonts w:ascii="仿宋" w:hAnsi="仿宋" w:eastAsia="仿宋"/>
              </w:rPr>
            </w:pPr>
            <w:r>
              <w:rPr>
                <w:rFonts w:hint="eastAsia" w:ascii="仿宋" w:hAnsi="仿宋" w:eastAsia="仿宋"/>
              </w:rPr>
              <w:t xml:space="preserve">第三十六条 </w:t>
            </w:r>
          </w:p>
          <w:p>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w:t>
            </w:r>
          </w:p>
          <w:p>
            <w:pPr>
              <w:ind w:firstLine="420" w:firstLineChars="200"/>
              <w:rPr>
                <w:rFonts w:ascii="仿宋" w:hAnsi="仿宋" w:eastAsia="仿宋"/>
              </w:rPr>
            </w:pPr>
            <w:r>
              <w:rPr>
                <w:rFonts w:hint="eastAsia" w:ascii="仿宋" w:hAnsi="仿宋" w:eastAsia="仿宋"/>
              </w:rPr>
              <w:t>买方客户资金不足的，会员不得接受其行权申请。符合本办法第三十五条第（一）、（二）项条件但资金不足的，会员应代买方客户向交易所提交放弃申请。</w:t>
            </w:r>
          </w:p>
        </w:tc>
        <w:tc>
          <w:tcPr>
            <w:tcW w:w="4321" w:type="dxa"/>
            <w:vAlign w:val="center"/>
          </w:tcPr>
          <w:p>
            <w:pPr>
              <w:ind w:firstLine="420" w:firstLineChars="200"/>
              <w:rPr>
                <w:rFonts w:ascii="仿宋" w:hAnsi="仿宋" w:eastAsia="仿宋"/>
              </w:rPr>
            </w:pPr>
            <w:r>
              <w:rPr>
                <w:rFonts w:hint="eastAsia" w:ascii="仿宋" w:hAnsi="仿宋" w:eastAsia="仿宋"/>
              </w:rPr>
              <w:t xml:space="preserve">第三十六条 </w:t>
            </w:r>
          </w:p>
          <w:p>
            <w:pPr>
              <w:ind w:firstLine="420" w:firstLineChars="200"/>
              <w:rPr>
                <w:rFonts w:ascii="仿宋" w:hAnsi="仿宋" w:eastAsia="仿宋" w:cs="宋体"/>
                <w:color w:val="000000"/>
                <w:kern w:val="0"/>
                <w:szCs w:val="21"/>
              </w:rPr>
            </w:pPr>
            <w:r>
              <w:rPr>
                <w:rFonts w:hint="eastAsia" w:ascii="仿宋" w:hAnsi="仿宋" w:eastAsia="仿宋" w:cs="宋体"/>
                <w:color w:val="000000"/>
                <w:kern w:val="0"/>
                <w:szCs w:val="21"/>
              </w:rPr>
              <w:t>……</w:t>
            </w:r>
          </w:p>
          <w:p>
            <w:pPr>
              <w:ind w:firstLine="420" w:firstLineChars="200"/>
              <w:rPr>
                <w:rFonts w:ascii="仿宋" w:hAnsi="仿宋" w:eastAsia="仿宋"/>
              </w:rPr>
            </w:pPr>
            <w:r>
              <w:rPr>
                <w:rFonts w:hint="eastAsia" w:ascii="仿宋" w:hAnsi="仿宋" w:eastAsia="仿宋"/>
              </w:rPr>
              <w:t>买方客户资金不足的，会员</w:t>
            </w:r>
            <w:r>
              <w:rPr>
                <w:rFonts w:hint="eastAsia" w:ascii="仿宋" w:hAnsi="仿宋" w:eastAsia="仿宋"/>
                <w:b/>
                <w:u w:val="single"/>
              </w:rPr>
              <w:t>、境外经纪机构</w:t>
            </w:r>
            <w:r>
              <w:rPr>
                <w:rFonts w:hint="eastAsia" w:ascii="仿宋" w:hAnsi="仿宋" w:eastAsia="仿宋"/>
              </w:rPr>
              <w:t>不得接受其行权申请。符合本办法第三十五条第（一）、（二）项条件但资金不足的，会员应代买方客户</w:t>
            </w:r>
            <w:r>
              <w:rPr>
                <w:rFonts w:hint="eastAsia" w:ascii="仿宋" w:hAnsi="仿宋" w:eastAsia="仿宋"/>
                <w:b/>
                <w:u w:val="single"/>
              </w:rPr>
              <w:t>，或境外经纪机构应代买方客户通过会员</w:t>
            </w:r>
            <w:r>
              <w:rPr>
                <w:rFonts w:hint="eastAsia" w:ascii="仿宋" w:hAnsi="仿宋" w:eastAsia="仿宋"/>
              </w:rPr>
              <w:t>向交易所提交放弃申请。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4321" w:type="dxa"/>
            <w:vAlign w:val="center"/>
          </w:tcPr>
          <w:p>
            <w:pPr>
              <w:ind w:firstLine="420" w:firstLineChars="200"/>
              <w:rPr>
                <w:rFonts w:ascii="仿宋" w:hAnsi="仿宋" w:eastAsia="仿宋"/>
              </w:rPr>
            </w:pPr>
            <w:r>
              <w:rPr>
                <w:rFonts w:hint="eastAsia" w:ascii="仿宋" w:hAnsi="仿宋" w:eastAsia="仿宋"/>
              </w:rPr>
              <w:t>第七十条 会员、信息经营机构和公众媒体以及个人均不得发布虚假或带有误导性质的信息。</w:t>
            </w:r>
          </w:p>
        </w:tc>
        <w:tc>
          <w:tcPr>
            <w:tcW w:w="4321" w:type="dxa"/>
            <w:vAlign w:val="center"/>
          </w:tcPr>
          <w:p>
            <w:pPr>
              <w:ind w:firstLine="420" w:firstLineChars="200"/>
              <w:rPr>
                <w:rFonts w:ascii="仿宋" w:hAnsi="仿宋" w:eastAsia="仿宋"/>
              </w:rPr>
            </w:pPr>
            <w:r>
              <w:rPr>
                <w:rFonts w:hint="eastAsia" w:ascii="仿宋" w:hAnsi="仿宋" w:eastAsia="仿宋"/>
              </w:rPr>
              <w:t xml:space="preserve">第七十条 </w:t>
            </w:r>
            <w:r>
              <w:rPr>
                <w:rFonts w:hint="eastAsia" w:ascii="仿宋" w:hAnsi="仿宋" w:eastAsia="仿宋"/>
                <w:dstrike/>
              </w:rPr>
              <w:t>会员、信息经营机构和公众媒体以及</w:t>
            </w:r>
            <w:r>
              <w:rPr>
                <w:rFonts w:hint="eastAsia" w:ascii="仿宋" w:hAnsi="仿宋" w:eastAsia="仿宋"/>
                <w:b/>
                <w:u w:val="single"/>
              </w:rPr>
              <w:t>任何单位或者</w:t>
            </w:r>
            <w:r>
              <w:rPr>
                <w:rFonts w:hint="eastAsia" w:ascii="仿宋" w:hAnsi="仿宋" w:eastAsia="仿宋"/>
              </w:rPr>
              <w:t>个人</w:t>
            </w:r>
            <w:r>
              <w:rPr>
                <w:rFonts w:hint="eastAsia" w:ascii="仿宋" w:hAnsi="仿宋" w:eastAsia="仿宋"/>
                <w:dstrike/>
              </w:rPr>
              <w:t>均</w:t>
            </w:r>
            <w:r>
              <w:rPr>
                <w:rFonts w:hint="eastAsia" w:ascii="仿宋" w:hAnsi="仿宋" w:eastAsia="仿宋"/>
              </w:rPr>
              <w:t>不得发布虚假或带有误导性质的信息。</w:t>
            </w:r>
          </w:p>
        </w:tc>
      </w:tr>
    </w:tbl>
    <w:p>
      <w:pPr>
        <w:tabs>
          <w:tab w:val="left" w:pos="6495"/>
        </w:tabs>
        <w:ind w:firstLine="640" w:firstLineChars="200"/>
        <w:rPr>
          <w:rFonts w:hAnsi="仿宋" w:eastAsia="仿宋"/>
          <w:sz w:val="32"/>
          <w:szCs w:val="32"/>
        </w:rPr>
      </w:pPr>
      <w:r>
        <w:rPr>
          <w:rFonts w:hAnsi="仿宋" w:eastAsia="仿宋"/>
          <w:sz w:val="32"/>
          <w:szCs w:val="32"/>
        </w:rPr>
        <w:tab/>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3A30DA"/>
    <w:rsid w:val="083A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2022-12-02T10:16:00Z</dcterms:created>
  <dc:creator>张纯熙</dc:creator>
  <cp:lastModifiedBy>张纯熙</cp:lastModifiedBy>
  <dcterms:modified xsi:type="dcterms:W3CDTF">2022-12-02T10:16:55Z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6477A7D6678C4F93B8686899EF2D6BA5</vt:lpwstr>
  </property>
</Properties>
</file>