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706" w:rsidRDefault="00C44706" w:rsidP="000959B9">
      <w:pPr>
        <w:rPr>
          <w:rFonts w:ascii="黑体" w:eastAsia="黑体" w:hAnsi="黑体"/>
          <w:sz w:val="32"/>
          <w:szCs w:val="32"/>
        </w:rPr>
      </w:pPr>
      <w:r w:rsidRPr="00EE4018">
        <w:rPr>
          <w:rFonts w:ascii="黑体" w:eastAsia="黑体" w:hAnsi="黑体"/>
          <w:sz w:val="32"/>
          <w:szCs w:val="32"/>
        </w:rPr>
        <w:t>附件</w:t>
      </w:r>
      <w:r>
        <w:rPr>
          <w:rFonts w:ascii="黑体" w:eastAsia="黑体" w:hAnsi="黑体" w:hint="eastAsia"/>
          <w:sz w:val="32"/>
          <w:szCs w:val="32"/>
        </w:rPr>
        <w:t>12</w:t>
      </w:r>
      <w:r w:rsidRPr="00EE4018">
        <w:rPr>
          <w:rFonts w:ascii="黑体" w:eastAsia="黑体" w:hAnsi="黑体" w:hint="eastAsia"/>
          <w:sz w:val="32"/>
          <w:szCs w:val="32"/>
        </w:rPr>
        <w:t>-</w:t>
      </w:r>
      <w:r>
        <w:rPr>
          <w:rFonts w:ascii="黑体" w:eastAsia="黑体" w:hAnsi="黑体" w:hint="eastAsia"/>
          <w:sz w:val="32"/>
          <w:szCs w:val="32"/>
        </w:rPr>
        <w:t>1</w:t>
      </w:r>
    </w:p>
    <w:p w:rsidR="00591E2A" w:rsidRPr="005311A7" w:rsidRDefault="00591E2A" w:rsidP="00591E2A">
      <w:pPr>
        <w:widowControl/>
        <w:ind w:left="1988" w:hangingChars="450" w:hanging="1988"/>
        <w:jc w:val="center"/>
        <w:rPr>
          <w:rFonts w:ascii="宋体" w:hAnsi="宋体"/>
          <w:b/>
          <w:sz w:val="44"/>
          <w:szCs w:val="44"/>
        </w:rPr>
      </w:pPr>
      <w:r w:rsidRPr="00EA5DBC">
        <w:rPr>
          <w:rFonts w:ascii="宋体" w:hAnsi="宋体" w:hint="eastAsia"/>
          <w:b/>
          <w:sz w:val="44"/>
          <w:szCs w:val="44"/>
        </w:rPr>
        <w:t>郑州商品交易所综合业务平台管理办法</w:t>
      </w:r>
    </w:p>
    <w:p w:rsidR="00591E2A" w:rsidRPr="009025E9" w:rsidRDefault="009025E9" w:rsidP="009025E9">
      <w:pPr>
        <w:spacing w:line="360" w:lineRule="auto"/>
        <w:outlineLvl w:val="0"/>
      </w:pPr>
      <w:r w:rsidRPr="00AF6839">
        <w:rPr>
          <w:rFonts w:ascii="楷体" w:eastAsia="楷体" w:hAnsi="楷体" w:cs="Times New Roman" w:hint="eastAsia"/>
          <w:sz w:val="24"/>
          <w:szCs w:val="24"/>
        </w:rPr>
        <w:t>（</w:t>
      </w:r>
      <w:r w:rsidRPr="00AF6839">
        <w:rPr>
          <w:rFonts w:ascii="楷体" w:eastAsia="楷体" w:hAnsi="楷体" w:hint="eastAsia"/>
          <w:sz w:val="24"/>
          <w:szCs w:val="24"/>
        </w:rPr>
        <w:t>2022年7月29日郑州商品交易所第七届理事会第二十五次会议审议通过，自2022年12月1日开始施行</w:t>
      </w:r>
      <w:r w:rsidRPr="00AF6839">
        <w:rPr>
          <w:rFonts w:ascii="楷体" w:eastAsia="楷体" w:hAnsi="楷体" w:cs="Times New Roman" w:hint="eastAsia"/>
          <w:sz w:val="24"/>
          <w:szCs w:val="24"/>
        </w:rPr>
        <w:t>）</w:t>
      </w:r>
    </w:p>
    <w:p w:rsidR="00591E2A" w:rsidRPr="00DF69FE" w:rsidRDefault="00591E2A" w:rsidP="00591E2A">
      <w:pPr>
        <w:pStyle w:val="2"/>
        <w:ind w:firstLineChars="62" w:firstLine="198"/>
        <w:jc w:val="center"/>
        <w:rPr>
          <w:rFonts w:ascii="黑体" w:eastAsia="黑体" w:hAnsi="黑体"/>
        </w:rPr>
      </w:pPr>
      <w:r w:rsidRPr="00DF69FE">
        <w:rPr>
          <w:rFonts w:ascii="黑体" w:eastAsia="黑体" w:hAnsi="黑体"/>
        </w:rPr>
        <w:t>第一章</w:t>
      </w:r>
      <w:r w:rsidRPr="00DF69FE">
        <w:rPr>
          <w:rFonts w:ascii="黑体" w:eastAsia="黑体" w:hAnsi="黑体" w:hint="eastAsia"/>
        </w:rPr>
        <w:t xml:space="preserve"> 总</w:t>
      </w:r>
      <w:r w:rsidR="001B0C0B">
        <w:rPr>
          <w:rFonts w:ascii="黑体" w:eastAsia="黑体" w:hAnsi="黑体" w:hint="eastAsia"/>
        </w:rPr>
        <w:t xml:space="preserve"> </w:t>
      </w:r>
      <w:r w:rsidRPr="00DF69FE">
        <w:rPr>
          <w:rFonts w:ascii="黑体" w:eastAsia="黑体" w:hAnsi="黑体" w:hint="eastAsia"/>
        </w:rPr>
        <w:t>则</w:t>
      </w:r>
    </w:p>
    <w:p w:rsidR="00591E2A" w:rsidRPr="00591E2A" w:rsidRDefault="00591E2A" w:rsidP="00591E2A">
      <w:pPr>
        <w:pStyle w:val="1"/>
        <w:numPr>
          <w:ilvl w:val="0"/>
          <w:numId w:val="2"/>
        </w:numPr>
        <w:tabs>
          <w:tab w:val="left" w:pos="1620"/>
          <w:tab w:val="left" w:pos="1800"/>
        </w:tabs>
        <w:spacing w:line="360" w:lineRule="auto"/>
        <w:ind w:left="0" w:firstLine="560"/>
        <w:rPr>
          <w:rFonts w:asciiTheme="minorEastAsia" w:eastAsiaTheme="minorEastAsia" w:hAnsiTheme="minorEastAsia"/>
          <w:sz w:val="28"/>
          <w:szCs w:val="28"/>
        </w:rPr>
      </w:pPr>
      <w:r w:rsidRPr="00591E2A">
        <w:rPr>
          <w:rFonts w:asciiTheme="minorEastAsia" w:eastAsiaTheme="minorEastAsia" w:hAnsiTheme="minorEastAsia" w:hint="eastAsia"/>
          <w:sz w:val="28"/>
          <w:szCs w:val="28"/>
        </w:rPr>
        <w:t>为提高郑州商品交易所（以下简称交易所）服务实体经济的能力，为期货交易相关业务提供延伸服务，保障综合业务平台（以下简称平台，英文名称为</w:t>
      </w:r>
      <w:r w:rsidRPr="00591E2A">
        <w:rPr>
          <w:rFonts w:asciiTheme="minorEastAsia" w:eastAsiaTheme="minorEastAsia" w:hAnsiTheme="minorEastAsia"/>
          <w:sz w:val="28"/>
          <w:szCs w:val="28"/>
        </w:rPr>
        <w:t>ZCE Integrated Services Platform，缩写为ZISP</w:t>
      </w:r>
      <w:r w:rsidRPr="00591E2A">
        <w:rPr>
          <w:rFonts w:asciiTheme="minorEastAsia" w:eastAsiaTheme="minorEastAsia" w:hAnsiTheme="minorEastAsia" w:hint="eastAsia"/>
          <w:sz w:val="28"/>
          <w:szCs w:val="28"/>
        </w:rPr>
        <w:t>）有序运行，</w:t>
      </w:r>
      <w:r w:rsidRPr="00591E2A">
        <w:rPr>
          <w:rFonts w:asciiTheme="minorEastAsia" w:eastAsiaTheme="minorEastAsia" w:hAnsiTheme="minorEastAsia"/>
          <w:sz w:val="28"/>
          <w:szCs w:val="28"/>
        </w:rPr>
        <w:t>根据国家有关法律、法规</w:t>
      </w:r>
      <w:r w:rsidRPr="00591E2A">
        <w:rPr>
          <w:rFonts w:asciiTheme="minorEastAsia" w:eastAsiaTheme="minorEastAsia" w:hAnsiTheme="minorEastAsia" w:hint="eastAsia"/>
          <w:sz w:val="28"/>
          <w:szCs w:val="28"/>
        </w:rPr>
        <w:t>、规章以及《郑州商品交易所章程》和《郑州商品交易所交易规则》，制定本办法。</w:t>
      </w:r>
    </w:p>
    <w:p w:rsidR="00591E2A" w:rsidRPr="00591E2A" w:rsidRDefault="00591E2A" w:rsidP="00591E2A">
      <w:pPr>
        <w:pStyle w:val="1"/>
        <w:numPr>
          <w:ilvl w:val="0"/>
          <w:numId w:val="2"/>
        </w:numPr>
        <w:tabs>
          <w:tab w:val="left" w:pos="1620"/>
          <w:tab w:val="left" w:pos="1800"/>
        </w:tabs>
        <w:spacing w:line="360" w:lineRule="auto"/>
        <w:ind w:left="0" w:firstLine="560"/>
        <w:rPr>
          <w:rFonts w:asciiTheme="minorEastAsia" w:eastAsiaTheme="minorEastAsia" w:hAnsiTheme="minorEastAsia"/>
          <w:sz w:val="28"/>
          <w:szCs w:val="28"/>
        </w:rPr>
      </w:pPr>
      <w:r w:rsidRPr="00591E2A">
        <w:rPr>
          <w:rFonts w:asciiTheme="minorEastAsia" w:eastAsiaTheme="minorEastAsia" w:hAnsiTheme="minorEastAsia" w:hint="eastAsia"/>
          <w:sz w:val="28"/>
          <w:szCs w:val="28"/>
        </w:rPr>
        <w:t>交易所</w:t>
      </w:r>
      <w:r w:rsidRPr="00591E2A">
        <w:rPr>
          <w:rFonts w:asciiTheme="minorEastAsia" w:eastAsiaTheme="minorEastAsia" w:hAnsiTheme="minorEastAsia"/>
          <w:sz w:val="28"/>
          <w:szCs w:val="28"/>
        </w:rPr>
        <w:t>、</w:t>
      </w:r>
      <w:r w:rsidRPr="00591E2A">
        <w:rPr>
          <w:rFonts w:asciiTheme="minorEastAsia" w:eastAsiaTheme="minorEastAsia" w:hAnsiTheme="minorEastAsia" w:hint="eastAsia"/>
          <w:sz w:val="28"/>
          <w:szCs w:val="28"/>
        </w:rPr>
        <w:t>期货</w:t>
      </w:r>
      <w:r w:rsidRPr="00591E2A">
        <w:rPr>
          <w:rFonts w:asciiTheme="minorEastAsia" w:eastAsiaTheme="minorEastAsia" w:hAnsiTheme="minorEastAsia"/>
          <w:sz w:val="28"/>
          <w:szCs w:val="28"/>
        </w:rPr>
        <w:t>公司、</w:t>
      </w:r>
      <w:r w:rsidRPr="00591E2A">
        <w:rPr>
          <w:rFonts w:asciiTheme="minorEastAsia" w:eastAsiaTheme="minorEastAsia" w:hAnsiTheme="minorEastAsia" w:hint="eastAsia"/>
          <w:sz w:val="28"/>
          <w:szCs w:val="28"/>
        </w:rPr>
        <w:t>期货保证金存管银行、客户、交易商及其他市场参与者在平台开展业务，应当</w:t>
      </w:r>
      <w:r w:rsidRPr="00591E2A">
        <w:rPr>
          <w:rFonts w:asciiTheme="minorEastAsia" w:eastAsiaTheme="minorEastAsia" w:hAnsiTheme="minorEastAsia"/>
          <w:sz w:val="28"/>
          <w:szCs w:val="28"/>
        </w:rPr>
        <w:t>遵守本</w:t>
      </w:r>
      <w:r w:rsidRPr="00591E2A">
        <w:rPr>
          <w:rFonts w:asciiTheme="minorEastAsia" w:eastAsiaTheme="minorEastAsia" w:hAnsiTheme="minorEastAsia" w:hint="eastAsia"/>
          <w:sz w:val="28"/>
          <w:szCs w:val="28"/>
        </w:rPr>
        <w:t>办法</w:t>
      </w:r>
      <w:r w:rsidRPr="00591E2A">
        <w:rPr>
          <w:rFonts w:asciiTheme="minorEastAsia" w:eastAsiaTheme="minorEastAsia" w:hAnsiTheme="minorEastAsia"/>
          <w:sz w:val="28"/>
          <w:szCs w:val="28"/>
        </w:rPr>
        <w:t>。</w:t>
      </w:r>
    </w:p>
    <w:p w:rsidR="00591E2A" w:rsidRPr="00591E2A" w:rsidRDefault="00591E2A" w:rsidP="00591E2A">
      <w:pPr>
        <w:pStyle w:val="1"/>
        <w:numPr>
          <w:ilvl w:val="0"/>
          <w:numId w:val="2"/>
        </w:numPr>
        <w:tabs>
          <w:tab w:val="left" w:pos="1620"/>
          <w:tab w:val="left" w:pos="1800"/>
        </w:tabs>
        <w:spacing w:line="360" w:lineRule="auto"/>
        <w:ind w:left="0" w:firstLine="560"/>
        <w:rPr>
          <w:rFonts w:asciiTheme="minorEastAsia" w:eastAsiaTheme="minorEastAsia" w:hAnsiTheme="minorEastAsia"/>
          <w:sz w:val="28"/>
          <w:szCs w:val="28"/>
        </w:rPr>
      </w:pPr>
      <w:r w:rsidRPr="00591E2A">
        <w:rPr>
          <w:rFonts w:asciiTheme="minorEastAsia" w:eastAsiaTheme="minorEastAsia" w:hAnsiTheme="minorEastAsia"/>
          <w:sz w:val="28"/>
          <w:szCs w:val="28"/>
        </w:rPr>
        <w:t>交</w:t>
      </w:r>
      <w:r w:rsidRPr="00591E2A">
        <w:rPr>
          <w:rFonts w:asciiTheme="minorEastAsia" w:eastAsiaTheme="minorEastAsia" w:hAnsiTheme="minorEastAsia" w:hint="eastAsia"/>
          <w:sz w:val="28"/>
          <w:szCs w:val="28"/>
        </w:rPr>
        <w:t>易</w:t>
      </w:r>
      <w:r w:rsidRPr="00591E2A">
        <w:rPr>
          <w:rFonts w:asciiTheme="minorEastAsia" w:eastAsiaTheme="minorEastAsia" w:hAnsiTheme="minorEastAsia"/>
          <w:sz w:val="28"/>
          <w:szCs w:val="28"/>
        </w:rPr>
        <w:t>所</w:t>
      </w:r>
      <w:r w:rsidRPr="00591E2A">
        <w:rPr>
          <w:rFonts w:asciiTheme="minorEastAsia" w:eastAsiaTheme="minorEastAsia" w:hAnsiTheme="minorEastAsia" w:hint="eastAsia"/>
          <w:sz w:val="28"/>
          <w:szCs w:val="28"/>
        </w:rPr>
        <w:t>根据公平、公正和诚实信用的原则组织平台业务及其相关活动，履行自律监管职责。</w:t>
      </w:r>
    </w:p>
    <w:p w:rsidR="00591E2A" w:rsidRPr="00DF69FE" w:rsidRDefault="00591E2A" w:rsidP="00591E2A">
      <w:pPr>
        <w:pStyle w:val="2"/>
        <w:ind w:firstLineChars="62" w:firstLine="198"/>
        <w:jc w:val="center"/>
        <w:rPr>
          <w:rFonts w:ascii="黑体" w:eastAsia="黑体" w:hAnsi="黑体"/>
        </w:rPr>
      </w:pPr>
      <w:bookmarkStart w:id="0" w:name="_Toc499133650"/>
      <w:bookmarkStart w:id="1" w:name="_Toc499134521"/>
      <w:r w:rsidRPr="00DF69FE">
        <w:rPr>
          <w:rFonts w:ascii="黑体" w:eastAsia="黑体" w:hAnsi="黑体"/>
        </w:rPr>
        <w:t>第</w:t>
      </w:r>
      <w:r w:rsidRPr="00DF69FE">
        <w:rPr>
          <w:rFonts w:ascii="黑体" w:eastAsia="黑体" w:hAnsi="黑体" w:hint="eastAsia"/>
        </w:rPr>
        <w:t>二</w:t>
      </w:r>
      <w:r w:rsidRPr="00DF69FE">
        <w:rPr>
          <w:rFonts w:ascii="黑体" w:eastAsia="黑体" w:hAnsi="黑体"/>
        </w:rPr>
        <w:t>章</w:t>
      </w:r>
      <w:r w:rsidRPr="00DF69FE">
        <w:rPr>
          <w:rFonts w:ascii="黑体" w:eastAsia="黑体" w:hAnsi="黑体" w:hint="eastAsia"/>
        </w:rPr>
        <w:t xml:space="preserve"> 参与主体</w:t>
      </w:r>
      <w:bookmarkEnd w:id="0"/>
      <w:bookmarkEnd w:id="1"/>
    </w:p>
    <w:p w:rsidR="00591E2A" w:rsidRPr="00591E2A" w:rsidRDefault="00591E2A" w:rsidP="00591E2A">
      <w:pPr>
        <w:pStyle w:val="1"/>
        <w:numPr>
          <w:ilvl w:val="0"/>
          <w:numId w:val="2"/>
        </w:numPr>
        <w:tabs>
          <w:tab w:val="left" w:pos="1620"/>
          <w:tab w:val="left" w:pos="1800"/>
        </w:tabs>
        <w:spacing w:line="360" w:lineRule="auto"/>
        <w:ind w:left="0" w:firstLine="560"/>
        <w:rPr>
          <w:rFonts w:asciiTheme="minorEastAsia" w:eastAsiaTheme="minorEastAsia" w:hAnsiTheme="minorEastAsia"/>
          <w:sz w:val="28"/>
          <w:szCs w:val="28"/>
        </w:rPr>
      </w:pPr>
      <w:r w:rsidRPr="00591E2A">
        <w:rPr>
          <w:rFonts w:asciiTheme="minorEastAsia" w:eastAsiaTheme="minorEastAsia" w:hAnsiTheme="minorEastAsia" w:hint="eastAsia"/>
          <w:sz w:val="28"/>
          <w:szCs w:val="28"/>
        </w:rPr>
        <w:t>非自然人投资者，可以参与平台业务。客户开户时，须签署开户协议和风险揭示书。</w:t>
      </w:r>
    </w:p>
    <w:p w:rsidR="00591E2A" w:rsidRPr="00591E2A" w:rsidRDefault="00591E2A" w:rsidP="00591E2A">
      <w:pPr>
        <w:pStyle w:val="1"/>
        <w:numPr>
          <w:ilvl w:val="0"/>
          <w:numId w:val="2"/>
        </w:numPr>
        <w:tabs>
          <w:tab w:val="left" w:pos="1620"/>
          <w:tab w:val="left" w:pos="1800"/>
        </w:tabs>
        <w:spacing w:line="360" w:lineRule="auto"/>
        <w:ind w:left="0" w:firstLine="560"/>
        <w:rPr>
          <w:rFonts w:asciiTheme="minorEastAsia" w:eastAsiaTheme="minorEastAsia" w:hAnsiTheme="minorEastAsia"/>
          <w:sz w:val="28"/>
          <w:szCs w:val="28"/>
        </w:rPr>
      </w:pPr>
      <w:r w:rsidRPr="00591E2A">
        <w:rPr>
          <w:rFonts w:asciiTheme="minorEastAsia" w:eastAsiaTheme="minorEastAsia" w:hAnsiTheme="minorEastAsia" w:hint="eastAsia"/>
          <w:sz w:val="28"/>
          <w:szCs w:val="28"/>
        </w:rPr>
        <w:t>客户</w:t>
      </w:r>
      <w:r w:rsidRPr="00591E2A">
        <w:rPr>
          <w:rFonts w:asciiTheme="minorEastAsia" w:eastAsiaTheme="minorEastAsia" w:hAnsiTheme="minorEastAsia"/>
          <w:sz w:val="28"/>
          <w:szCs w:val="28"/>
        </w:rPr>
        <w:t>参与</w:t>
      </w:r>
      <w:r w:rsidRPr="00591E2A">
        <w:rPr>
          <w:rFonts w:asciiTheme="minorEastAsia" w:eastAsiaTheme="minorEastAsia" w:hAnsiTheme="minorEastAsia" w:hint="eastAsia"/>
          <w:sz w:val="28"/>
          <w:szCs w:val="28"/>
        </w:rPr>
        <w:t>平台</w:t>
      </w:r>
      <w:r w:rsidRPr="00591E2A">
        <w:rPr>
          <w:rFonts w:asciiTheme="minorEastAsia" w:eastAsiaTheme="minorEastAsia" w:hAnsiTheme="minorEastAsia"/>
          <w:sz w:val="28"/>
          <w:szCs w:val="28"/>
        </w:rPr>
        <w:t>业务</w:t>
      </w:r>
      <w:r w:rsidRPr="00591E2A">
        <w:rPr>
          <w:rFonts w:asciiTheme="minorEastAsia" w:eastAsiaTheme="minorEastAsia" w:hAnsiTheme="minorEastAsia" w:hint="eastAsia"/>
          <w:sz w:val="28"/>
          <w:szCs w:val="28"/>
        </w:rPr>
        <w:t>，</w:t>
      </w:r>
      <w:r w:rsidRPr="00591E2A">
        <w:rPr>
          <w:rFonts w:asciiTheme="minorEastAsia" w:eastAsiaTheme="minorEastAsia" w:hAnsiTheme="minorEastAsia"/>
          <w:sz w:val="28"/>
          <w:szCs w:val="28"/>
        </w:rPr>
        <w:t>应</w:t>
      </w:r>
      <w:r w:rsidRPr="00591E2A">
        <w:rPr>
          <w:rFonts w:asciiTheme="minorEastAsia" w:eastAsiaTheme="minorEastAsia" w:hAnsiTheme="minorEastAsia" w:hint="eastAsia"/>
          <w:sz w:val="28"/>
          <w:szCs w:val="28"/>
        </w:rPr>
        <w:t>按要求办理</w:t>
      </w:r>
      <w:r w:rsidRPr="00591E2A">
        <w:rPr>
          <w:rFonts w:asciiTheme="minorEastAsia" w:eastAsiaTheme="minorEastAsia" w:hAnsiTheme="minorEastAsia"/>
          <w:sz w:val="28"/>
          <w:szCs w:val="28"/>
        </w:rPr>
        <w:t>交易所认可的认证机构颁发的数字认证证书</w:t>
      </w:r>
      <w:r w:rsidRPr="00591E2A">
        <w:rPr>
          <w:rFonts w:asciiTheme="minorEastAsia" w:eastAsiaTheme="minorEastAsia" w:hAnsiTheme="minorEastAsia" w:hint="eastAsia"/>
          <w:sz w:val="28"/>
          <w:szCs w:val="28"/>
        </w:rPr>
        <w:t>，用于登录客户端、进入协商交易、电子签章等环节</w:t>
      </w:r>
      <w:r w:rsidRPr="00591E2A">
        <w:rPr>
          <w:rFonts w:asciiTheme="minorEastAsia" w:eastAsiaTheme="minorEastAsia" w:hAnsiTheme="minorEastAsia"/>
          <w:sz w:val="28"/>
          <w:szCs w:val="28"/>
        </w:rPr>
        <w:t>的身份认证</w:t>
      </w:r>
      <w:r w:rsidRPr="00591E2A">
        <w:rPr>
          <w:rFonts w:asciiTheme="minorEastAsia" w:eastAsiaTheme="minorEastAsia" w:hAnsiTheme="minorEastAsia" w:hint="eastAsia"/>
          <w:sz w:val="28"/>
          <w:szCs w:val="28"/>
        </w:rPr>
        <w:t>。</w:t>
      </w:r>
    </w:p>
    <w:p w:rsidR="00591E2A" w:rsidRPr="00591E2A" w:rsidRDefault="00591E2A" w:rsidP="00591E2A">
      <w:pPr>
        <w:pStyle w:val="1"/>
        <w:numPr>
          <w:ilvl w:val="0"/>
          <w:numId w:val="2"/>
        </w:numPr>
        <w:tabs>
          <w:tab w:val="left" w:pos="1620"/>
          <w:tab w:val="left" w:pos="1800"/>
        </w:tabs>
        <w:spacing w:line="360" w:lineRule="auto"/>
        <w:ind w:left="0" w:firstLine="560"/>
        <w:rPr>
          <w:rFonts w:asciiTheme="minorEastAsia" w:eastAsiaTheme="minorEastAsia" w:hAnsiTheme="minorEastAsia"/>
          <w:sz w:val="28"/>
          <w:szCs w:val="28"/>
        </w:rPr>
      </w:pPr>
      <w:r w:rsidRPr="00591E2A">
        <w:rPr>
          <w:rFonts w:asciiTheme="minorEastAsia" w:eastAsiaTheme="minorEastAsia" w:hAnsiTheme="minorEastAsia" w:hint="eastAsia"/>
          <w:sz w:val="28"/>
          <w:szCs w:val="28"/>
        </w:rPr>
        <w:t>客户直接通过平台注册开户。客户开户时，交易所可委托期货公司提供协助。</w:t>
      </w:r>
    </w:p>
    <w:p w:rsidR="00591E2A" w:rsidRPr="00591E2A" w:rsidRDefault="00591E2A" w:rsidP="00591E2A">
      <w:pPr>
        <w:pStyle w:val="1"/>
        <w:numPr>
          <w:ilvl w:val="0"/>
          <w:numId w:val="2"/>
        </w:numPr>
        <w:tabs>
          <w:tab w:val="left" w:pos="1620"/>
          <w:tab w:val="left" w:pos="1800"/>
        </w:tabs>
        <w:spacing w:line="360" w:lineRule="auto"/>
        <w:ind w:left="0" w:firstLine="560"/>
        <w:rPr>
          <w:rFonts w:asciiTheme="minorEastAsia" w:eastAsiaTheme="minorEastAsia" w:hAnsiTheme="minorEastAsia"/>
          <w:sz w:val="28"/>
          <w:szCs w:val="28"/>
        </w:rPr>
      </w:pPr>
      <w:r w:rsidRPr="00591E2A">
        <w:rPr>
          <w:rFonts w:asciiTheme="minorEastAsia" w:eastAsiaTheme="minorEastAsia" w:hAnsiTheme="minorEastAsia" w:hint="eastAsia"/>
          <w:sz w:val="28"/>
          <w:szCs w:val="28"/>
        </w:rPr>
        <w:t>客户应当</w:t>
      </w:r>
      <w:r w:rsidRPr="00591E2A">
        <w:rPr>
          <w:rFonts w:asciiTheme="minorEastAsia" w:eastAsiaTheme="minorEastAsia" w:hAnsiTheme="minorEastAsia"/>
          <w:sz w:val="28"/>
          <w:szCs w:val="28"/>
        </w:rPr>
        <w:t>根据自身风险承受能力、</w:t>
      </w:r>
      <w:r w:rsidRPr="00591E2A">
        <w:rPr>
          <w:rFonts w:asciiTheme="minorEastAsia" w:eastAsiaTheme="minorEastAsia" w:hAnsiTheme="minorEastAsia" w:hint="eastAsia"/>
          <w:sz w:val="28"/>
          <w:szCs w:val="28"/>
        </w:rPr>
        <w:t>对平台</w:t>
      </w:r>
      <w:r w:rsidRPr="00591E2A">
        <w:rPr>
          <w:rFonts w:asciiTheme="minorEastAsia" w:eastAsiaTheme="minorEastAsia" w:hAnsiTheme="minorEastAsia"/>
          <w:sz w:val="28"/>
          <w:szCs w:val="28"/>
        </w:rPr>
        <w:t>业务的认知能</w:t>
      </w:r>
      <w:r w:rsidRPr="00591E2A">
        <w:rPr>
          <w:rFonts w:asciiTheme="minorEastAsia" w:eastAsiaTheme="minorEastAsia" w:hAnsiTheme="minorEastAsia"/>
          <w:sz w:val="28"/>
          <w:szCs w:val="28"/>
        </w:rPr>
        <w:lastRenderedPageBreak/>
        <w:t>力</w:t>
      </w:r>
      <w:r w:rsidRPr="00591E2A">
        <w:rPr>
          <w:rFonts w:asciiTheme="minorEastAsia" w:eastAsiaTheme="minorEastAsia" w:hAnsiTheme="minorEastAsia" w:hint="eastAsia"/>
          <w:sz w:val="28"/>
          <w:szCs w:val="28"/>
        </w:rPr>
        <w:t>，审慎决定</w:t>
      </w:r>
      <w:r w:rsidRPr="00591E2A">
        <w:rPr>
          <w:rFonts w:asciiTheme="minorEastAsia" w:eastAsiaTheme="minorEastAsia" w:hAnsiTheme="minorEastAsia"/>
          <w:sz w:val="28"/>
          <w:szCs w:val="28"/>
        </w:rPr>
        <w:t>是否参与</w:t>
      </w:r>
      <w:r w:rsidRPr="00591E2A">
        <w:rPr>
          <w:rFonts w:asciiTheme="minorEastAsia" w:eastAsiaTheme="minorEastAsia" w:hAnsiTheme="minorEastAsia" w:hint="eastAsia"/>
          <w:sz w:val="28"/>
          <w:szCs w:val="28"/>
        </w:rPr>
        <w:t>平台</w:t>
      </w:r>
      <w:r w:rsidRPr="00591E2A">
        <w:rPr>
          <w:rFonts w:asciiTheme="minorEastAsia" w:eastAsiaTheme="minorEastAsia" w:hAnsiTheme="minorEastAsia"/>
          <w:sz w:val="28"/>
          <w:szCs w:val="28"/>
        </w:rPr>
        <w:t>业务</w:t>
      </w:r>
      <w:r w:rsidRPr="00591E2A">
        <w:rPr>
          <w:rFonts w:asciiTheme="minorEastAsia" w:eastAsiaTheme="minorEastAsia" w:hAnsiTheme="minorEastAsia" w:hint="eastAsia"/>
          <w:sz w:val="28"/>
          <w:szCs w:val="28"/>
        </w:rPr>
        <w:t>，并</w:t>
      </w:r>
      <w:r w:rsidRPr="00591E2A">
        <w:rPr>
          <w:rFonts w:asciiTheme="minorEastAsia" w:eastAsiaTheme="minorEastAsia" w:hAnsiTheme="minorEastAsia"/>
          <w:sz w:val="28"/>
          <w:szCs w:val="28"/>
        </w:rPr>
        <w:t>自行承担风险。</w:t>
      </w:r>
    </w:p>
    <w:p w:rsidR="00591E2A" w:rsidRPr="00591E2A" w:rsidRDefault="00591E2A" w:rsidP="00591E2A">
      <w:pPr>
        <w:pStyle w:val="1"/>
        <w:numPr>
          <w:ilvl w:val="0"/>
          <w:numId w:val="2"/>
        </w:numPr>
        <w:tabs>
          <w:tab w:val="left" w:pos="1620"/>
          <w:tab w:val="left" w:pos="1800"/>
        </w:tabs>
        <w:spacing w:line="360" w:lineRule="auto"/>
        <w:ind w:left="0" w:firstLine="560"/>
        <w:rPr>
          <w:rFonts w:asciiTheme="minorEastAsia" w:eastAsiaTheme="minorEastAsia" w:hAnsiTheme="minorEastAsia"/>
          <w:sz w:val="28"/>
          <w:szCs w:val="28"/>
        </w:rPr>
      </w:pPr>
      <w:r w:rsidRPr="00591E2A">
        <w:rPr>
          <w:rFonts w:asciiTheme="minorEastAsia" w:eastAsiaTheme="minorEastAsia" w:hAnsiTheme="minorEastAsia"/>
          <w:sz w:val="28"/>
          <w:szCs w:val="28"/>
        </w:rPr>
        <w:t>交易商是交易所</w:t>
      </w:r>
      <w:r w:rsidRPr="00591E2A">
        <w:rPr>
          <w:rFonts w:asciiTheme="minorEastAsia" w:eastAsiaTheme="minorEastAsia" w:hAnsiTheme="minorEastAsia" w:hint="eastAsia"/>
          <w:sz w:val="28"/>
          <w:szCs w:val="28"/>
        </w:rPr>
        <w:t>认可</w:t>
      </w:r>
      <w:r w:rsidRPr="00591E2A">
        <w:rPr>
          <w:rFonts w:asciiTheme="minorEastAsia" w:eastAsiaTheme="minorEastAsia" w:hAnsiTheme="minorEastAsia"/>
          <w:sz w:val="28"/>
          <w:szCs w:val="28"/>
        </w:rPr>
        <w:t>的</w:t>
      </w:r>
      <w:r w:rsidRPr="00591E2A">
        <w:rPr>
          <w:rFonts w:asciiTheme="minorEastAsia" w:eastAsiaTheme="minorEastAsia" w:hAnsiTheme="minorEastAsia" w:hint="eastAsia"/>
          <w:sz w:val="28"/>
          <w:szCs w:val="28"/>
        </w:rPr>
        <w:t>为平台业务提供报价服务的机构客户。</w:t>
      </w:r>
    </w:p>
    <w:p w:rsidR="00591E2A" w:rsidRPr="00591E2A" w:rsidRDefault="00591E2A" w:rsidP="00591E2A">
      <w:pPr>
        <w:pStyle w:val="1"/>
        <w:numPr>
          <w:ilvl w:val="0"/>
          <w:numId w:val="2"/>
        </w:numPr>
        <w:tabs>
          <w:tab w:val="left" w:pos="1620"/>
          <w:tab w:val="left" w:pos="1800"/>
        </w:tabs>
        <w:spacing w:line="360" w:lineRule="auto"/>
        <w:ind w:left="0" w:firstLine="560"/>
        <w:rPr>
          <w:rFonts w:asciiTheme="minorEastAsia" w:eastAsiaTheme="minorEastAsia" w:hAnsiTheme="minorEastAsia"/>
          <w:sz w:val="28"/>
          <w:szCs w:val="28"/>
        </w:rPr>
      </w:pPr>
      <w:r w:rsidRPr="00591E2A">
        <w:rPr>
          <w:rFonts w:asciiTheme="minorEastAsia" w:eastAsiaTheme="minorEastAsia" w:hAnsiTheme="minorEastAsia" w:hint="eastAsia"/>
          <w:sz w:val="28"/>
          <w:szCs w:val="28"/>
        </w:rPr>
        <w:t>客户申请成为交易商，应当具备下列条件：</w:t>
      </w:r>
    </w:p>
    <w:p w:rsidR="00591E2A" w:rsidRPr="00591E2A" w:rsidRDefault="00591E2A" w:rsidP="00591E2A">
      <w:pPr>
        <w:pStyle w:val="1"/>
        <w:tabs>
          <w:tab w:val="left" w:pos="1620"/>
          <w:tab w:val="left" w:pos="1800"/>
        </w:tabs>
        <w:spacing w:line="360" w:lineRule="auto"/>
        <w:ind w:firstLine="560"/>
        <w:rPr>
          <w:rFonts w:asciiTheme="minorEastAsia" w:eastAsiaTheme="minorEastAsia" w:hAnsiTheme="minorEastAsia"/>
          <w:sz w:val="28"/>
          <w:szCs w:val="28"/>
        </w:rPr>
      </w:pPr>
      <w:r w:rsidRPr="00591E2A">
        <w:rPr>
          <w:rFonts w:asciiTheme="minorEastAsia" w:eastAsiaTheme="minorEastAsia" w:hAnsiTheme="minorEastAsia" w:hint="eastAsia"/>
          <w:sz w:val="28"/>
          <w:szCs w:val="28"/>
        </w:rPr>
        <w:t>（一）具有专门机构和人员负责报价业务，报价人员应当熟悉相关法律法规和交易所业务规则；</w:t>
      </w:r>
    </w:p>
    <w:p w:rsidR="00591E2A" w:rsidRPr="00591E2A" w:rsidRDefault="00591E2A" w:rsidP="00591E2A">
      <w:pPr>
        <w:pStyle w:val="1"/>
        <w:tabs>
          <w:tab w:val="left" w:pos="1620"/>
          <w:tab w:val="left" w:pos="1800"/>
        </w:tabs>
        <w:spacing w:line="360" w:lineRule="auto"/>
        <w:ind w:firstLine="560"/>
        <w:rPr>
          <w:rFonts w:asciiTheme="minorEastAsia" w:eastAsiaTheme="minorEastAsia" w:hAnsiTheme="minorEastAsia"/>
          <w:sz w:val="28"/>
          <w:szCs w:val="28"/>
        </w:rPr>
      </w:pPr>
      <w:r w:rsidRPr="00591E2A">
        <w:rPr>
          <w:rFonts w:asciiTheme="minorEastAsia" w:eastAsiaTheme="minorEastAsia" w:hAnsiTheme="minorEastAsia" w:hint="eastAsia"/>
          <w:sz w:val="28"/>
          <w:szCs w:val="28"/>
        </w:rPr>
        <w:t>（二）具有健全的业务实施方案、内部控制制度和风险管理制度；</w:t>
      </w:r>
    </w:p>
    <w:p w:rsidR="00591E2A" w:rsidRPr="00591E2A" w:rsidRDefault="00591E2A" w:rsidP="00591E2A">
      <w:pPr>
        <w:pStyle w:val="1"/>
        <w:tabs>
          <w:tab w:val="left" w:pos="1620"/>
          <w:tab w:val="left" w:pos="1800"/>
        </w:tabs>
        <w:spacing w:line="360" w:lineRule="auto"/>
        <w:ind w:firstLine="560"/>
        <w:rPr>
          <w:rFonts w:asciiTheme="minorEastAsia" w:eastAsiaTheme="minorEastAsia" w:hAnsiTheme="minorEastAsia"/>
          <w:sz w:val="28"/>
          <w:szCs w:val="28"/>
        </w:rPr>
      </w:pPr>
      <w:r w:rsidRPr="00591E2A">
        <w:rPr>
          <w:rFonts w:asciiTheme="minorEastAsia" w:eastAsiaTheme="minorEastAsia" w:hAnsiTheme="minorEastAsia" w:hint="eastAsia"/>
          <w:sz w:val="28"/>
          <w:szCs w:val="28"/>
        </w:rPr>
        <w:t>（三）具备开展报价业务的技术条件；</w:t>
      </w:r>
    </w:p>
    <w:p w:rsidR="00591E2A" w:rsidRPr="00591E2A" w:rsidRDefault="00591E2A" w:rsidP="00591E2A">
      <w:pPr>
        <w:pStyle w:val="1"/>
        <w:tabs>
          <w:tab w:val="left" w:pos="1620"/>
          <w:tab w:val="left" w:pos="1800"/>
        </w:tabs>
        <w:spacing w:line="360" w:lineRule="auto"/>
        <w:ind w:firstLine="560"/>
        <w:rPr>
          <w:rFonts w:asciiTheme="minorEastAsia" w:eastAsiaTheme="minorEastAsia" w:hAnsiTheme="minorEastAsia"/>
          <w:sz w:val="28"/>
          <w:szCs w:val="28"/>
        </w:rPr>
      </w:pPr>
      <w:r w:rsidRPr="00591E2A">
        <w:rPr>
          <w:rFonts w:asciiTheme="minorEastAsia" w:eastAsiaTheme="minorEastAsia" w:hAnsiTheme="minorEastAsia" w:hint="eastAsia"/>
          <w:sz w:val="28"/>
          <w:szCs w:val="28"/>
        </w:rPr>
        <w:t>（四）具有较好的客户基础和业务经验；</w:t>
      </w:r>
    </w:p>
    <w:p w:rsidR="00591E2A" w:rsidRPr="00591E2A" w:rsidRDefault="00591E2A" w:rsidP="00591E2A">
      <w:pPr>
        <w:pStyle w:val="1"/>
        <w:tabs>
          <w:tab w:val="left" w:pos="1620"/>
          <w:tab w:val="left" w:pos="1800"/>
        </w:tabs>
        <w:spacing w:line="360" w:lineRule="auto"/>
        <w:ind w:firstLine="560"/>
        <w:rPr>
          <w:rFonts w:asciiTheme="minorEastAsia" w:eastAsiaTheme="minorEastAsia" w:hAnsiTheme="minorEastAsia"/>
          <w:sz w:val="28"/>
          <w:szCs w:val="28"/>
        </w:rPr>
      </w:pPr>
      <w:r w:rsidRPr="00591E2A">
        <w:rPr>
          <w:rFonts w:asciiTheme="minorEastAsia" w:eastAsiaTheme="minorEastAsia" w:hAnsiTheme="minorEastAsia" w:hint="eastAsia"/>
          <w:sz w:val="28"/>
          <w:szCs w:val="28"/>
        </w:rPr>
        <w:t>（五）近二年无重大违法违规记录；</w:t>
      </w:r>
    </w:p>
    <w:p w:rsidR="00591E2A" w:rsidRPr="00591E2A" w:rsidRDefault="00591E2A" w:rsidP="00591E2A">
      <w:pPr>
        <w:pStyle w:val="1"/>
        <w:tabs>
          <w:tab w:val="left" w:pos="1620"/>
          <w:tab w:val="left" w:pos="1800"/>
        </w:tabs>
        <w:spacing w:line="360" w:lineRule="auto"/>
        <w:ind w:firstLine="560"/>
        <w:rPr>
          <w:rFonts w:asciiTheme="minorEastAsia" w:eastAsiaTheme="minorEastAsia" w:hAnsiTheme="minorEastAsia"/>
          <w:sz w:val="28"/>
          <w:szCs w:val="28"/>
        </w:rPr>
      </w:pPr>
      <w:r w:rsidRPr="00591E2A">
        <w:rPr>
          <w:rFonts w:asciiTheme="minorEastAsia" w:eastAsiaTheme="minorEastAsia" w:hAnsiTheme="minorEastAsia" w:hint="eastAsia"/>
          <w:sz w:val="28"/>
          <w:szCs w:val="28"/>
        </w:rPr>
        <w:t>（六）交易所要求的其他条件。</w:t>
      </w:r>
    </w:p>
    <w:p w:rsidR="00591E2A" w:rsidRPr="00591E2A" w:rsidRDefault="00591E2A" w:rsidP="00591E2A">
      <w:pPr>
        <w:pStyle w:val="1"/>
        <w:numPr>
          <w:ilvl w:val="0"/>
          <w:numId w:val="2"/>
        </w:numPr>
        <w:tabs>
          <w:tab w:val="left" w:pos="1620"/>
          <w:tab w:val="left" w:pos="1800"/>
        </w:tabs>
        <w:spacing w:line="360" w:lineRule="auto"/>
        <w:ind w:left="0" w:firstLine="560"/>
        <w:rPr>
          <w:rFonts w:asciiTheme="minorEastAsia" w:eastAsiaTheme="minorEastAsia" w:hAnsiTheme="minorEastAsia"/>
          <w:sz w:val="28"/>
          <w:szCs w:val="28"/>
        </w:rPr>
      </w:pPr>
      <w:r w:rsidRPr="00591E2A">
        <w:rPr>
          <w:rFonts w:asciiTheme="minorEastAsia" w:eastAsiaTheme="minorEastAsia" w:hAnsiTheme="minorEastAsia"/>
          <w:sz w:val="28"/>
          <w:szCs w:val="28"/>
        </w:rPr>
        <w:t>交易商</w:t>
      </w:r>
      <w:r w:rsidRPr="00591E2A">
        <w:rPr>
          <w:rFonts w:asciiTheme="minorEastAsia" w:eastAsiaTheme="minorEastAsia" w:hAnsiTheme="minorEastAsia" w:hint="eastAsia"/>
          <w:sz w:val="28"/>
          <w:szCs w:val="28"/>
        </w:rPr>
        <w:t>按照交易所规定进行报价，并</w:t>
      </w:r>
      <w:r w:rsidRPr="00591E2A">
        <w:rPr>
          <w:rFonts w:asciiTheme="minorEastAsia" w:eastAsiaTheme="minorEastAsia" w:hAnsiTheme="minorEastAsia"/>
          <w:sz w:val="28"/>
          <w:szCs w:val="28"/>
        </w:rPr>
        <w:t>享有进入机构</w:t>
      </w:r>
      <w:r w:rsidRPr="00591E2A">
        <w:rPr>
          <w:rFonts w:asciiTheme="minorEastAsia" w:eastAsiaTheme="minorEastAsia" w:hAnsiTheme="minorEastAsia" w:hint="eastAsia"/>
          <w:sz w:val="28"/>
          <w:szCs w:val="28"/>
        </w:rPr>
        <w:t>群组、管理</w:t>
      </w:r>
      <w:r w:rsidRPr="00591E2A">
        <w:rPr>
          <w:rFonts w:asciiTheme="minorEastAsia" w:eastAsiaTheme="minorEastAsia" w:hAnsiTheme="minorEastAsia"/>
          <w:sz w:val="28"/>
          <w:szCs w:val="28"/>
        </w:rPr>
        <w:t>客户群组</w:t>
      </w:r>
      <w:r w:rsidRPr="00591E2A">
        <w:rPr>
          <w:rFonts w:asciiTheme="minorEastAsia" w:eastAsiaTheme="minorEastAsia" w:hAnsiTheme="minorEastAsia" w:hint="eastAsia"/>
          <w:sz w:val="28"/>
          <w:szCs w:val="28"/>
        </w:rPr>
        <w:t>、</w:t>
      </w:r>
      <w:r w:rsidRPr="00591E2A">
        <w:rPr>
          <w:rFonts w:asciiTheme="minorEastAsia" w:eastAsiaTheme="minorEastAsia" w:hAnsiTheme="minorEastAsia"/>
          <w:sz w:val="28"/>
          <w:szCs w:val="28"/>
        </w:rPr>
        <w:t>费用减</w:t>
      </w:r>
      <w:r w:rsidRPr="00591E2A">
        <w:rPr>
          <w:rFonts w:asciiTheme="minorEastAsia" w:eastAsiaTheme="minorEastAsia" w:hAnsiTheme="minorEastAsia" w:hint="eastAsia"/>
          <w:sz w:val="28"/>
          <w:szCs w:val="28"/>
        </w:rPr>
        <w:t>收</w:t>
      </w:r>
      <w:r w:rsidRPr="00591E2A">
        <w:rPr>
          <w:rFonts w:asciiTheme="minorEastAsia" w:eastAsiaTheme="minorEastAsia" w:hAnsiTheme="minorEastAsia"/>
          <w:sz w:val="28"/>
          <w:szCs w:val="28"/>
        </w:rPr>
        <w:t>等权利</w:t>
      </w:r>
      <w:r w:rsidRPr="00591E2A">
        <w:rPr>
          <w:rFonts w:asciiTheme="minorEastAsia" w:eastAsiaTheme="minorEastAsia" w:hAnsiTheme="minorEastAsia" w:hint="eastAsia"/>
          <w:sz w:val="28"/>
          <w:szCs w:val="28"/>
        </w:rPr>
        <w:t>。</w:t>
      </w:r>
    </w:p>
    <w:p w:rsidR="00591E2A" w:rsidRPr="007901D1" w:rsidRDefault="00591E2A" w:rsidP="00591E2A">
      <w:pPr>
        <w:pStyle w:val="1"/>
        <w:tabs>
          <w:tab w:val="left" w:pos="1620"/>
          <w:tab w:val="left" w:pos="1800"/>
        </w:tabs>
        <w:spacing w:line="360" w:lineRule="auto"/>
        <w:ind w:left="640" w:firstLineChars="0" w:firstLine="0"/>
        <w:jc w:val="center"/>
        <w:rPr>
          <w:rFonts w:ascii="黑体" w:eastAsia="黑体" w:hAnsi="黑体"/>
          <w:sz w:val="32"/>
          <w:szCs w:val="32"/>
        </w:rPr>
      </w:pPr>
      <w:r w:rsidRPr="007901D1">
        <w:rPr>
          <w:rFonts w:ascii="黑体" w:eastAsia="黑体" w:hAnsi="黑体" w:hint="eastAsia"/>
          <w:sz w:val="32"/>
          <w:szCs w:val="32"/>
        </w:rPr>
        <w:t>第</w:t>
      </w:r>
      <w:r>
        <w:rPr>
          <w:rFonts w:ascii="黑体" w:eastAsia="黑体" w:hAnsi="黑体" w:hint="eastAsia"/>
          <w:sz w:val="32"/>
          <w:szCs w:val="32"/>
        </w:rPr>
        <w:t>三</w:t>
      </w:r>
      <w:r w:rsidRPr="007901D1">
        <w:rPr>
          <w:rFonts w:ascii="黑体" w:eastAsia="黑体" w:hAnsi="黑体" w:hint="eastAsia"/>
          <w:sz w:val="32"/>
          <w:szCs w:val="32"/>
        </w:rPr>
        <w:t>章 交易业务</w:t>
      </w:r>
    </w:p>
    <w:p w:rsidR="00591E2A" w:rsidRPr="00591E2A" w:rsidRDefault="00591E2A" w:rsidP="00591E2A">
      <w:pPr>
        <w:pStyle w:val="1"/>
        <w:numPr>
          <w:ilvl w:val="0"/>
          <w:numId w:val="2"/>
        </w:numPr>
        <w:tabs>
          <w:tab w:val="left" w:pos="1620"/>
          <w:tab w:val="left" w:pos="1800"/>
        </w:tabs>
        <w:spacing w:line="360" w:lineRule="auto"/>
        <w:ind w:left="0" w:firstLine="560"/>
        <w:rPr>
          <w:rFonts w:asciiTheme="minorEastAsia" w:eastAsiaTheme="minorEastAsia" w:hAnsiTheme="minorEastAsia"/>
          <w:sz w:val="28"/>
          <w:szCs w:val="28"/>
        </w:rPr>
      </w:pPr>
      <w:r w:rsidRPr="00591E2A">
        <w:rPr>
          <w:rFonts w:asciiTheme="minorEastAsia" w:eastAsiaTheme="minorEastAsia" w:hAnsiTheme="minorEastAsia" w:hint="eastAsia"/>
          <w:sz w:val="28"/>
          <w:szCs w:val="28"/>
        </w:rPr>
        <w:t>平台业务种类包括仓单交易、基差贸易、仓单质押式回购、仓单竞拍、场外期权、商品互换以及交易所推出的其他业务，具体业务种类由业务指引另行规定。</w:t>
      </w:r>
    </w:p>
    <w:p w:rsidR="00591E2A" w:rsidRPr="00591E2A" w:rsidRDefault="00591E2A" w:rsidP="00591E2A">
      <w:pPr>
        <w:pStyle w:val="1"/>
        <w:numPr>
          <w:ilvl w:val="0"/>
          <w:numId w:val="2"/>
        </w:numPr>
        <w:tabs>
          <w:tab w:val="left" w:pos="1620"/>
          <w:tab w:val="left" w:pos="1800"/>
        </w:tabs>
        <w:spacing w:line="360" w:lineRule="auto"/>
        <w:ind w:left="0" w:firstLine="560"/>
        <w:rPr>
          <w:rFonts w:asciiTheme="minorEastAsia" w:eastAsiaTheme="minorEastAsia" w:hAnsiTheme="minorEastAsia"/>
          <w:sz w:val="28"/>
          <w:szCs w:val="28"/>
        </w:rPr>
      </w:pPr>
      <w:r w:rsidRPr="00591E2A">
        <w:rPr>
          <w:rFonts w:asciiTheme="minorEastAsia" w:eastAsiaTheme="minorEastAsia" w:hAnsiTheme="minorEastAsia" w:hint="eastAsia"/>
          <w:sz w:val="28"/>
          <w:szCs w:val="28"/>
        </w:rPr>
        <w:t>平台交易方式包括挂牌交易和协商交易。交易所根据各业务特点和市场需求，实行一种或多种交易方式。</w:t>
      </w:r>
    </w:p>
    <w:p w:rsidR="00591E2A" w:rsidRPr="00591E2A" w:rsidRDefault="00591E2A" w:rsidP="00591E2A">
      <w:pPr>
        <w:pStyle w:val="1"/>
        <w:numPr>
          <w:ilvl w:val="0"/>
          <w:numId w:val="2"/>
        </w:numPr>
        <w:tabs>
          <w:tab w:val="left" w:pos="1620"/>
          <w:tab w:val="left" w:pos="1800"/>
        </w:tabs>
        <w:spacing w:line="360" w:lineRule="auto"/>
        <w:ind w:left="0" w:firstLine="560"/>
        <w:rPr>
          <w:rFonts w:asciiTheme="minorEastAsia" w:eastAsiaTheme="minorEastAsia" w:hAnsiTheme="minorEastAsia"/>
          <w:sz w:val="28"/>
          <w:szCs w:val="28"/>
        </w:rPr>
      </w:pPr>
      <w:r w:rsidRPr="00591E2A">
        <w:rPr>
          <w:rFonts w:asciiTheme="minorEastAsia" w:eastAsiaTheme="minorEastAsia" w:hAnsiTheme="minorEastAsia" w:hint="eastAsia"/>
          <w:sz w:val="28"/>
          <w:szCs w:val="28"/>
        </w:rPr>
        <w:t>平台</w:t>
      </w:r>
      <w:r w:rsidRPr="00591E2A">
        <w:rPr>
          <w:rFonts w:asciiTheme="minorEastAsia" w:eastAsiaTheme="minorEastAsia" w:hAnsiTheme="minorEastAsia"/>
          <w:sz w:val="28"/>
          <w:szCs w:val="28"/>
        </w:rPr>
        <w:t>对客户的交易、结算指令进行前端资金检查</w:t>
      </w:r>
      <w:r w:rsidRPr="00591E2A">
        <w:rPr>
          <w:rFonts w:asciiTheme="minorEastAsia" w:eastAsiaTheme="minorEastAsia" w:hAnsiTheme="minorEastAsia" w:hint="eastAsia"/>
          <w:sz w:val="28"/>
          <w:szCs w:val="28"/>
        </w:rPr>
        <w:t>，资金</w:t>
      </w:r>
      <w:r w:rsidRPr="00591E2A">
        <w:rPr>
          <w:rFonts w:asciiTheme="minorEastAsia" w:eastAsiaTheme="minorEastAsia" w:hAnsiTheme="minorEastAsia"/>
          <w:sz w:val="28"/>
          <w:szCs w:val="28"/>
        </w:rPr>
        <w:t>不足的，</w:t>
      </w:r>
      <w:r w:rsidRPr="00591E2A">
        <w:rPr>
          <w:rFonts w:asciiTheme="minorEastAsia" w:eastAsiaTheme="minorEastAsia" w:hAnsiTheme="minorEastAsia" w:hint="eastAsia"/>
          <w:sz w:val="28"/>
          <w:szCs w:val="28"/>
        </w:rPr>
        <w:t>客户的指令无效。</w:t>
      </w:r>
    </w:p>
    <w:p w:rsidR="00591E2A" w:rsidRPr="00591E2A" w:rsidRDefault="00591E2A" w:rsidP="00591E2A">
      <w:pPr>
        <w:pStyle w:val="1"/>
        <w:numPr>
          <w:ilvl w:val="0"/>
          <w:numId w:val="2"/>
        </w:numPr>
        <w:tabs>
          <w:tab w:val="left" w:pos="1620"/>
          <w:tab w:val="left" w:pos="1800"/>
        </w:tabs>
        <w:spacing w:line="360" w:lineRule="auto"/>
        <w:ind w:left="0" w:firstLine="560"/>
        <w:rPr>
          <w:rFonts w:asciiTheme="minorEastAsia" w:eastAsiaTheme="minorEastAsia" w:hAnsiTheme="minorEastAsia"/>
          <w:sz w:val="28"/>
          <w:szCs w:val="28"/>
        </w:rPr>
      </w:pPr>
      <w:r w:rsidRPr="00591E2A">
        <w:rPr>
          <w:rFonts w:asciiTheme="minorEastAsia" w:eastAsiaTheme="minorEastAsia" w:hAnsiTheme="minorEastAsia" w:hint="eastAsia"/>
          <w:sz w:val="28"/>
          <w:szCs w:val="28"/>
        </w:rPr>
        <w:t>挂牌交易在公开报价板进行，由交易商等客户提供公</w:t>
      </w:r>
      <w:r w:rsidRPr="00591E2A">
        <w:rPr>
          <w:rFonts w:asciiTheme="minorEastAsia" w:eastAsiaTheme="minorEastAsia" w:hAnsiTheme="minorEastAsia" w:hint="eastAsia"/>
          <w:sz w:val="28"/>
          <w:szCs w:val="28"/>
        </w:rPr>
        <w:lastRenderedPageBreak/>
        <w:t>开报价，其他客户</w:t>
      </w:r>
      <w:r w:rsidRPr="00591E2A">
        <w:rPr>
          <w:rFonts w:asciiTheme="minorEastAsia" w:eastAsiaTheme="minorEastAsia" w:hAnsiTheme="minorEastAsia"/>
          <w:sz w:val="28"/>
          <w:szCs w:val="28"/>
        </w:rPr>
        <w:t>选择全部或部分</w:t>
      </w:r>
      <w:r w:rsidRPr="00591E2A">
        <w:rPr>
          <w:rFonts w:asciiTheme="minorEastAsia" w:eastAsiaTheme="minorEastAsia" w:hAnsiTheme="minorEastAsia" w:hint="eastAsia"/>
          <w:sz w:val="28"/>
          <w:szCs w:val="28"/>
        </w:rPr>
        <w:t>挂牌数量点选价格成交</w:t>
      </w:r>
      <w:r w:rsidRPr="00591E2A">
        <w:rPr>
          <w:rFonts w:asciiTheme="minorEastAsia" w:eastAsiaTheme="minorEastAsia" w:hAnsiTheme="minorEastAsia"/>
          <w:sz w:val="28"/>
          <w:szCs w:val="28"/>
        </w:rPr>
        <w:t>。</w:t>
      </w:r>
    </w:p>
    <w:p w:rsidR="00591E2A" w:rsidRPr="00591E2A" w:rsidRDefault="00591E2A" w:rsidP="00591E2A">
      <w:pPr>
        <w:pStyle w:val="1"/>
        <w:numPr>
          <w:ilvl w:val="0"/>
          <w:numId w:val="2"/>
        </w:numPr>
        <w:tabs>
          <w:tab w:val="left" w:pos="1620"/>
          <w:tab w:val="left" w:pos="1800"/>
        </w:tabs>
        <w:spacing w:line="360" w:lineRule="auto"/>
        <w:ind w:left="0" w:firstLine="560"/>
        <w:rPr>
          <w:rFonts w:asciiTheme="minorEastAsia" w:eastAsiaTheme="minorEastAsia" w:hAnsiTheme="minorEastAsia"/>
          <w:sz w:val="28"/>
          <w:szCs w:val="28"/>
        </w:rPr>
      </w:pPr>
      <w:r w:rsidRPr="00591E2A">
        <w:rPr>
          <w:rFonts w:asciiTheme="minorEastAsia" w:eastAsiaTheme="minorEastAsia" w:hAnsiTheme="minorEastAsia" w:hint="eastAsia"/>
          <w:sz w:val="28"/>
          <w:szCs w:val="28"/>
        </w:rPr>
        <w:t>协商交易在平台提供的通讯软件</w:t>
      </w:r>
      <w:r w:rsidRPr="00B866A1">
        <w:rPr>
          <w:rFonts w:eastAsiaTheme="minorEastAsia" w:hAnsiTheme="minorEastAsia"/>
          <w:sz w:val="28"/>
          <w:szCs w:val="28"/>
        </w:rPr>
        <w:t>（英文名称为</w:t>
      </w:r>
      <w:r w:rsidRPr="00B866A1">
        <w:rPr>
          <w:rFonts w:eastAsiaTheme="minorEastAsia"/>
          <w:sz w:val="28"/>
          <w:szCs w:val="28"/>
        </w:rPr>
        <w:t>ZCE Instant Messaging</w:t>
      </w:r>
      <w:r w:rsidRPr="00B866A1">
        <w:rPr>
          <w:rFonts w:eastAsiaTheme="minorEastAsia" w:hAnsiTheme="minorEastAsia"/>
          <w:sz w:val="28"/>
          <w:szCs w:val="28"/>
        </w:rPr>
        <w:t>，缩写为</w:t>
      </w:r>
      <w:r w:rsidRPr="00B866A1">
        <w:rPr>
          <w:rFonts w:eastAsiaTheme="minorEastAsia"/>
          <w:sz w:val="28"/>
          <w:szCs w:val="28"/>
        </w:rPr>
        <w:t>ZIM</w:t>
      </w:r>
      <w:r w:rsidRPr="00B866A1">
        <w:rPr>
          <w:rFonts w:eastAsiaTheme="minorEastAsia" w:hAnsiTheme="minorEastAsia"/>
          <w:sz w:val="28"/>
          <w:szCs w:val="28"/>
        </w:rPr>
        <w:t>）</w:t>
      </w:r>
      <w:r w:rsidRPr="00591E2A">
        <w:rPr>
          <w:rFonts w:asciiTheme="minorEastAsia" w:eastAsiaTheme="minorEastAsia" w:hAnsiTheme="minorEastAsia" w:hint="eastAsia"/>
          <w:sz w:val="28"/>
          <w:szCs w:val="28"/>
        </w:rPr>
        <w:t>上进行，交易双方协商确定合约标的、数量、价格等交易条款，达成交易。</w:t>
      </w:r>
    </w:p>
    <w:p w:rsidR="00591E2A" w:rsidRPr="00591E2A" w:rsidRDefault="00591E2A" w:rsidP="00591E2A">
      <w:pPr>
        <w:pStyle w:val="1"/>
        <w:numPr>
          <w:ilvl w:val="0"/>
          <w:numId w:val="2"/>
        </w:numPr>
        <w:tabs>
          <w:tab w:val="left" w:pos="1620"/>
          <w:tab w:val="left" w:pos="1800"/>
        </w:tabs>
        <w:spacing w:line="360" w:lineRule="auto"/>
        <w:ind w:left="0" w:firstLine="560"/>
        <w:rPr>
          <w:rFonts w:asciiTheme="minorEastAsia" w:eastAsiaTheme="minorEastAsia" w:hAnsiTheme="minorEastAsia"/>
          <w:sz w:val="28"/>
          <w:szCs w:val="28"/>
        </w:rPr>
      </w:pPr>
      <w:r w:rsidRPr="00591E2A">
        <w:rPr>
          <w:rFonts w:asciiTheme="minorEastAsia" w:eastAsiaTheme="minorEastAsia" w:hAnsiTheme="minorEastAsia" w:hint="eastAsia"/>
          <w:sz w:val="28"/>
          <w:szCs w:val="28"/>
        </w:rPr>
        <w:t>客户发送交易指令后，未成交的部分</w:t>
      </w:r>
      <w:r w:rsidRPr="00591E2A">
        <w:rPr>
          <w:rFonts w:asciiTheme="minorEastAsia" w:eastAsiaTheme="minorEastAsia" w:hAnsiTheme="minorEastAsia"/>
          <w:sz w:val="28"/>
          <w:szCs w:val="28"/>
        </w:rPr>
        <w:t>可以撤销</w:t>
      </w:r>
      <w:r w:rsidRPr="00591E2A">
        <w:rPr>
          <w:rFonts w:asciiTheme="minorEastAsia" w:eastAsiaTheme="minorEastAsia" w:hAnsiTheme="minorEastAsia" w:hint="eastAsia"/>
          <w:sz w:val="28"/>
          <w:szCs w:val="28"/>
        </w:rPr>
        <w:t>。</w:t>
      </w:r>
    </w:p>
    <w:p w:rsidR="00591E2A" w:rsidRPr="00591E2A" w:rsidRDefault="00591E2A" w:rsidP="00591E2A">
      <w:pPr>
        <w:pStyle w:val="1"/>
        <w:numPr>
          <w:ilvl w:val="0"/>
          <w:numId w:val="2"/>
        </w:numPr>
        <w:tabs>
          <w:tab w:val="left" w:pos="1620"/>
          <w:tab w:val="left" w:pos="1800"/>
        </w:tabs>
        <w:spacing w:line="360" w:lineRule="auto"/>
        <w:ind w:left="0" w:firstLine="560"/>
        <w:rPr>
          <w:rFonts w:asciiTheme="minorEastAsia" w:eastAsiaTheme="minorEastAsia" w:hAnsiTheme="minorEastAsia"/>
          <w:sz w:val="28"/>
          <w:szCs w:val="28"/>
        </w:rPr>
      </w:pPr>
      <w:r w:rsidRPr="00591E2A">
        <w:rPr>
          <w:rFonts w:asciiTheme="minorEastAsia" w:eastAsiaTheme="minorEastAsia" w:hAnsiTheme="minorEastAsia" w:hint="eastAsia"/>
          <w:sz w:val="28"/>
          <w:szCs w:val="28"/>
        </w:rPr>
        <w:t>因地震、水灾、火灾等不可抗力或者系统故障、通讯</w:t>
      </w:r>
      <w:r w:rsidRPr="00591E2A">
        <w:rPr>
          <w:rFonts w:asciiTheme="minorEastAsia" w:eastAsiaTheme="minorEastAsia" w:hAnsiTheme="minorEastAsia"/>
          <w:sz w:val="28"/>
          <w:szCs w:val="28"/>
        </w:rPr>
        <w:t>故障、电力故障</w:t>
      </w:r>
      <w:r w:rsidRPr="00591E2A">
        <w:rPr>
          <w:rFonts w:asciiTheme="minorEastAsia" w:eastAsiaTheme="minorEastAsia" w:hAnsiTheme="minorEastAsia" w:hint="eastAsia"/>
          <w:sz w:val="28"/>
          <w:szCs w:val="28"/>
        </w:rPr>
        <w:t>等原因导致交易无法进行，造成损失的，交易所不承担责任。</w:t>
      </w:r>
    </w:p>
    <w:p w:rsidR="00591E2A" w:rsidRPr="00DF69FE" w:rsidRDefault="00591E2A" w:rsidP="00591E2A">
      <w:pPr>
        <w:pStyle w:val="2"/>
        <w:ind w:firstLineChars="0" w:firstLine="0"/>
        <w:jc w:val="center"/>
        <w:rPr>
          <w:rFonts w:ascii="黑体" w:eastAsia="黑体" w:hAnsi="黑体"/>
        </w:rPr>
      </w:pPr>
      <w:bookmarkStart w:id="2" w:name="_Toc499133651"/>
      <w:bookmarkStart w:id="3" w:name="_Toc499134522"/>
      <w:r w:rsidRPr="00DF69FE">
        <w:rPr>
          <w:rFonts w:ascii="黑体" w:eastAsia="黑体" w:hAnsi="黑体" w:hint="eastAsia"/>
        </w:rPr>
        <w:t>第四章 结算业务</w:t>
      </w:r>
      <w:bookmarkEnd w:id="2"/>
      <w:bookmarkEnd w:id="3"/>
    </w:p>
    <w:p w:rsidR="00591E2A" w:rsidRPr="00591E2A" w:rsidRDefault="00591E2A" w:rsidP="00591E2A">
      <w:pPr>
        <w:pStyle w:val="1"/>
        <w:numPr>
          <w:ilvl w:val="0"/>
          <w:numId w:val="2"/>
        </w:numPr>
        <w:tabs>
          <w:tab w:val="left" w:pos="1620"/>
          <w:tab w:val="left" w:pos="1800"/>
        </w:tabs>
        <w:spacing w:line="360" w:lineRule="auto"/>
        <w:ind w:left="0" w:firstLine="560"/>
        <w:rPr>
          <w:rFonts w:asciiTheme="minorEastAsia" w:eastAsiaTheme="minorEastAsia" w:hAnsiTheme="minorEastAsia"/>
          <w:sz w:val="28"/>
          <w:szCs w:val="28"/>
        </w:rPr>
      </w:pPr>
      <w:r w:rsidRPr="00591E2A">
        <w:rPr>
          <w:rFonts w:asciiTheme="minorEastAsia" w:eastAsiaTheme="minorEastAsia" w:hAnsiTheme="minorEastAsia" w:hint="eastAsia"/>
          <w:sz w:val="28"/>
          <w:szCs w:val="28"/>
        </w:rPr>
        <w:t>交易所指定的期货保证金存管银行可以参与平台结算业务，为交易所开设专用结算账户，存放客户的平台业务保证金及相关款项。</w:t>
      </w:r>
    </w:p>
    <w:p w:rsidR="00591E2A" w:rsidRPr="00591E2A" w:rsidRDefault="00591E2A" w:rsidP="00591E2A">
      <w:pPr>
        <w:pStyle w:val="1"/>
        <w:numPr>
          <w:ilvl w:val="0"/>
          <w:numId w:val="2"/>
        </w:numPr>
        <w:tabs>
          <w:tab w:val="left" w:pos="1620"/>
          <w:tab w:val="left" w:pos="1800"/>
        </w:tabs>
        <w:spacing w:line="360" w:lineRule="auto"/>
        <w:ind w:left="0" w:firstLine="560"/>
        <w:rPr>
          <w:rFonts w:asciiTheme="minorEastAsia" w:eastAsiaTheme="minorEastAsia" w:hAnsiTheme="minorEastAsia"/>
          <w:sz w:val="28"/>
          <w:szCs w:val="28"/>
        </w:rPr>
      </w:pPr>
      <w:r w:rsidRPr="00591E2A">
        <w:rPr>
          <w:rFonts w:asciiTheme="minorEastAsia" w:eastAsiaTheme="minorEastAsia" w:hAnsiTheme="minorEastAsia"/>
          <w:sz w:val="28"/>
          <w:szCs w:val="28"/>
        </w:rPr>
        <w:t>交易所直接对客户结算</w:t>
      </w:r>
      <w:r w:rsidRPr="00591E2A">
        <w:rPr>
          <w:rFonts w:asciiTheme="minorEastAsia" w:eastAsiaTheme="minorEastAsia" w:hAnsiTheme="minorEastAsia" w:hint="eastAsia"/>
          <w:sz w:val="28"/>
          <w:szCs w:val="28"/>
        </w:rPr>
        <w:t>。客户应当按要求在期货保证金存管银行开通支持资金实时划转的金融服务，</w:t>
      </w:r>
      <w:r w:rsidRPr="00591E2A">
        <w:rPr>
          <w:rFonts w:asciiTheme="minorEastAsia" w:eastAsiaTheme="minorEastAsia" w:hAnsiTheme="minorEastAsia"/>
          <w:sz w:val="28"/>
          <w:szCs w:val="28"/>
        </w:rPr>
        <w:t>用于</w:t>
      </w:r>
      <w:r w:rsidRPr="00591E2A">
        <w:rPr>
          <w:rFonts w:asciiTheme="minorEastAsia" w:eastAsiaTheme="minorEastAsia" w:hAnsiTheme="minorEastAsia" w:hint="eastAsia"/>
          <w:sz w:val="28"/>
          <w:szCs w:val="28"/>
        </w:rPr>
        <w:t>办理银行账户到交易所专用结算账户之间的出入</w:t>
      </w:r>
      <w:r w:rsidRPr="00591E2A">
        <w:rPr>
          <w:rFonts w:asciiTheme="minorEastAsia" w:eastAsiaTheme="minorEastAsia" w:hAnsiTheme="minorEastAsia"/>
          <w:sz w:val="28"/>
          <w:szCs w:val="28"/>
        </w:rPr>
        <w:t>金业务</w:t>
      </w:r>
      <w:r w:rsidRPr="00591E2A">
        <w:rPr>
          <w:rFonts w:asciiTheme="minorEastAsia" w:eastAsiaTheme="minorEastAsia" w:hAnsiTheme="minorEastAsia" w:hint="eastAsia"/>
          <w:sz w:val="28"/>
          <w:szCs w:val="28"/>
        </w:rPr>
        <w:t>。</w:t>
      </w:r>
    </w:p>
    <w:p w:rsidR="00591E2A" w:rsidRPr="00591E2A" w:rsidRDefault="00591E2A" w:rsidP="00B866A1">
      <w:pPr>
        <w:pStyle w:val="1"/>
        <w:tabs>
          <w:tab w:val="left" w:pos="1620"/>
          <w:tab w:val="left" w:pos="1800"/>
        </w:tabs>
        <w:spacing w:line="360" w:lineRule="auto"/>
        <w:ind w:left="560" w:firstLineChars="0" w:firstLine="0"/>
        <w:rPr>
          <w:rFonts w:asciiTheme="minorEastAsia" w:eastAsiaTheme="minorEastAsia" w:hAnsiTheme="minorEastAsia"/>
          <w:sz w:val="28"/>
          <w:szCs w:val="28"/>
        </w:rPr>
      </w:pPr>
      <w:r w:rsidRPr="00591E2A">
        <w:rPr>
          <w:rFonts w:asciiTheme="minorEastAsia" w:eastAsiaTheme="minorEastAsia" w:hAnsiTheme="minorEastAsia" w:hint="eastAsia"/>
          <w:sz w:val="28"/>
          <w:szCs w:val="28"/>
        </w:rPr>
        <w:t>客户当日可出金额计算公式如下：</w:t>
      </w:r>
    </w:p>
    <w:p w:rsidR="00591E2A" w:rsidRPr="00591E2A" w:rsidRDefault="00591E2A" w:rsidP="00B866A1">
      <w:pPr>
        <w:pStyle w:val="1"/>
        <w:tabs>
          <w:tab w:val="left" w:pos="1620"/>
          <w:tab w:val="left" w:pos="1800"/>
        </w:tabs>
        <w:spacing w:line="360" w:lineRule="auto"/>
        <w:ind w:firstLine="560"/>
        <w:rPr>
          <w:rFonts w:asciiTheme="minorEastAsia" w:eastAsiaTheme="minorEastAsia" w:hAnsiTheme="minorEastAsia"/>
          <w:sz w:val="28"/>
          <w:szCs w:val="28"/>
        </w:rPr>
      </w:pPr>
      <w:r w:rsidRPr="00591E2A">
        <w:rPr>
          <w:rFonts w:asciiTheme="minorEastAsia" w:eastAsiaTheme="minorEastAsia" w:hAnsiTheme="minorEastAsia" w:hint="eastAsia"/>
          <w:sz w:val="28"/>
          <w:szCs w:val="28"/>
        </w:rPr>
        <w:t>客户当日可出金额=期初资金+当日入金-当日出金+当日收入-当日支出-冻结资金-浮动亏损等。</w:t>
      </w:r>
    </w:p>
    <w:p w:rsidR="00591E2A" w:rsidRPr="00591E2A" w:rsidRDefault="00591E2A" w:rsidP="00591E2A">
      <w:pPr>
        <w:pStyle w:val="1"/>
        <w:numPr>
          <w:ilvl w:val="0"/>
          <w:numId w:val="2"/>
        </w:numPr>
        <w:tabs>
          <w:tab w:val="left" w:pos="1620"/>
          <w:tab w:val="left" w:pos="1800"/>
        </w:tabs>
        <w:spacing w:line="360" w:lineRule="auto"/>
        <w:ind w:left="0" w:firstLine="560"/>
        <w:rPr>
          <w:rFonts w:asciiTheme="minorEastAsia" w:eastAsiaTheme="minorEastAsia" w:hAnsiTheme="minorEastAsia"/>
          <w:sz w:val="28"/>
          <w:szCs w:val="28"/>
        </w:rPr>
      </w:pPr>
      <w:r w:rsidRPr="00591E2A">
        <w:rPr>
          <w:rFonts w:asciiTheme="minorEastAsia" w:eastAsiaTheme="minorEastAsia" w:hAnsiTheme="minorEastAsia" w:hint="eastAsia"/>
          <w:sz w:val="28"/>
          <w:szCs w:val="28"/>
        </w:rPr>
        <w:t>平台结算方式包括双边约定清算、双边指令清算等。交易所根据各业务特点和市场需求，实行一种或多种结算方式。</w:t>
      </w:r>
    </w:p>
    <w:p w:rsidR="00591E2A" w:rsidRPr="00591E2A" w:rsidRDefault="00591E2A" w:rsidP="00591E2A">
      <w:pPr>
        <w:pStyle w:val="1"/>
        <w:numPr>
          <w:ilvl w:val="0"/>
          <w:numId w:val="2"/>
        </w:numPr>
        <w:tabs>
          <w:tab w:val="left" w:pos="1620"/>
          <w:tab w:val="left" w:pos="1800"/>
        </w:tabs>
        <w:spacing w:line="360" w:lineRule="auto"/>
        <w:ind w:left="0" w:firstLine="560"/>
        <w:rPr>
          <w:rFonts w:asciiTheme="minorEastAsia" w:eastAsiaTheme="minorEastAsia" w:hAnsiTheme="minorEastAsia"/>
          <w:sz w:val="28"/>
          <w:szCs w:val="28"/>
        </w:rPr>
      </w:pPr>
      <w:r w:rsidRPr="00591E2A">
        <w:rPr>
          <w:rFonts w:asciiTheme="minorEastAsia" w:eastAsiaTheme="minorEastAsia" w:hAnsiTheme="minorEastAsia" w:hint="eastAsia"/>
          <w:sz w:val="28"/>
          <w:szCs w:val="28"/>
        </w:rPr>
        <w:t>双边约定清算由交易所根据双方认可的清算规则，进行交易保证金冻结和释放、资金划转和交收办理等，交易所不承担</w:t>
      </w:r>
      <w:r w:rsidRPr="00591E2A">
        <w:rPr>
          <w:rFonts w:asciiTheme="minorEastAsia" w:eastAsiaTheme="minorEastAsia" w:hAnsiTheme="minorEastAsia" w:hint="eastAsia"/>
          <w:sz w:val="28"/>
          <w:szCs w:val="28"/>
        </w:rPr>
        <w:lastRenderedPageBreak/>
        <w:t>履约担保责任；交易所另有规定的,依照其规定。</w:t>
      </w:r>
    </w:p>
    <w:p w:rsidR="00591E2A" w:rsidRPr="00591E2A" w:rsidRDefault="00591E2A" w:rsidP="00591E2A">
      <w:pPr>
        <w:pStyle w:val="1"/>
        <w:numPr>
          <w:ilvl w:val="0"/>
          <w:numId w:val="2"/>
        </w:numPr>
        <w:tabs>
          <w:tab w:val="left" w:pos="1620"/>
          <w:tab w:val="left" w:pos="1800"/>
        </w:tabs>
        <w:spacing w:line="360" w:lineRule="auto"/>
        <w:ind w:left="0" w:firstLine="560"/>
        <w:rPr>
          <w:rFonts w:asciiTheme="minorEastAsia" w:eastAsiaTheme="minorEastAsia" w:hAnsiTheme="minorEastAsia"/>
          <w:sz w:val="28"/>
          <w:szCs w:val="28"/>
        </w:rPr>
      </w:pPr>
      <w:r w:rsidRPr="00591E2A">
        <w:rPr>
          <w:rFonts w:asciiTheme="minorEastAsia" w:eastAsiaTheme="minorEastAsia" w:hAnsiTheme="minorEastAsia" w:hint="eastAsia"/>
          <w:sz w:val="28"/>
          <w:szCs w:val="28"/>
        </w:rPr>
        <w:t>双边指令清算由交易所根据交易双方共同确认的指令，进行交易保证金冻结和释放、资金划转和交收办理等，交易所不承担履约担保责任。</w:t>
      </w:r>
    </w:p>
    <w:p w:rsidR="00591E2A" w:rsidRPr="00591E2A" w:rsidRDefault="00591E2A" w:rsidP="00591E2A">
      <w:pPr>
        <w:pStyle w:val="1"/>
        <w:numPr>
          <w:ilvl w:val="0"/>
          <w:numId w:val="2"/>
        </w:numPr>
        <w:tabs>
          <w:tab w:val="left" w:pos="1620"/>
          <w:tab w:val="left" w:pos="1800"/>
        </w:tabs>
        <w:spacing w:line="360" w:lineRule="auto"/>
        <w:ind w:left="0" w:firstLine="560"/>
        <w:rPr>
          <w:rFonts w:asciiTheme="minorEastAsia" w:eastAsiaTheme="minorEastAsia" w:hAnsiTheme="minorEastAsia"/>
          <w:sz w:val="28"/>
          <w:szCs w:val="28"/>
        </w:rPr>
      </w:pPr>
      <w:r w:rsidRPr="00591E2A">
        <w:rPr>
          <w:rFonts w:asciiTheme="minorEastAsia" w:eastAsiaTheme="minorEastAsia" w:hAnsiTheme="minorEastAsia"/>
          <w:sz w:val="28"/>
          <w:szCs w:val="28"/>
        </w:rPr>
        <w:t>交易所按日序时登记客户</w:t>
      </w:r>
      <w:r w:rsidRPr="00591E2A">
        <w:rPr>
          <w:rFonts w:asciiTheme="minorEastAsia" w:eastAsiaTheme="minorEastAsia" w:hAnsiTheme="minorEastAsia" w:hint="eastAsia"/>
          <w:sz w:val="28"/>
          <w:szCs w:val="28"/>
        </w:rPr>
        <w:t>平台</w:t>
      </w:r>
      <w:r w:rsidRPr="00591E2A">
        <w:rPr>
          <w:rFonts w:asciiTheme="minorEastAsia" w:eastAsiaTheme="minorEastAsia" w:hAnsiTheme="minorEastAsia"/>
          <w:sz w:val="28"/>
          <w:szCs w:val="28"/>
        </w:rPr>
        <w:t>业务的开仓</w:t>
      </w:r>
      <w:r w:rsidRPr="00591E2A">
        <w:rPr>
          <w:rFonts w:asciiTheme="minorEastAsia" w:eastAsiaTheme="minorEastAsia" w:hAnsiTheme="minorEastAsia" w:hint="eastAsia"/>
          <w:sz w:val="28"/>
          <w:szCs w:val="28"/>
        </w:rPr>
        <w:t>、</w:t>
      </w:r>
      <w:r w:rsidRPr="00591E2A">
        <w:rPr>
          <w:rFonts w:asciiTheme="minorEastAsia" w:eastAsiaTheme="minorEastAsia" w:hAnsiTheme="minorEastAsia"/>
          <w:sz w:val="28"/>
          <w:szCs w:val="28"/>
        </w:rPr>
        <w:t>平仓</w:t>
      </w:r>
      <w:r w:rsidRPr="00591E2A">
        <w:rPr>
          <w:rFonts w:asciiTheme="minorEastAsia" w:eastAsiaTheme="minorEastAsia" w:hAnsiTheme="minorEastAsia" w:hint="eastAsia"/>
          <w:sz w:val="28"/>
          <w:szCs w:val="28"/>
        </w:rPr>
        <w:t>、</w:t>
      </w:r>
      <w:r w:rsidRPr="00591E2A">
        <w:rPr>
          <w:rFonts w:asciiTheme="minorEastAsia" w:eastAsiaTheme="minorEastAsia" w:hAnsiTheme="minorEastAsia"/>
          <w:sz w:val="28"/>
          <w:szCs w:val="28"/>
        </w:rPr>
        <w:t>持仓</w:t>
      </w:r>
      <w:r w:rsidRPr="00591E2A">
        <w:rPr>
          <w:rFonts w:asciiTheme="minorEastAsia" w:eastAsiaTheme="minorEastAsia" w:hAnsiTheme="minorEastAsia" w:hint="eastAsia"/>
          <w:sz w:val="28"/>
          <w:szCs w:val="28"/>
        </w:rPr>
        <w:t>、</w:t>
      </w:r>
      <w:r w:rsidRPr="00591E2A">
        <w:rPr>
          <w:rFonts w:asciiTheme="minorEastAsia" w:eastAsiaTheme="minorEastAsia" w:hAnsiTheme="minorEastAsia"/>
          <w:sz w:val="28"/>
          <w:szCs w:val="28"/>
        </w:rPr>
        <w:t>交收情况</w:t>
      </w:r>
      <w:r w:rsidRPr="00591E2A">
        <w:rPr>
          <w:rFonts w:asciiTheme="minorEastAsia" w:eastAsiaTheme="minorEastAsia" w:hAnsiTheme="minorEastAsia" w:hint="eastAsia"/>
          <w:sz w:val="28"/>
          <w:szCs w:val="28"/>
        </w:rPr>
        <w:t>；对客户存入专用结算账户的资金实行分账管理，登记核算客户出入金、盈亏、货款、保证金、手续费等结算数据；妥善保管相关资料以备查询，保存年限按相关规定执行。</w:t>
      </w:r>
    </w:p>
    <w:p w:rsidR="00591E2A" w:rsidRPr="00591E2A" w:rsidRDefault="00591E2A" w:rsidP="00591E2A">
      <w:pPr>
        <w:pStyle w:val="1"/>
        <w:numPr>
          <w:ilvl w:val="0"/>
          <w:numId w:val="2"/>
        </w:numPr>
        <w:tabs>
          <w:tab w:val="left" w:pos="1620"/>
          <w:tab w:val="left" w:pos="1800"/>
        </w:tabs>
        <w:spacing w:line="360" w:lineRule="auto"/>
        <w:ind w:left="0" w:firstLine="560"/>
        <w:rPr>
          <w:rFonts w:asciiTheme="minorEastAsia" w:eastAsiaTheme="minorEastAsia" w:hAnsiTheme="minorEastAsia"/>
          <w:sz w:val="28"/>
          <w:szCs w:val="28"/>
        </w:rPr>
      </w:pPr>
      <w:r w:rsidRPr="00591E2A">
        <w:rPr>
          <w:rFonts w:asciiTheme="minorEastAsia" w:eastAsiaTheme="minorEastAsia" w:hAnsiTheme="minorEastAsia" w:hint="eastAsia"/>
          <w:sz w:val="28"/>
          <w:szCs w:val="28"/>
        </w:rPr>
        <w:t>每日交易结束</w:t>
      </w:r>
      <w:r w:rsidRPr="00591E2A">
        <w:rPr>
          <w:rFonts w:asciiTheme="minorEastAsia" w:eastAsiaTheme="minorEastAsia" w:hAnsiTheme="minorEastAsia"/>
          <w:sz w:val="28"/>
          <w:szCs w:val="28"/>
        </w:rPr>
        <w:t>,</w:t>
      </w:r>
      <w:r w:rsidRPr="00591E2A">
        <w:rPr>
          <w:rFonts w:asciiTheme="minorEastAsia" w:eastAsiaTheme="minorEastAsia" w:hAnsiTheme="minorEastAsia" w:hint="eastAsia"/>
          <w:sz w:val="28"/>
          <w:szCs w:val="28"/>
        </w:rPr>
        <w:t>客户</w:t>
      </w:r>
      <w:r w:rsidRPr="00591E2A">
        <w:rPr>
          <w:rFonts w:asciiTheme="minorEastAsia" w:eastAsiaTheme="minorEastAsia" w:hAnsiTheme="minorEastAsia"/>
          <w:sz w:val="28"/>
          <w:szCs w:val="28"/>
        </w:rPr>
        <w:t>可以通过平台获得</w:t>
      </w:r>
      <w:r w:rsidRPr="00591E2A">
        <w:rPr>
          <w:rFonts w:asciiTheme="minorEastAsia" w:eastAsiaTheme="minorEastAsia" w:hAnsiTheme="minorEastAsia" w:hint="eastAsia"/>
          <w:sz w:val="28"/>
          <w:szCs w:val="28"/>
        </w:rPr>
        <w:t>交易结算信息，有异议的，应当在当日以书面或者其他可以记载的形式向交易所提出。</w:t>
      </w:r>
    </w:p>
    <w:p w:rsidR="00591E2A" w:rsidRPr="00591E2A" w:rsidRDefault="00591E2A" w:rsidP="00591E2A">
      <w:pPr>
        <w:pStyle w:val="1"/>
        <w:numPr>
          <w:ilvl w:val="0"/>
          <w:numId w:val="2"/>
        </w:numPr>
        <w:tabs>
          <w:tab w:val="left" w:pos="1620"/>
          <w:tab w:val="left" w:pos="1800"/>
        </w:tabs>
        <w:spacing w:line="360" w:lineRule="auto"/>
        <w:ind w:left="0" w:firstLine="560"/>
        <w:rPr>
          <w:rFonts w:asciiTheme="minorEastAsia" w:eastAsiaTheme="minorEastAsia" w:hAnsiTheme="minorEastAsia"/>
          <w:sz w:val="28"/>
          <w:szCs w:val="28"/>
        </w:rPr>
      </w:pPr>
      <w:r w:rsidRPr="00591E2A">
        <w:rPr>
          <w:rFonts w:asciiTheme="minorEastAsia" w:eastAsiaTheme="minorEastAsia" w:hAnsiTheme="minorEastAsia" w:hint="eastAsia"/>
          <w:sz w:val="28"/>
          <w:szCs w:val="28"/>
        </w:rPr>
        <w:t>客户应当按规定向交易所交纳交易手续费、</w:t>
      </w:r>
      <w:r w:rsidRPr="00591E2A">
        <w:rPr>
          <w:rFonts w:asciiTheme="minorEastAsia" w:eastAsiaTheme="minorEastAsia" w:hAnsiTheme="minorEastAsia"/>
          <w:sz w:val="28"/>
          <w:szCs w:val="28"/>
        </w:rPr>
        <w:t>交收手续费</w:t>
      </w:r>
      <w:r w:rsidRPr="00591E2A">
        <w:rPr>
          <w:rFonts w:asciiTheme="minorEastAsia" w:eastAsiaTheme="minorEastAsia" w:hAnsiTheme="minorEastAsia" w:hint="eastAsia"/>
          <w:sz w:val="28"/>
          <w:szCs w:val="28"/>
        </w:rPr>
        <w:t>等相关费用。</w:t>
      </w:r>
    </w:p>
    <w:p w:rsidR="00591E2A" w:rsidRPr="00DF69FE" w:rsidRDefault="00591E2A" w:rsidP="00591E2A">
      <w:pPr>
        <w:pStyle w:val="2"/>
        <w:ind w:firstLineChars="0" w:firstLine="0"/>
        <w:jc w:val="center"/>
        <w:rPr>
          <w:rFonts w:ascii="黑体" w:eastAsia="黑体" w:hAnsi="黑体"/>
          <w:szCs w:val="30"/>
        </w:rPr>
      </w:pPr>
      <w:bookmarkStart w:id="4" w:name="_Toc499133652"/>
      <w:bookmarkStart w:id="5" w:name="_Toc499134523"/>
      <w:r w:rsidRPr="00DF69FE">
        <w:rPr>
          <w:rFonts w:ascii="黑体" w:eastAsia="黑体" w:hAnsi="黑体"/>
        </w:rPr>
        <w:t>第</w:t>
      </w:r>
      <w:r w:rsidRPr="00DF69FE">
        <w:rPr>
          <w:rFonts w:ascii="黑体" w:eastAsia="黑体" w:hAnsi="黑体" w:hint="eastAsia"/>
        </w:rPr>
        <w:t>五</w:t>
      </w:r>
      <w:r w:rsidRPr="00DF69FE">
        <w:rPr>
          <w:rFonts w:ascii="黑体" w:eastAsia="黑体" w:hAnsi="黑体"/>
        </w:rPr>
        <w:t>章</w:t>
      </w:r>
      <w:r w:rsidRPr="00DF69FE">
        <w:rPr>
          <w:rFonts w:ascii="黑体" w:eastAsia="黑体" w:hAnsi="黑体" w:hint="eastAsia"/>
        </w:rPr>
        <w:t xml:space="preserve"> 交收业务</w:t>
      </w:r>
      <w:bookmarkEnd w:id="4"/>
      <w:bookmarkEnd w:id="5"/>
    </w:p>
    <w:p w:rsidR="00591E2A" w:rsidRPr="00591E2A" w:rsidRDefault="00591E2A" w:rsidP="00591E2A">
      <w:pPr>
        <w:pStyle w:val="1"/>
        <w:numPr>
          <w:ilvl w:val="0"/>
          <w:numId w:val="2"/>
        </w:numPr>
        <w:tabs>
          <w:tab w:val="left" w:pos="1620"/>
          <w:tab w:val="left" w:pos="1800"/>
        </w:tabs>
        <w:spacing w:line="360" w:lineRule="auto"/>
        <w:ind w:left="0" w:firstLine="560"/>
        <w:rPr>
          <w:rFonts w:asciiTheme="minorEastAsia" w:eastAsiaTheme="minorEastAsia" w:hAnsiTheme="minorEastAsia"/>
          <w:sz w:val="28"/>
          <w:szCs w:val="28"/>
        </w:rPr>
      </w:pPr>
      <w:r w:rsidRPr="00591E2A">
        <w:rPr>
          <w:rFonts w:asciiTheme="minorEastAsia" w:eastAsiaTheme="minorEastAsia" w:hAnsiTheme="minorEastAsia" w:hint="eastAsia"/>
          <w:sz w:val="28"/>
          <w:szCs w:val="28"/>
        </w:rPr>
        <w:t>平台的实物交收，采用</w:t>
      </w:r>
      <w:r w:rsidRPr="00591E2A">
        <w:rPr>
          <w:rFonts w:asciiTheme="minorEastAsia" w:eastAsiaTheme="minorEastAsia" w:hAnsiTheme="minorEastAsia"/>
          <w:sz w:val="28"/>
          <w:szCs w:val="28"/>
        </w:rPr>
        <w:t>仓单交收和</w:t>
      </w:r>
      <w:r w:rsidRPr="00591E2A">
        <w:rPr>
          <w:rFonts w:asciiTheme="minorEastAsia" w:eastAsiaTheme="minorEastAsia" w:hAnsiTheme="minorEastAsia" w:hint="eastAsia"/>
          <w:sz w:val="28"/>
          <w:szCs w:val="28"/>
        </w:rPr>
        <w:t>现货</w:t>
      </w:r>
      <w:r w:rsidRPr="00591E2A">
        <w:rPr>
          <w:rFonts w:asciiTheme="minorEastAsia" w:eastAsiaTheme="minorEastAsia" w:hAnsiTheme="minorEastAsia"/>
          <w:sz w:val="28"/>
          <w:szCs w:val="28"/>
        </w:rPr>
        <w:t>交收</w:t>
      </w:r>
      <w:r w:rsidRPr="00591E2A">
        <w:rPr>
          <w:rFonts w:asciiTheme="minorEastAsia" w:eastAsiaTheme="minorEastAsia" w:hAnsiTheme="minorEastAsia" w:hint="eastAsia"/>
          <w:sz w:val="28"/>
          <w:szCs w:val="28"/>
        </w:rPr>
        <w:t>两种方式。</w:t>
      </w:r>
    </w:p>
    <w:p w:rsidR="00591E2A" w:rsidRPr="00591E2A" w:rsidRDefault="00591E2A" w:rsidP="00591E2A">
      <w:pPr>
        <w:pStyle w:val="1"/>
        <w:numPr>
          <w:ilvl w:val="0"/>
          <w:numId w:val="2"/>
        </w:numPr>
        <w:tabs>
          <w:tab w:val="left" w:pos="1620"/>
          <w:tab w:val="left" w:pos="1800"/>
        </w:tabs>
        <w:spacing w:line="360" w:lineRule="auto"/>
        <w:ind w:left="0" w:firstLine="560"/>
        <w:rPr>
          <w:rFonts w:asciiTheme="minorEastAsia" w:eastAsiaTheme="minorEastAsia" w:hAnsiTheme="minorEastAsia"/>
          <w:sz w:val="28"/>
          <w:szCs w:val="28"/>
        </w:rPr>
      </w:pPr>
      <w:r w:rsidRPr="00591E2A">
        <w:rPr>
          <w:rFonts w:asciiTheme="minorEastAsia" w:eastAsiaTheme="minorEastAsia" w:hAnsiTheme="minorEastAsia" w:hint="eastAsia"/>
          <w:sz w:val="28"/>
          <w:szCs w:val="28"/>
        </w:rPr>
        <w:t>仓单交收是指卖方将在交易所注册的标准仓单转移给买方以完成实物交收的交收方式。</w:t>
      </w:r>
    </w:p>
    <w:p w:rsidR="00591E2A" w:rsidRPr="00591E2A" w:rsidRDefault="00591E2A" w:rsidP="00591E2A">
      <w:pPr>
        <w:pStyle w:val="1"/>
        <w:numPr>
          <w:ilvl w:val="0"/>
          <w:numId w:val="2"/>
        </w:numPr>
        <w:tabs>
          <w:tab w:val="left" w:pos="1620"/>
          <w:tab w:val="left" w:pos="1800"/>
        </w:tabs>
        <w:spacing w:line="360" w:lineRule="auto"/>
        <w:ind w:left="0" w:firstLine="560"/>
        <w:rPr>
          <w:rFonts w:asciiTheme="minorEastAsia" w:eastAsiaTheme="minorEastAsia" w:hAnsiTheme="minorEastAsia"/>
          <w:sz w:val="28"/>
          <w:szCs w:val="28"/>
        </w:rPr>
      </w:pPr>
      <w:r w:rsidRPr="00591E2A">
        <w:rPr>
          <w:rFonts w:asciiTheme="minorEastAsia" w:eastAsiaTheme="minorEastAsia" w:hAnsiTheme="minorEastAsia" w:hint="eastAsia"/>
          <w:sz w:val="28"/>
          <w:szCs w:val="28"/>
        </w:rPr>
        <w:t>现货交收是指卖方通过将现货商品交付给买方以完成实物交收的交收方式。</w:t>
      </w:r>
    </w:p>
    <w:p w:rsidR="00591E2A" w:rsidRPr="00591E2A" w:rsidRDefault="00591E2A" w:rsidP="00591E2A">
      <w:pPr>
        <w:pStyle w:val="1"/>
        <w:numPr>
          <w:ilvl w:val="0"/>
          <w:numId w:val="2"/>
        </w:numPr>
        <w:tabs>
          <w:tab w:val="left" w:pos="1620"/>
          <w:tab w:val="left" w:pos="1800"/>
        </w:tabs>
        <w:spacing w:line="360" w:lineRule="auto"/>
        <w:ind w:left="0" w:firstLine="560"/>
        <w:rPr>
          <w:rFonts w:asciiTheme="minorEastAsia" w:eastAsiaTheme="minorEastAsia" w:hAnsiTheme="minorEastAsia"/>
          <w:sz w:val="28"/>
          <w:szCs w:val="28"/>
        </w:rPr>
      </w:pPr>
      <w:r w:rsidRPr="00591E2A">
        <w:rPr>
          <w:rFonts w:asciiTheme="minorEastAsia" w:eastAsiaTheme="minorEastAsia" w:hAnsiTheme="minorEastAsia" w:hint="eastAsia"/>
          <w:sz w:val="28"/>
          <w:szCs w:val="28"/>
        </w:rPr>
        <w:t>实物交收的卖方应当向买方开具增值税专用（普通）发票（以下简称发票）。买方应按照税务机关的规定在平台登记开具</w:t>
      </w:r>
      <w:r w:rsidRPr="00591E2A">
        <w:rPr>
          <w:rFonts w:asciiTheme="minorEastAsia" w:eastAsiaTheme="minorEastAsia" w:hAnsiTheme="minorEastAsia" w:hint="eastAsia"/>
          <w:sz w:val="28"/>
          <w:szCs w:val="28"/>
        </w:rPr>
        <w:lastRenderedPageBreak/>
        <w:t>发票所需的具体信息。</w:t>
      </w:r>
    </w:p>
    <w:p w:rsidR="00591E2A" w:rsidRPr="00591E2A" w:rsidRDefault="00591E2A" w:rsidP="00591E2A">
      <w:pPr>
        <w:pStyle w:val="1"/>
        <w:numPr>
          <w:ilvl w:val="0"/>
          <w:numId w:val="2"/>
        </w:numPr>
        <w:tabs>
          <w:tab w:val="left" w:pos="1620"/>
          <w:tab w:val="left" w:pos="1800"/>
        </w:tabs>
        <w:spacing w:line="360" w:lineRule="auto"/>
        <w:ind w:left="0" w:firstLine="560"/>
        <w:rPr>
          <w:rFonts w:asciiTheme="minorEastAsia" w:eastAsiaTheme="minorEastAsia" w:hAnsiTheme="minorEastAsia"/>
          <w:sz w:val="28"/>
          <w:szCs w:val="28"/>
        </w:rPr>
      </w:pPr>
      <w:r w:rsidRPr="00591E2A">
        <w:rPr>
          <w:rFonts w:asciiTheme="minorEastAsia" w:eastAsiaTheme="minorEastAsia" w:hAnsiTheme="minorEastAsia" w:hint="eastAsia"/>
          <w:sz w:val="28"/>
          <w:szCs w:val="28"/>
        </w:rPr>
        <w:t>采用仓单交收的，卖方应</w:t>
      </w:r>
      <w:r w:rsidR="00A42898">
        <w:rPr>
          <w:rFonts w:asciiTheme="minorEastAsia" w:eastAsiaTheme="minorEastAsia" w:hAnsiTheme="minorEastAsia" w:hint="eastAsia"/>
          <w:sz w:val="28"/>
          <w:szCs w:val="28"/>
        </w:rPr>
        <w:t>当</w:t>
      </w:r>
      <w:r w:rsidRPr="00591E2A">
        <w:rPr>
          <w:rFonts w:asciiTheme="minorEastAsia" w:eastAsiaTheme="minorEastAsia" w:hAnsiTheme="minorEastAsia" w:hint="eastAsia"/>
          <w:sz w:val="28"/>
          <w:szCs w:val="28"/>
        </w:rPr>
        <w:t>在仓单过户后</w:t>
      </w:r>
      <w:r w:rsidRPr="00591E2A">
        <w:rPr>
          <w:rFonts w:asciiTheme="minorEastAsia" w:eastAsiaTheme="minorEastAsia" w:hAnsiTheme="minorEastAsia"/>
          <w:sz w:val="28"/>
          <w:szCs w:val="28"/>
        </w:rPr>
        <w:t>7</w:t>
      </w:r>
      <w:r w:rsidRPr="00591E2A">
        <w:rPr>
          <w:rFonts w:asciiTheme="minorEastAsia" w:eastAsiaTheme="minorEastAsia" w:hAnsiTheme="minorEastAsia" w:hint="eastAsia"/>
          <w:sz w:val="28"/>
          <w:szCs w:val="28"/>
        </w:rPr>
        <w:t>个交易日内（不含当日），提交发票。延迟</w:t>
      </w:r>
      <w:r w:rsidRPr="00591E2A">
        <w:rPr>
          <w:rFonts w:asciiTheme="minorEastAsia" w:eastAsiaTheme="minorEastAsia" w:hAnsiTheme="minorEastAsia"/>
          <w:sz w:val="28"/>
          <w:szCs w:val="28"/>
        </w:rPr>
        <w:t>1至10日</w:t>
      </w:r>
      <w:r w:rsidR="00A42898">
        <w:rPr>
          <w:rFonts w:asciiTheme="minorEastAsia" w:eastAsiaTheme="minorEastAsia" w:hAnsiTheme="minorEastAsia" w:hint="eastAsia"/>
          <w:sz w:val="28"/>
          <w:szCs w:val="28"/>
        </w:rPr>
        <w:t>（日</w:t>
      </w:r>
      <w:r w:rsidRPr="00591E2A">
        <w:rPr>
          <w:rFonts w:asciiTheme="minorEastAsia" w:eastAsiaTheme="minorEastAsia" w:hAnsiTheme="minorEastAsia" w:hint="eastAsia"/>
          <w:sz w:val="28"/>
          <w:szCs w:val="28"/>
        </w:rPr>
        <w:t>历日）的，卖方应当每天支付货款金额千分之三的滞纳金；超过</w:t>
      </w:r>
      <w:r w:rsidRPr="00591E2A">
        <w:rPr>
          <w:rFonts w:asciiTheme="minorEastAsia" w:eastAsiaTheme="minorEastAsia" w:hAnsiTheme="minorEastAsia"/>
          <w:sz w:val="28"/>
          <w:szCs w:val="28"/>
        </w:rPr>
        <w:t>10</w:t>
      </w:r>
      <w:r w:rsidR="00A42898">
        <w:rPr>
          <w:rFonts w:asciiTheme="minorEastAsia" w:eastAsiaTheme="minorEastAsia" w:hAnsiTheme="minorEastAsia" w:hint="eastAsia"/>
          <w:sz w:val="28"/>
          <w:szCs w:val="28"/>
        </w:rPr>
        <w:t>日（日</w:t>
      </w:r>
      <w:r w:rsidRPr="00591E2A">
        <w:rPr>
          <w:rFonts w:asciiTheme="minorEastAsia" w:eastAsiaTheme="minorEastAsia" w:hAnsiTheme="minorEastAsia" w:hint="eastAsia"/>
          <w:sz w:val="28"/>
          <w:szCs w:val="28"/>
        </w:rPr>
        <w:t>历日）仍未提交发票的，视为拒绝提供，卖方应当向买方支付违约金。滞纳金和违约金从货款金额中扣除，剩余货款属于卖方。</w:t>
      </w:r>
    </w:p>
    <w:p w:rsidR="00591E2A" w:rsidRPr="00591E2A" w:rsidRDefault="00A42898" w:rsidP="00A42898">
      <w:pPr>
        <w:pStyle w:val="1"/>
        <w:tabs>
          <w:tab w:val="left" w:pos="1620"/>
          <w:tab w:val="left" w:pos="1800"/>
        </w:tabs>
        <w:spacing w:line="360" w:lineRule="auto"/>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违约金比例比照《郑州商品交易所期货交割管理办法</w:t>
      </w:r>
      <w:r w:rsidR="00591E2A" w:rsidRPr="00591E2A">
        <w:rPr>
          <w:rFonts w:asciiTheme="minorEastAsia" w:eastAsiaTheme="minorEastAsia" w:hAnsiTheme="minorEastAsia" w:hint="eastAsia"/>
          <w:sz w:val="28"/>
          <w:szCs w:val="28"/>
        </w:rPr>
        <w:t>》有关规定执行。</w:t>
      </w:r>
    </w:p>
    <w:p w:rsidR="00591E2A" w:rsidRPr="00591E2A" w:rsidRDefault="00591E2A" w:rsidP="00591E2A">
      <w:pPr>
        <w:pStyle w:val="1"/>
        <w:numPr>
          <w:ilvl w:val="0"/>
          <w:numId w:val="2"/>
        </w:numPr>
        <w:tabs>
          <w:tab w:val="left" w:pos="1620"/>
          <w:tab w:val="left" w:pos="1800"/>
        </w:tabs>
        <w:spacing w:line="360" w:lineRule="auto"/>
        <w:ind w:left="0" w:firstLine="560"/>
        <w:rPr>
          <w:rFonts w:asciiTheme="minorEastAsia" w:eastAsiaTheme="minorEastAsia" w:hAnsiTheme="minorEastAsia"/>
          <w:sz w:val="28"/>
          <w:szCs w:val="28"/>
        </w:rPr>
      </w:pPr>
      <w:r w:rsidRPr="00591E2A">
        <w:rPr>
          <w:rFonts w:asciiTheme="minorEastAsia" w:eastAsiaTheme="minorEastAsia" w:hAnsiTheme="minorEastAsia" w:hint="eastAsia"/>
          <w:sz w:val="28"/>
          <w:szCs w:val="28"/>
        </w:rPr>
        <w:t>采用现货交收的，发票开具时间、批次等由买卖双方协商确定。</w:t>
      </w:r>
    </w:p>
    <w:p w:rsidR="00591E2A" w:rsidRPr="00591E2A" w:rsidRDefault="00591E2A" w:rsidP="00591E2A">
      <w:pPr>
        <w:pStyle w:val="1"/>
        <w:numPr>
          <w:ilvl w:val="0"/>
          <w:numId w:val="2"/>
        </w:numPr>
        <w:tabs>
          <w:tab w:val="left" w:pos="1620"/>
          <w:tab w:val="left" w:pos="1800"/>
        </w:tabs>
        <w:spacing w:line="360" w:lineRule="auto"/>
        <w:ind w:left="0" w:firstLine="560"/>
        <w:rPr>
          <w:rFonts w:asciiTheme="minorEastAsia" w:eastAsiaTheme="minorEastAsia" w:hAnsiTheme="minorEastAsia"/>
          <w:sz w:val="28"/>
          <w:szCs w:val="28"/>
        </w:rPr>
      </w:pPr>
      <w:r w:rsidRPr="00591E2A">
        <w:rPr>
          <w:rFonts w:asciiTheme="minorEastAsia" w:eastAsiaTheme="minorEastAsia" w:hAnsiTheme="minorEastAsia" w:hint="eastAsia"/>
          <w:sz w:val="28"/>
          <w:szCs w:val="28"/>
        </w:rPr>
        <w:t>买方应在收到卖方发票后</w:t>
      </w:r>
      <w:r w:rsidRPr="00591E2A">
        <w:rPr>
          <w:rFonts w:asciiTheme="minorEastAsia" w:eastAsiaTheme="minorEastAsia" w:hAnsiTheme="minorEastAsia"/>
          <w:sz w:val="28"/>
          <w:szCs w:val="28"/>
        </w:rPr>
        <w:t>7</w:t>
      </w:r>
      <w:r w:rsidRPr="00591E2A">
        <w:rPr>
          <w:rFonts w:asciiTheme="minorEastAsia" w:eastAsiaTheme="minorEastAsia" w:hAnsiTheme="minorEastAsia" w:hint="eastAsia"/>
          <w:sz w:val="28"/>
          <w:szCs w:val="28"/>
        </w:rPr>
        <w:t>个工作日内（不含当日），对发票进行确认，逾期未确认或未拒绝的，视为确认。买方确认后，交易所划转对应金额的剩余货款给卖方。</w:t>
      </w:r>
    </w:p>
    <w:p w:rsidR="00591E2A" w:rsidRPr="00DF69FE" w:rsidRDefault="00591E2A" w:rsidP="00591E2A">
      <w:pPr>
        <w:pStyle w:val="2"/>
        <w:ind w:firstLineChars="0" w:firstLine="0"/>
        <w:jc w:val="center"/>
        <w:rPr>
          <w:rFonts w:ascii="黑体" w:eastAsia="黑体" w:hAnsi="黑体"/>
        </w:rPr>
      </w:pPr>
      <w:bookmarkStart w:id="6" w:name="_Toc499133653"/>
      <w:bookmarkStart w:id="7" w:name="_Toc499134524"/>
      <w:r w:rsidRPr="00DF69FE">
        <w:rPr>
          <w:rFonts w:ascii="黑体" w:eastAsia="黑体" w:hAnsi="黑体"/>
        </w:rPr>
        <w:t>第</w:t>
      </w:r>
      <w:r w:rsidRPr="00DF69FE">
        <w:rPr>
          <w:rFonts w:ascii="黑体" w:eastAsia="黑体" w:hAnsi="黑体" w:hint="eastAsia"/>
        </w:rPr>
        <w:t xml:space="preserve">六章 </w:t>
      </w:r>
      <w:r w:rsidRPr="00DF69FE">
        <w:rPr>
          <w:rFonts w:ascii="黑体" w:eastAsia="黑体" w:hAnsi="黑体"/>
        </w:rPr>
        <w:t>违规</w:t>
      </w:r>
      <w:r w:rsidRPr="00DF69FE">
        <w:rPr>
          <w:rFonts w:ascii="黑体" w:eastAsia="黑体" w:hAnsi="黑体" w:hint="eastAsia"/>
        </w:rPr>
        <w:t>、违约</w:t>
      </w:r>
      <w:r w:rsidRPr="00DF69FE">
        <w:rPr>
          <w:rFonts w:ascii="黑体" w:eastAsia="黑体" w:hAnsi="黑体"/>
        </w:rPr>
        <w:t>处理</w:t>
      </w:r>
      <w:bookmarkEnd w:id="6"/>
      <w:bookmarkEnd w:id="7"/>
    </w:p>
    <w:p w:rsidR="00591E2A" w:rsidRPr="00591E2A" w:rsidRDefault="00591E2A" w:rsidP="00591E2A">
      <w:pPr>
        <w:pStyle w:val="1"/>
        <w:numPr>
          <w:ilvl w:val="0"/>
          <w:numId w:val="2"/>
        </w:numPr>
        <w:tabs>
          <w:tab w:val="left" w:pos="1620"/>
          <w:tab w:val="left" w:pos="1800"/>
        </w:tabs>
        <w:spacing w:line="360" w:lineRule="auto"/>
        <w:ind w:left="0" w:firstLine="560"/>
        <w:rPr>
          <w:rFonts w:asciiTheme="minorEastAsia" w:eastAsiaTheme="minorEastAsia" w:hAnsiTheme="minorEastAsia"/>
          <w:sz w:val="28"/>
          <w:szCs w:val="28"/>
        </w:rPr>
      </w:pPr>
      <w:r w:rsidRPr="00591E2A">
        <w:rPr>
          <w:rFonts w:asciiTheme="minorEastAsia" w:eastAsiaTheme="minorEastAsia" w:hAnsiTheme="minorEastAsia" w:hint="eastAsia"/>
          <w:sz w:val="28"/>
          <w:szCs w:val="28"/>
        </w:rPr>
        <w:t>违规行为是指期货</w:t>
      </w:r>
      <w:r w:rsidRPr="00591E2A">
        <w:rPr>
          <w:rFonts w:asciiTheme="minorEastAsia" w:eastAsiaTheme="minorEastAsia" w:hAnsiTheme="minorEastAsia"/>
          <w:sz w:val="28"/>
          <w:szCs w:val="28"/>
        </w:rPr>
        <w:t>公司、</w:t>
      </w:r>
      <w:r w:rsidRPr="00591E2A">
        <w:rPr>
          <w:rFonts w:asciiTheme="minorEastAsia" w:eastAsiaTheme="minorEastAsia" w:hAnsiTheme="minorEastAsia" w:hint="eastAsia"/>
          <w:sz w:val="28"/>
          <w:szCs w:val="28"/>
        </w:rPr>
        <w:t>期货保证金存管银行、客户、交易商及其他市场参与者违反本办法及其他有关规定的行为。</w:t>
      </w:r>
    </w:p>
    <w:p w:rsidR="00591E2A" w:rsidRPr="00591E2A" w:rsidRDefault="00591E2A" w:rsidP="00591E2A">
      <w:pPr>
        <w:pStyle w:val="1"/>
        <w:numPr>
          <w:ilvl w:val="0"/>
          <w:numId w:val="2"/>
        </w:numPr>
        <w:tabs>
          <w:tab w:val="left" w:pos="1620"/>
          <w:tab w:val="left" w:pos="1800"/>
        </w:tabs>
        <w:spacing w:line="360" w:lineRule="auto"/>
        <w:ind w:left="0" w:firstLine="560"/>
        <w:rPr>
          <w:rFonts w:asciiTheme="minorEastAsia" w:eastAsiaTheme="minorEastAsia" w:hAnsiTheme="minorEastAsia"/>
          <w:sz w:val="28"/>
          <w:szCs w:val="28"/>
        </w:rPr>
      </w:pPr>
      <w:r w:rsidRPr="00591E2A">
        <w:rPr>
          <w:rFonts w:asciiTheme="minorEastAsia" w:eastAsiaTheme="minorEastAsia" w:hAnsiTheme="minorEastAsia" w:hint="eastAsia"/>
          <w:sz w:val="28"/>
          <w:szCs w:val="28"/>
        </w:rPr>
        <w:t>交易所对市场参与者以下违规行为，视情节轻重，给予警告、通报批评、公开谴责、强行平仓、暂停开仓交易、取消参与资格的纪律处分等监管措施：</w:t>
      </w:r>
    </w:p>
    <w:p w:rsidR="00591E2A" w:rsidRPr="00591E2A" w:rsidRDefault="00A53BE1" w:rsidP="00A53BE1">
      <w:pPr>
        <w:pStyle w:val="1"/>
        <w:tabs>
          <w:tab w:val="left" w:pos="1620"/>
          <w:tab w:val="left" w:pos="1800"/>
        </w:tabs>
        <w:spacing w:line="360" w:lineRule="auto"/>
        <w:ind w:left="560" w:firstLineChars="0" w:firstLine="0"/>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00591E2A" w:rsidRPr="00591E2A">
        <w:rPr>
          <w:rFonts w:asciiTheme="minorEastAsia" w:eastAsiaTheme="minorEastAsia" w:hAnsiTheme="minorEastAsia" w:hint="eastAsia"/>
          <w:sz w:val="28"/>
          <w:szCs w:val="28"/>
        </w:rPr>
        <w:t>违反客户适当性有关规定的；</w:t>
      </w:r>
    </w:p>
    <w:p w:rsidR="00591E2A" w:rsidRPr="00591E2A" w:rsidRDefault="00A53BE1" w:rsidP="00A53BE1">
      <w:pPr>
        <w:pStyle w:val="1"/>
        <w:tabs>
          <w:tab w:val="left" w:pos="1620"/>
          <w:tab w:val="left" w:pos="1800"/>
        </w:tabs>
        <w:spacing w:line="360" w:lineRule="auto"/>
        <w:ind w:left="560" w:firstLineChars="0" w:firstLine="0"/>
        <w:rPr>
          <w:rFonts w:asciiTheme="minorEastAsia" w:eastAsiaTheme="minorEastAsia" w:hAnsiTheme="minorEastAsia"/>
          <w:sz w:val="28"/>
          <w:szCs w:val="28"/>
        </w:rPr>
      </w:pPr>
      <w:r>
        <w:rPr>
          <w:rFonts w:asciiTheme="minorEastAsia" w:eastAsiaTheme="minorEastAsia" w:hAnsiTheme="minorEastAsia" w:hint="eastAsia"/>
          <w:sz w:val="28"/>
          <w:szCs w:val="28"/>
        </w:rPr>
        <w:t>（二）</w:t>
      </w:r>
      <w:r w:rsidR="00591E2A" w:rsidRPr="00591E2A">
        <w:rPr>
          <w:rFonts w:asciiTheme="minorEastAsia" w:eastAsiaTheme="minorEastAsia" w:hAnsiTheme="minorEastAsia" w:hint="eastAsia"/>
          <w:sz w:val="28"/>
          <w:szCs w:val="28"/>
        </w:rPr>
        <w:t>未按规定向交易所交纳相关费用的；</w:t>
      </w:r>
    </w:p>
    <w:p w:rsidR="00591E2A" w:rsidRPr="00591E2A" w:rsidRDefault="00A53BE1" w:rsidP="00A53BE1">
      <w:pPr>
        <w:pStyle w:val="1"/>
        <w:tabs>
          <w:tab w:val="left" w:pos="1620"/>
          <w:tab w:val="left" w:pos="1800"/>
        </w:tabs>
        <w:spacing w:line="360" w:lineRule="auto"/>
        <w:ind w:left="560" w:firstLineChars="0" w:firstLine="0"/>
        <w:rPr>
          <w:rFonts w:asciiTheme="minorEastAsia" w:eastAsiaTheme="minorEastAsia" w:hAnsiTheme="minorEastAsia"/>
          <w:sz w:val="28"/>
          <w:szCs w:val="28"/>
        </w:rPr>
      </w:pPr>
      <w:r>
        <w:rPr>
          <w:rFonts w:asciiTheme="minorEastAsia" w:eastAsiaTheme="minorEastAsia" w:hAnsiTheme="minorEastAsia" w:hint="eastAsia"/>
          <w:sz w:val="28"/>
          <w:szCs w:val="28"/>
        </w:rPr>
        <w:t>（三）</w:t>
      </w:r>
      <w:r w:rsidR="00591E2A" w:rsidRPr="00591E2A">
        <w:rPr>
          <w:rFonts w:asciiTheme="minorEastAsia" w:eastAsiaTheme="minorEastAsia" w:hAnsiTheme="minorEastAsia" w:hint="eastAsia"/>
          <w:sz w:val="28"/>
          <w:szCs w:val="28"/>
        </w:rPr>
        <w:t>未经交易所许可，擅自发布交易信息的；</w:t>
      </w:r>
    </w:p>
    <w:p w:rsidR="00591E2A" w:rsidRPr="00591E2A" w:rsidRDefault="00A53BE1" w:rsidP="00A53BE1">
      <w:pPr>
        <w:pStyle w:val="1"/>
        <w:tabs>
          <w:tab w:val="left" w:pos="1620"/>
          <w:tab w:val="left" w:pos="1800"/>
        </w:tabs>
        <w:spacing w:line="360" w:lineRule="auto"/>
        <w:ind w:left="560" w:firstLineChars="0" w:firstLine="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（四）</w:t>
      </w:r>
      <w:r w:rsidR="00591E2A" w:rsidRPr="00591E2A">
        <w:rPr>
          <w:rFonts w:asciiTheme="minorEastAsia" w:eastAsiaTheme="minorEastAsia" w:hAnsiTheme="minorEastAsia" w:hint="eastAsia"/>
          <w:sz w:val="28"/>
          <w:szCs w:val="28"/>
        </w:rPr>
        <w:t>其他违反法律法规以及中国证监会和交易所有关规定的。</w:t>
      </w:r>
    </w:p>
    <w:p w:rsidR="00591E2A" w:rsidRPr="00591E2A" w:rsidRDefault="00591E2A" w:rsidP="00591E2A">
      <w:pPr>
        <w:pStyle w:val="1"/>
        <w:numPr>
          <w:ilvl w:val="0"/>
          <w:numId w:val="2"/>
        </w:numPr>
        <w:tabs>
          <w:tab w:val="left" w:pos="1620"/>
          <w:tab w:val="left" w:pos="1800"/>
        </w:tabs>
        <w:spacing w:line="360" w:lineRule="auto"/>
        <w:ind w:left="0" w:firstLine="560"/>
        <w:rPr>
          <w:rFonts w:asciiTheme="minorEastAsia" w:eastAsiaTheme="minorEastAsia" w:hAnsiTheme="minorEastAsia"/>
          <w:sz w:val="28"/>
          <w:szCs w:val="28"/>
        </w:rPr>
      </w:pPr>
      <w:r w:rsidRPr="00591E2A">
        <w:rPr>
          <w:rFonts w:asciiTheme="minorEastAsia" w:eastAsiaTheme="minorEastAsia" w:hAnsiTheme="minorEastAsia" w:hint="eastAsia"/>
          <w:sz w:val="28"/>
          <w:szCs w:val="28"/>
        </w:rPr>
        <w:t>平台上发生涉嫌利用交易转移资金或者牟取不当利益等异常交易的，交易所可以要求客户说明情况。涉嫌违法犯罪的，交易所依法移送有权机关处理。</w:t>
      </w:r>
    </w:p>
    <w:p w:rsidR="00591E2A" w:rsidRPr="00591E2A" w:rsidRDefault="00591E2A" w:rsidP="00591E2A">
      <w:pPr>
        <w:pStyle w:val="1"/>
        <w:numPr>
          <w:ilvl w:val="0"/>
          <w:numId w:val="2"/>
        </w:numPr>
        <w:tabs>
          <w:tab w:val="left" w:pos="1620"/>
          <w:tab w:val="left" w:pos="1800"/>
        </w:tabs>
        <w:spacing w:line="360" w:lineRule="auto"/>
        <w:ind w:left="0" w:firstLine="560"/>
        <w:rPr>
          <w:rFonts w:asciiTheme="minorEastAsia" w:eastAsiaTheme="minorEastAsia" w:hAnsiTheme="minorEastAsia"/>
          <w:sz w:val="28"/>
          <w:szCs w:val="28"/>
        </w:rPr>
      </w:pPr>
      <w:r w:rsidRPr="00591E2A">
        <w:rPr>
          <w:rFonts w:asciiTheme="minorEastAsia" w:eastAsiaTheme="minorEastAsia" w:hAnsiTheme="minorEastAsia" w:hint="eastAsia"/>
          <w:sz w:val="28"/>
          <w:szCs w:val="28"/>
        </w:rPr>
        <w:t>客户未按协议约定及时、足额支付应付资金或完成实物交收的，视为违约，应承担违约责任。客户频繁违约或严重违约的，交易所有权取消其参与资格。</w:t>
      </w:r>
    </w:p>
    <w:p w:rsidR="00591E2A" w:rsidRPr="00591E2A" w:rsidRDefault="00591E2A" w:rsidP="00591E2A">
      <w:pPr>
        <w:pStyle w:val="1"/>
        <w:numPr>
          <w:ilvl w:val="0"/>
          <w:numId w:val="2"/>
        </w:numPr>
        <w:tabs>
          <w:tab w:val="left" w:pos="1620"/>
          <w:tab w:val="left" w:pos="1800"/>
        </w:tabs>
        <w:spacing w:line="360" w:lineRule="auto"/>
        <w:ind w:left="0" w:firstLine="560"/>
        <w:rPr>
          <w:rFonts w:asciiTheme="minorEastAsia" w:eastAsiaTheme="minorEastAsia" w:hAnsiTheme="minorEastAsia"/>
          <w:sz w:val="28"/>
          <w:szCs w:val="28"/>
        </w:rPr>
      </w:pPr>
      <w:r w:rsidRPr="00591E2A">
        <w:rPr>
          <w:rFonts w:asciiTheme="minorEastAsia" w:eastAsiaTheme="minorEastAsia" w:hAnsiTheme="minorEastAsia" w:hint="eastAsia"/>
          <w:sz w:val="28"/>
          <w:szCs w:val="28"/>
        </w:rPr>
        <w:t>客户发生违约、违规行为的，交易所可以将相关信息记入平台诚信数据库。具体办法另行规定。</w:t>
      </w:r>
    </w:p>
    <w:p w:rsidR="00591E2A" w:rsidRPr="00DF69FE" w:rsidRDefault="00591E2A" w:rsidP="00591E2A">
      <w:pPr>
        <w:pStyle w:val="2"/>
        <w:ind w:firstLineChars="0" w:firstLine="0"/>
        <w:jc w:val="center"/>
        <w:rPr>
          <w:rFonts w:ascii="黑体" w:eastAsia="黑体" w:hAnsi="黑体"/>
        </w:rPr>
      </w:pPr>
      <w:bookmarkStart w:id="8" w:name="_Toc499133654"/>
      <w:bookmarkStart w:id="9" w:name="_Toc499134525"/>
      <w:r w:rsidRPr="00DF69FE">
        <w:rPr>
          <w:rFonts w:ascii="黑体" w:eastAsia="黑体" w:hAnsi="黑体" w:hint="eastAsia"/>
        </w:rPr>
        <w:t>第七章</w:t>
      </w:r>
      <w:r w:rsidRPr="00DF69FE">
        <w:rPr>
          <w:rFonts w:ascii="黑体" w:eastAsia="黑体" w:hAnsi="黑体"/>
        </w:rPr>
        <w:t xml:space="preserve"> 附</w:t>
      </w:r>
      <w:r>
        <w:rPr>
          <w:rFonts w:ascii="黑体" w:eastAsia="黑体" w:hAnsi="黑体" w:hint="eastAsia"/>
        </w:rPr>
        <w:t xml:space="preserve"> </w:t>
      </w:r>
      <w:r w:rsidRPr="00DF69FE">
        <w:rPr>
          <w:rFonts w:ascii="黑体" w:eastAsia="黑体" w:hAnsi="黑体"/>
        </w:rPr>
        <w:t>则</w:t>
      </w:r>
      <w:bookmarkEnd w:id="8"/>
      <w:bookmarkEnd w:id="9"/>
    </w:p>
    <w:p w:rsidR="00591E2A" w:rsidRPr="00591E2A" w:rsidRDefault="00591E2A" w:rsidP="00591E2A">
      <w:pPr>
        <w:pStyle w:val="1"/>
        <w:numPr>
          <w:ilvl w:val="0"/>
          <w:numId w:val="2"/>
        </w:numPr>
        <w:tabs>
          <w:tab w:val="left" w:pos="1620"/>
          <w:tab w:val="left" w:pos="1800"/>
        </w:tabs>
        <w:spacing w:line="360" w:lineRule="auto"/>
        <w:ind w:left="0" w:firstLine="560"/>
        <w:rPr>
          <w:rFonts w:asciiTheme="minorEastAsia" w:eastAsiaTheme="minorEastAsia" w:hAnsiTheme="minorEastAsia"/>
          <w:sz w:val="28"/>
          <w:szCs w:val="28"/>
        </w:rPr>
      </w:pPr>
      <w:r w:rsidRPr="00591E2A">
        <w:rPr>
          <w:rFonts w:asciiTheme="minorEastAsia" w:eastAsiaTheme="minorEastAsia" w:hAnsiTheme="minorEastAsia" w:hint="eastAsia"/>
          <w:sz w:val="28"/>
          <w:szCs w:val="28"/>
        </w:rPr>
        <w:t>交易所对平台交易信息拥有专属权益，未经交易所许可，任何自然人、法人或其他组织不得将其用于商业用途。交易信息由交易所统一管理和发布,交易所可以独立、与第三方合作或委托第三方对交易信息进行经营管理。</w:t>
      </w:r>
    </w:p>
    <w:p w:rsidR="00591E2A" w:rsidRPr="00591E2A" w:rsidRDefault="00591E2A" w:rsidP="00591E2A">
      <w:pPr>
        <w:pStyle w:val="1"/>
        <w:numPr>
          <w:ilvl w:val="0"/>
          <w:numId w:val="2"/>
        </w:numPr>
        <w:tabs>
          <w:tab w:val="left" w:pos="1620"/>
          <w:tab w:val="left" w:pos="1800"/>
        </w:tabs>
        <w:spacing w:line="360" w:lineRule="auto"/>
        <w:ind w:left="0" w:firstLine="560"/>
        <w:rPr>
          <w:rFonts w:asciiTheme="minorEastAsia" w:eastAsiaTheme="minorEastAsia" w:hAnsiTheme="minorEastAsia"/>
          <w:sz w:val="28"/>
          <w:szCs w:val="28"/>
        </w:rPr>
      </w:pPr>
      <w:r w:rsidRPr="00591E2A">
        <w:rPr>
          <w:rFonts w:asciiTheme="minorEastAsia" w:eastAsiaTheme="minorEastAsia" w:hAnsiTheme="minorEastAsia"/>
          <w:sz w:val="28"/>
          <w:szCs w:val="28"/>
        </w:rPr>
        <w:t>本</w:t>
      </w:r>
      <w:r w:rsidRPr="00591E2A">
        <w:rPr>
          <w:rFonts w:asciiTheme="minorEastAsia" w:eastAsiaTheme="minorEastAsia" w:hAnsiTheme="minorEastAsia" w:hint="eastAsia"/>
          <w:sz w:val="28"/>
          <w:szCs w:val="28"/>
        </w:rPr>
        <w:t>办法</w:t>
      </w:r>
      <w:r w:rsidRPr="00591E2A">
        <w:rPr>
          <w:rFonts w:asciiTheme="minorEastAsia" w:eastAsiaTheme="minorEastAsia" w:hAnsiTheme="minorEastAsia"/>
          <w:sz w:val="28"/>
          <w:szCs w:val="28"/>
        </w:rPr>
        <w:t>未明确规定的，</w:t>
      </w:r>
      <w:r w:rsidRPr="00591E2A">
        <w:rPr>
          <w:rFonts w:asciiTheme="minorEastAsia" w:eastAsiaTheme="minorEastAsia" w:hAnsiTheme="minorEastAsia" w:hint="eastAsia"/>
          <w:sz w:val="28"/>
          <w:szCs w:val="28"/>
        </w:rPr>
        <w:t>参</w:t>
      </w:r>
      <w:r w:rsidRPr="00591E2A">
        <w:rPr>
          <w:rFonts w:asciiTheme="minorEastAsia" w:eastAsiaTheme="minorEastAsia" w:hAnsiTheme="minorEastAsia"/>
          <w:sz w:val="28"/>
          <w:szCs w:val="28"/>
        </w:rPr>
        <w:t>照</w:t>
      </w:r>
      <w:r w:rsidRPr="00591E2A">
        <w:rPr>
          <w:rFonts w:asciiTheme="minorEastAsia" w:eastAsiaTheme="minorEastAsia" w:hAnsiTheme="minorEastAsia" w:hint="eastAsia"/>
          <w:sz w:val="28"/>
          <w:szCs w:val="28"/>
        </w:rPr>
        <w:t>交易所有关</w:t>
      </w:r>
      <w:r w:rsidRPr="00591E2A">
        <w:rPr>
          <w:rFonts w:asciiTheme="minorEastAsia" w:eastAsiaTheme="minorEastAsia" w:hAnsiTheme="minorEastAsia"/>
          <w:sz w:val="28"/>
          <w:szCs w:val="28"/>
        </w:rPr>
        <w:t>规定执行。</w:t>
      </w:r>
    </w:p>
    <w:p w:rsidR="00591E2A" w:rsidRPr="00591E2A" w:rsidRDefault="00591E2A" w:rsidP="00591E2A">
      <w:pPr>
        <w:pStyle w:val="1"/>
        <w:numPr>
          <w:ilvl w:val="0"/>
          <w:numId w:val="2"/>
        </w:numPr>
        <w:tabs>
          <w:tab w:val="left" w:pos="1620"/>
          <w:tab w:val="left" w:pos="1800"/>
        </w:tabs>
        <w:spacing w:line="360" w:lineRule="auto"/>
        <w:ind w:left="0" w:firstLine="560"/>
        <w:rPr>
          <w:rFonts w:asciiTheme="minorEastAsia" w:eastAsiaTheme="minorEastAsia" w:hAnsiTheme="minorEastAsia"/>
          <w:sz w:val="28"/>
          <w:szCs w:val="28"/>
        </w:rPr>
      </w:pPr>
      <w:r w:rsidRPr="00591E2A">
        <w:rPr>
          <w:rFonts w:asciiTheme="minorEastAsia" w:eastAsiaTheme="minorEastAsia" w:hAnsiTheme="minorEastAsia"/>
          <w:sz w:val="28"/>
          <w:szCs w:val="28"/>
        </w:rPr>
        <w:t>本办法解释权属于郑州商品交易所</w:t>
      </w:r>
      <w:r w:rsidRPr="00591E2A">
        <w:rPr>
          <w:rFonts w:asciiTheme="minorEastAsia" w:eastAsiaTheme="minorEastAsia" w:hAnsiTheme="minorEastAsia" w:hint="eastAsia"/>
          <w:sz w:val="28"/>
          <w:szCs w:val="28"/>
        </w:rPr>
        <w:t>。</w:t>
      </w:r>
    </w:p>
    <w:p w:rsidR="00591E2A" w:rsidRPr="00591E2A" w:rsidRDefault="00591E2A" w:rsidP="00591E2A">
      <w:pPr>
        <w:pStyle w:val="1"/>
        <w:numPr>
          <w:ilvl w:val="0"/>
          <w:numId w:val="2"/>
        </w:numPr>
        <w:tabs>
          <w:tab w:val="left" w:pos="1620"/>
          <w:tab w:val="left" w:pos="1800"/>
        </w:tabs>
        <w:spacing w:line="360" w:lineRule="auto"/>
        <w:ind w:left="0" w:firstLine="560"/>
        <w:rPr>
          <w:rFonts w:asciiTheme="minorEastAsia" w:eastAsiaTheme="minorEastAsia" w:hAnsiTheme="minorEastAsia"/>
          <w:sz w:val="28"/>
          <w:szCs w:val="28"/>
        </w:rPr>
      </w:pPr>
      <w:r w:rsidRPr="00591E2A">
        <w:rPr>
          <w:rFonts w:asciiTheme="minorEastAsia" w:eastAsiaTheme="minorEastAsia" w:hAnsiTheme="minorEastAsia"/>
          <w:sz w:val="28"/>
          <w:szCs w:val="28"/>
        </w:rPr>
        <w:t>本办法自</w:t>
      </w:r>
      <w:r w:rsidR="009025E9">
        <w:rPr>
          <w:rFonts w:asciiTheme="minorEastAsia" w:eastAsiaTheme="minorEastAsia" w:hAnsiTheme="minorEastAsia" w:hint="eastAsia"/>
          <w:sz w:val="28"/>
          <w:szCs w:val="28"/>
        </w:rPr>
        <w:t>2022年12月1日</w:t>
      </w:r>
      <w:r w:rsidRPr="00591E2A">
        <w:rPr>
          <w:rFonts w:asciiTheme="minorEastAsia" w:eastAsiaTheme="minorEastAsia" w:hAnsiTheme="minorEastAsia"/>
          <w:sz w:val="28"/>
          <w:szCs w:val="28"/>
        </w:rPr>
        <w:t>起</w:t>
      </w:r>
      <w:r w:rsidRPr="00591E2A">
        <w:rPr>
          <w:rFonts w:asciiTheme="minorEastAsia" w:eastAsiaTheme="minorEastAsia" w:hAnsiTheme="minorEastAsia" w:hint="eastAsia"/>
          <w:sz w:val="28"/>
          <w:szCs w:val="28"/>
        </w:rPr>
        <w:t>施行</w:t>
      </w:r>
      <w:r w:rsidRPr="00591E2A">
        <w:rPr>
          <w:rFonts w:asciiTheme="minorEastAsia" w:eastAsiaTheme="minorEastAsia" w:hAnsiTheme="minorEastAsia"/>
          <w:sz w:val="28"/>
          <w:szCs w:val="28"/>
        </w:rPr>
        <w:t>。</w:t>
      </w:r>
    </w:p>
    <w:p w:rsidR="00591E2A" w:rsidRPr="00591E2A" w:rsidRDefault="00591E2A" w:rsidP="000959B9">
      <w:pPr>
        <w:rPr>
          <w:rFonts w:ascii="黑体" w:eastAsia="黑体" w:hAnsi="黑体"/>
          <w:sz w:val="32"/>
          <w:szCs w:val="32"/>
        </w:rPr>
        <w:sectPr w:rsidR="00591E2A" w:rsidRPr="00591E2A" w:rsidSect="00745C89">
          <w:pgSz w:w="11906" w:h="16838"/>
          <w:pgMar w:top="1440" w:right="1800" w:bottom="1440" w:left="1800" w:header="851" w:footer="992" w:gutter="0"/>
          <w:cols w:space="425"/>
          <w:docGrid w:type="lines" w:linePitch="312"/>
        </w:sectPr>
      </w:pPr>
    </w:p>
    <w:p w:rsidR="000959B9" w:rsidRDefault="000959B9" w:rsidP="000959B9">
      <w:pPr>
        <w:rPr>
          <w:rFonts w:ascii="黑体" w:eastAsia="黑体" w:hAnsi="黑体"/>
          <w:sz w:val="32"/>
          <w:szCs w:val="32"/>
        </w:rPr>
      </w:pPr>
      <w:r w:rsidRPr="00EE4018">
        <w:rPr>
          <w:rFonts w:ascii="黑体" w:eastAsia="黑体" w:hAnsi="黑体"/>
          <w:sz w:val="32"/>
          <w:szCs w:val="32"/>
        </w:rPr>
        <w:lastRenderedPageBreak/>
        <w:t>附件</w:t>
      </w:r>
      <w:r w:rsidR="00C44706">
        <w:rPr>
          <w:rFonts w:ascii="黑体" w:eastAsia="黑体" w:hAnsi="黑体" w:hint="eastAsia"/>
          <w:sz w:val="32"/>
          <w:szCs w:val="32"/>
        </w:rPr>
        <w:t>12</w:t>
      </w:r>
      <w:r w:rsidRPr="00EE4018">
        <w:rPr>
          <w:rFonts w:ascii="黑体" w:eastAsia="黑体" w:hAnsi="黑体" w:hint="eastAsia"/>
          <w:sz w:val="32"/>
          <w:szCs w:val="32"/>
        </w:rPr>
        <w:t>-</w:t>
      </w:r>
      <w:r w:rsidR="00C44706">
        <w:rPr>
          <w:rFonts w:ascii="黑体" w:eastAsia="黑体" w:hAnsi="黑体" w:hint="eastAsia"/>
          <w:sz w:val="32"/>
          <w:szCs w:val="32"/>
        </w:rPr>
        <w:t>2</w:t>
      </w:r>
    </w:p>
    <w:p w:rsidR="000959B9" w:rsidRDefault="000959B9" w:rsidP="000959B9">
      <w:pPr>
        <w:widowControl/>
        <w:ind w:left="1988" w:hangingChars="450" w:hanging="1988"/>
        <w:jc w:val="center"/>
        <w:rPr>
          <w:rFonts w:ascii="宋体" w:hAnsi="宋体"/>
          <w:b/>
          <w:sz w:val="44"/>
          <w:szCs w:val="44"/>
        </w:rPr>
      </w:pPr>
      <w:r w:rsidRPr="00EA5DBC">
        <w:rPr>
          <w:rFonts w:ascii="宋体" w:hAnsi="宋体" w:hint="eastAsia"/>
          <w:b/>
          <w:sz w:val="44"/>
          <w:szCs w:val="44"/>
        </w:rPr>
        <w:t>郑州商品交易所综合业务平台管理办法</w:t>
      </w:r>
    </w:p>
    <w:p w:rsidR="000959B9" w:rsidRPr="005311A7" w:rsidRDefault="00C44706" w:rsidP="000959B9">
      <w:pPr>
        <w:widowControl/>
        <w:ind w:left="1988" w:hangingChars="450" w:hanging="1988"/>
        <w:jc w:val="center"/>
        <w:rPr>
          <w:rFonts w:ascii="宋体" w:hAnsi="宋体"/>
          <w:b/>
          <w:sz w:val="44"/>
          <w:szCs w:val="44"/>
        </w:rPr>
      </w:pPr>
      <w:r>
        <w:rPr>
          <w:rFonts w:ascii="宋体" w:hAnsi="宋体" w:hint="eastAsia"/>
          <w:b/>
          <w:sz w:val="44"/>
          <w:szCs w:val="44"/>
        </w:rPr>
        <w:t>（对比稿</w:t>
      </w:r>
      <w:r w:rsidR="000959B9">
        <w:rPr>
          <w:rFonts w:ascii="宋体" w:hAnsi="宋体" w:hint="eastAsia"/>
          <w:b/>
          <w:sz w:val="44"/>
          <w:szCs w:val="44"/>
        </w:rPr>
        <w:t>）</w:t>
      </w:r>
    </w:p>
    <w:p w:rsidR="000959B9" w:rsidRPr="00D812F1" w:rsidRDefault="000959B9" w:rsidP="000959B9">
      <w:bookmarkStart w:id="10" w:name="_Toc499133648"/>
      <w:bookmarkStart w:id="11" w:name="_Toc499134519"/>
      <w:bookmarkStart w:id="12" w:name="_Toc499133646"/>
    </w:p>
    <w:bookmarkEnd w:id="10"/>
    <w:bookmarkEnd w:id="11"/>
    <w:p w:rsidR="000959B9" w:rsidRPr="00D7590C" w:rsidRDefault="000959B9" w:rsidP="000959B9">
      <w:pPr>
        <w:pStyle w:val="1"/>
        <w:tabs>
          <w:tab w:val="left" w:pos="1620"/>
          <w:tab w:val="left" w:pos="1800"/>
        </w:tabs>
        <w:spacing w:line="360" w:lineRule="auto"/>
        <w:ind w:firstLineChars="230" w:firstLine="644"/>
        <w:rPr>
          <w:rFonts w:asciiTheme="minorEastAsia" w:eastAsiaTheme="minorEastAsia" w:hAnsiTheme="minorEastAsia"/>
          <w:sz w:val="28"/>
          <w:szCs w:val="28"/>
        </w:rPr>
      </w:pPr>
      <w:r w:rsidRPr="00D7590C">
        <w:rPr>
          <w:rFonts w:ascii="黑体" w:eastAsia="黑体" w:hAnsi="黑体" w:hint="eastAsia"/>
          <w:sz w:val="28"/>
          <w:szCs w:val="28"/>
        </w:rPr>
        <w:t>第三十条</w:t>
      </w:r>
      <w:r w:rsidRPr="00D7590C">
        <w:rPr>
          <w:rFonts w:asciiTheme="minorEastAsia" w:eastAsiaTheme="minorEastAsia" w:hAnsiTheme="minorEastAsia" w:hint="eastAsia"/>
          <w:sz w:val="28"/>
          <w:szCs w:val="28"/>
        </w:rPr>
        <w:t xml:space="preserve"> 采用仓单交收的，卖方应</w:t>
      </w:r>
      <w:r w:rsidRPr="007F559B">
        <w:rPr>
          <w:rFonts w:asciiTheme="minorEastAsia" w:eastAsiaTheme="minorEastAsia" w:hAnsiTheme="minorEastAsia" w:hint="eastAsia"/>
          <w:b/>
          <w:sz w:val="28"/>
          <w:szCs w:val="28"/>
        </w:rPr>
        <w:t>当</w:t>
      </w:r>
      <w:r w:rsidRPr="00D7590C">
        <w:rPr>
          <w:rFonts w:asciiTheme="minorEastAsia" w:eastAsiaTheme="minorEastAsia" w:hAnsiTheme="minorEastAsia" w:hint="eastAsia"/>
          <w:sz w:val="28"/>
          <w:szCs w:val="28"/>
        </w:rPr>
        <w:t>在仓单过户后</w:t>
      </w:r>
      <w:r w:rsidRPr="00D7590C">
        <w:rPr>
          <w:rFonts w:asciiTheme="minorEastAsia" w:eastAsiaTheme="minorEastAsia" w:hAnsiTheme="minorEastAsia"/>
          <w:sz w:val="28"/>
          <w:szCs w:val="28"/>
        </w:rPr>
        <w:t>7</w:t>
      </w:r>
      <w:r w:rsidRPr="00D7590C">
        <w:rPr>
          <w:rFonts w:asciiTheme="minorEastAsia" w:eastAsiaTheme="minorEastAsia" w:hAnsiTheme="minorEastAsia" w:hint="eastAsia"/>
          <w:sz w:val="28"/>
          <w:szCs w:val="28"/>
        </w:rPr>
        <w:t>个交易日内（不含当日），提交发票。延迟</w:t>
      </w:r>
      <w:r w:rsidRPr="00D7590C">
        <w:rPr>
          <w:rFonts w:asciiTheme="minorEastAsia" w:eastAsiaTheme="minorEastAsia" w:hAnsiTheme="minorEastAsia"/>
          <w:sz w:val="28"/>
          <w:szCs w:val="28"/>
        </w:rPr>
        <w:t>1至10日</w:t>
      </w:r>
      <w:r w:rsidRPr="00D7590C">
        <w:rPr>
          <w:rFonts w:asciiTheme="minorEastAsia" w:eastAsiaTheme="minorEastAsia" w:hAnsiTheme="minorEastAsia" w:hint="eastAsia"/>
          <w:sz w:val="28"/>
          <w:szCs w:val="28"/>
        </w:rPr>
        <w:t>（</w:t>
      </w:r>
      <w:r w:rsidRPr="0012192C">
        <w:rPr>
          <w:rFonts w:asciiTheme="minorEastAsia" w:eastAsiaTheme="minorEastAsia" w:hAnsiTheme="minorEastAsia" w:hint="eastAsia"/>
          <w:b/>
          <w:sz w:val="28"/>
          <w:szCs w:val="28"/>
        </w:rPr>
        <w:t>日</w:t>
      </w:r>
      <w:r w:rsidRPr="0012192C">
        <w:rPr>
          <w:rFonts w:asciiTheme="minorEastAsia" w:eastAsiaTheme="minorEastAsia" w:hAnsiTheme="minorEastAsia" w:hint="eastAsia"/>
          <w:dstrike/>
          <w:sz w:val="28"/>
          <w:szCs w:val="28"/>
        </w:rPr>
        <w:t>公</w:t>
      </w:r>
      <w:r w:rsidRPr="00D7590C">
        <w:rPr>
          <w:rFonts w:asciiTheme="minorEastAsia" w:eastAsiaTheme="minorEastAsia" w:hAnsiTheme="minorEastAsia" w:hint="eastAsia"/>
          <w:sz w:val="28"/>
          <w:szCs w:val="28"/>
        </w:rPr>
        <w:t>历日）的，卖方应当每天支付货款金额千分之三的滞纳金；超过</w:t>
      </w:r>
      <w:r w:rsidRPr="00D7590C">
        <w:rPr>
          <w:rFonts w:asciiTheme="minorEastAsia" w:eastAsiaTheme="minorEastAsia" w:hAnsiTheme="minorEastAsia"/>
          <w:sz w:val="28"/>
          <w:szCs w:val="28"/>
        </w:rPr>
        <w:t>10</w:t>
      </w:r>
      <w:r w:rsidRPr="00D7590C">
        <w:rPr>
          <w:rFonts w:asciiTheme="minorEastAsia" w:eastAsiaTheme="minorEastAsia" w:hAnsiTheme="minorEastAsia" w:hint="eastAsia"/>
          <w:sz w:val="28"/>
          <w:szCs w:val="28"/>
        </w:rPr>
        <w:t>日（</w:t>
      </w:r>
      <w:r w:rsidRPr="0012192C">
        <w:rPr>
          <w:rFonts w:asciiTheme="minorEastAsia" w:eastAsiaTheme="minorEastAsia" w:hAnsiTheme="minorEastAsia" w:hint="eastAsia"/>
          <w:b/>
          <w:sz w:val="28"/>
          <w:szCs w:val="28"/>
        </w:rPr>
        <w:t>日</w:t>
      </w:r>
      <w:r w:rsidRPr="0012192C">
        <w:rPr>
          <w:rFonts w:asciiTheme="minorEastAsia" w:eastAsiaTheme="minorEastAsia" w:hAnsiTheme="minorEastAsia" w:hint="eastAsia"/>
          <w:dstrike/>
          <w:sz w:val="28"/>
          <w:szCs w:val="28"/>
        </w:rPr>
        <w:t>公</w:t>
      </w:r>
      <w:r w:rsidRPr="00D7590C">
        <w:rPr>
          <w:rFonts w:asciiTheme="minorEastAsia" w:eastAsiaTheme="minorEastAsia" w:hAnsiTheme="minorEastAsia" w:hint="eastAsia"/>
          <w:sz w:val="28"/>
          <w:szCs w:val="28"/>
        </w:rPr>
        <w:t>历日）仍未提交发票的，视为拒绝提供，卖方应当向买方支付违约金。滞纳金和违约金从货款金额中扣除，剩余货款属于卖方。</w:t>
      </w:r>
    </w:p>
    <w:p w:rsidR="000959B9" w:rsidRPr="00D7590C" w:rsidRDefault="000959B9" w:rsidP="000959B9">
      <w:pPr>
        <w:pStyle w:val="1"/>
        <w:tabs>
          <w:tab w:val="left" w:pos="1620"/>
          <w:tab w:val="left" w:pos="1800"/>
        </w:tabs>
        <w:spacing w:line="360" w:lineRule="auto"/>
        <w:ind w:firstLine="560"/>
        <w:rPr>
          <w:rFonts w:asciiTheme="minorEastAsia" w:eastAsiaTheme="minorEastAsia" w:hAnsiTheme="minorEastAsia"/>
          <w:sz w:val="28"/>
          <w:szCs w:val="28"/>
        </w:rPr>
      </w:pPr>
      <w:r w:rsidRPr="00D7590C">
        <w:rPr>
          <w:rFonts w:asciiTheme="minorEastAsia" w:eastAsiaTheme="minorEastAsia" w:hAnsiTheme="minorEastAsia" w:hint="eastAsia"/>
          <w:sz w:val="28"/>
          <w:szCs w:val="28"/>
        </w:rPr>
        <w:t>违约金比例比照《郑州商品交易所期货交割</w:t>
      </w:r>
      <w:r w:rsidRPr="00D7590C">
        <w:rPr>
          <w:rFonts w:asciiTheme="minorEastAsia" w:eastAsiaTheme="minorEastAsia" w:hAnsiTheme="minorEastAsia" w:hint="eastAsia"/>
          <w:dstrike/>
          <w:sz w:val="28"/>
          <w:szCs w:val="28"/>
        </w:rPr>
        <w:t>细则</w:t>
      </w:r>
      <w:r w:rsidRPr="00D7590C">
        <w:rPr>
          <w:rFonts w:asciiTheme="minorEastAsia" w:eastAsiaTheme="minorEastAsia" w:hAnsiTheme="minorEastAsia" w:hint="eastAsia"/>
          <w:b/>
          <w:sz w:val="28"/>
          <w:szCs w:val="28"/>
        </w:rPr>
        <w:t>管理办法</w:t>
      </w:r>
      <w:r w:rsidRPr="00D7590C">
        <w:rPr>
          <w:rFonts w:asciiTheme="minorEastAsia" w:eastAsiaTheme="minorEastAsia" w:hAnsiTheme="minorEastAsia" w:hint="eastAsia"/>
          <w:sz w:val="28"/>
          <w:szCs w:val="28"/>
        </w:rPr>
        <w:t>》有关规定执行。</w:t>
      </w:r>
    </w:p>
    <w:p w:rsidR="000959B9" w:rsidRDefault="000959B9" w:rsidP="000959B9">
      <w:pPr>
        <w:pStyle w:val="1"/>
        <w:tabs>
          <w:tab w:val="left" w:pos="1620"/>
          <w:tab w:val="left" w:pos="1800"/>
        </w:tabs>
        <w:spacing w:line="360" w:lineRule="auto"/>
        <w:ind w:firstLine="560"/>
        <w:rPr>
          <w:rFonts w:asciiTheme="minorEastAsia" w:eastAsiaTheme="minorEastAsia" w:hAnsiTheme="minorEastAsia" w:hint="eastAsia"/>
          <w:sz w:val="28"/>
          <w:szCs w:val="28"/>
        </w:rPr>
      </w:pPr>
      <w:r w:rsidRPr="00D7590C">
        <w:rPr>
          <w:rFonts w:asciiTheme="minorEastAsia" w:eastAsiaTheme="minorEastAsia" w:hAnsiTheme="minorEastAsia"/>
          <w:sz w:val="28"/>
          <w:szCs w:val="28"/>
        </w:rPr>
        <w:t>……</w:t>
      </w:r>
    </w:p>
    <w:p w:rsidR="009025E9" w:rsidRPr="00591E2A" w:rsidRDefault="009025E9" w:rsidP="009025E9">
      <w:pPr>
        <w:pStyle w:val="1"/>
        <w:tabs>
          <w:tab w:val="left" w:pos="1620"/>
          <w:tab w:val="left" w:pos="1800"/>
        </w:tabs>
        <w:spacing w:line="360" w:lineRule="auto"/>
        <w:ind w:left="560" w:firstLineChars="0" w:firstLine="0"/>
        <w:rPr>
          <w:rFonts w:asciiTheme="minorEastAsia" w:eastAsiaTheme="minorEastAsia" w:hAnsiTheme="minorEastAsia"/>
          <w:sz w:val="28"/>
          <w:szCs w:val="28"/>
        </w:rPr>
      </w:pPr>
      <w:r w:rsidRPr="009025E9">
        <w:rPr>
          <w:rFonts w:ascii="黑体" w:eastAsia="黑体" w:hAnsi="黑体" w:hint="eastAsia"/>
          <w:sz w:val="28"/>
          <w:szCs w:val="28"/>
        </w:rPr>
        <w:t>第四十一条</w:t>
      </w:r>
      <w:r>
        <w:rPr>
          <w:rFonts w:asciiTheme="minorEastAsia" w:eastAsiaTheme="minorEastAsia" w:hAnsiTheme="minorEastAsia" w:hint="eastAsia"/>
          <w:sz w:val="28"/>
          <w:szCs w:val="28"/>
        </w:rPr>
        <w:t xml:space="preserve"> </w:t>
      </w:r>
      <w:r w:rsidRPr="00591E2A">
        <w:rPr>
          <w:rFonts w:asciiTheme="minorEastAsia" w:eastAsiaTheme="minorEastAsia" w:hAnsiTheme="minorEastAsia"/>
          <w:sz w:val="28"/>
          <w:szCs w:val="28"/>
        </w:rPr>
        <w:t>本办法自</w:t>
      </w:r>
      <w:r w:rsidRPr="009025E9">
        <w:rPr>
          <w:rFonts w:asciiTheme="minorEastAsia" w:eastAsiaTheme="minorEastAsia" w:hAnsiTheme="minorEastAsia" w:hint="eastAsia"/>
          <w:dstrike/>
          <w:sz w:val="28"/>
          <w:szCs w:val="28"/>
        </w:rPr>
        <w:t>发布之日</w:t>
      </w:r>
      <w:r w:rsidRPr="009025E9">
        <w:rPr>
          <w:rFonts w:asciiTheme="minorEastAsia" w:eastAsiaTheme="minorEastAsia" w:hAnsiTheme="minorEastAsia" w:hint="eastAsia"/>
          <w:b/>
          <w:sz w:val="28"/>
          <w:szCs w:val="28"/>
        </w:rPr>
        <w:t>2022年12月1日</w:t>
      </w:r>
      <w:r w:rsidRPr="00591E2A">
        <w:rPr>
          <w:rFonts w:asciiTheme="minorEastAsia" w:eastAsiaTheme="minorEastAsia" w:hAnsiTheme="minorEastAsia"/>
          <w:sz w:val="28"/>
          <w:szCs w:val="28"/>
        </w:rPr>
        <w:t>起</w:t>
      </w:r>
      <w:r w:rsidRPr="00591E2A">
        <w:rPr>
          <w:rFonts w:asciiTheme="minorEastAsia" w:eastAsiaTheme="minorEastAsia" w:hAnsiTheme="minorEastAsia" w:hint="eastAsia"/>
          <w:sz w:val="28"/>
          <w:szCs w:val="28"/>
        </w:rPr>
        <w:t>施行</w:t>
      </w:r>
      <w:r w:rsidRPr="00591E2A">
        <w:rPr>
          <w:rFonts w:asciiTheme="minorEastAsia" w:eastAsiaTheme="minorEastAsia" w:hAnsiTheme="minorEastAsia"/>
          <w:sz w:val="28"/>
          <w:szCs w:val="28"/>
        </w:rPr>
        <w:t>。</w:t>
      </w:r>
    </w:p>
    <w:p w:rsidR="009025E9" w:rsidRPr="009025E9" w:rsidRDefault="009025E9" w:rsidP="000959B9">
      <w:pPr>
        <w:pStyle w:val="1"/>
        <w:tabs>
          <w:tab w:val="left" w:pos="1620"/>
          <w:tab w:val="left" w:pos="1800"/>
        </w:tabs>
        <w:spacing w:line="360" w:lineRule="auto"/>
        <w:ind w:firstLine="560"/>
        <w:rPr>
          <w:rFonts w:asciiTheme="minorEastAsia" w:eastAsiaTheme="minorEastAsia" w:hAnsiTheme="minorEastAsia"/>
          <w:sz w:val="28"/>
          <w:szCs w:val="28"/>
        </w:rPr>
      </w:pPr>
    </w:p>
    <w:bookmarkEnd w:id="12"/>
    <w:p w:rsidR="00305307" w:rsidRDefault="00305307"/>
    <w:sectPr w:rsidR="00305307" w:rsidSect="00745C8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5439" w:rsidRDefault="00BF5439" w:rsidP="000959B9">
      <w:r>
        <w:separator/>
      </w:r>
    </w:p>
  </w:endnote>
  <w:endnote w:type="continuationSeparator" w:id="1">
    <w:p w:rsidR="00BF5439" w:rsidRDefault="00BF5439" w:rsidP="000959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5439" w:rsidRDefault="00BF5439" w:rsidP="000959B9">
      <w:r>
        <w:separator/>
      </w:r>
    </w:p>
  </w:footnote>
  <w:footnote w:type="continuationSeparator" w:id="1">
    <w:p w:rsidR="00BF5439" w:rsidRDefault="00BF5439" w:rsidP="000959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D33794"/>
    <w:multiLevelType w:val="hybridMultilevel"/>
    <w:tmpl w:val="80F85174"/>
    <w:lvl w:ilvl="0" w:tplc="ACD60198">
      <w:start w:val="1"/>
      <w:numFmt w:val="japaneseCounting"/>
      <w:lvlText w:val="（%1）"/>
      <w:lvlJc w:val="left"/>
      <w:pPr>
        <w:ind w:left="1506"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51795C7A"/>
    <w:multiLevelType w:val="hybridMultilevel"/>
    <w:tmpl w:val="4224AD74"/>
    <w:lvl w:ilvl="0" w:tplc="CFB86F38">
      <w:start w:val="1"/>
      <w:numFmt w:val="chineseCountingThousand"/>
      <w:lvlText w:val="第%1条"/>
      <w:lvlJc w:val="left"/>
      <w:pPr>
        <w:ind w:left="3114" w:hanging="420"/>
      </w:pPr>
      <w:rPr>
        <w:rFonts w:ascii="黑体" w:eastAsia="黑体" w:hAnsi="黑体" w:hint="eastAsia"/>
        <w:lang w:val="en-US"/>
      </w:rPr>
    </w:lvl>
    <w:lvl w:ilvl="1" w:tplc="04090019" w:tentative="1">
      <w:start w:val="1"/>
      <w:numFmt w:val="lowerLetter"/>
      <w:lvlText w:val="%2)"/>
      <w:lvlJc w:val="left"/>
      <w:pPr>
        <w:ind w:left="3040" w:hanging="420"/>
      </w:pPr>
    </w:lvl>
    <w:lvl w:ilvl="2" w:tplc="0409001B" w:tentative="1">
      <w:start w:val="1"/>
      <w:numFmt w:val="lowerRoman"/>
      <w:lvlText w:val="%3."/>
      <w:lvlJc w:val="right"/>
      <w:pPr>
        <w:ind w:left="3460" w:hanging="420"/>
      </w:pPr>
    </w:lvl>
    <w:lvl w:ilvl="3" w:tplc="0409000F" w:tentative="1">
      <w:start w:val="1"/>
      <w:numFmt w:val="decimal"/>
      <w:lvlText w:val="%4."/>
      <w:lvlJc w:val="left"/>
      <w:pPr>
        <w:ind w:left="3880" w:hanging="420"/>
      </w:pPr>
    </w:lvl>
    <w:lvl w:ilvl="4" w:tplc="04090019" w:tentative="1">
      <w:start w:val="1"/>
      <w:numFmt w:val="lowerLetter"/>
      <w:lvlText w:val="%5)"/>
      <w:lvlJc w:val="left"/>
      <w:pPr>
        <w:ind w:left="4300" w:hanging="420"/>
      </w:pPr>
    </w:lvl>
    <w:lvl w:ilvl="5" w:tplc="0409001B" w:tentative="1">
      <w:start w:val="1"/>
      <w:numFmt w:val="lowerRoman"/>
      <w:lvlText w:val="%6."/>
      <w:lvlJc w:val="right"/>
      <w:pPr>
        <w:ind w:left="4720" w:hanging="420"/>
      </w:pPr>
    </w:lvl>
    <w:lvl w:ilvl="6" w:tplc="0409000F" w:tentative="1">
      <w:start w:val="1"/>
      <w:numFmt w:val="decimal"/>
      <w:lvlText w:val="%7."/>
      <w:lvlJc w:val="left"/>
      <w:pPr>
        <w:ind w:left="5140" w:hanging="420"/>
      </w:pPr>
    </w:lvl>
    <w:lvl w:ilvl="7" w:tplc="04090019" w:tentative="1">
      <w:start w:val="1"/>
      <w:numFmt w:val="lowerLetter"/>
      <w:lvlText w:val="%8)"/>
      <w:lvlJc w:val="left"/>
      <w:pPr>
        <w:ind w:left="5560" w:hanging="420"/>
      </w:pPr>
    </w:lvl>
    <w:lvl w:ilvl="8" w:tplc="0409001B" w:tentative="1">
      <w:start w:val="1"/>
      <w:numFmt w:val="lowerRoman"/>
      <w:lvlText w:val="%9."/>
      <w:lvlJc w:val="right"/>
      <w:pPr>
        <w:ind w:left="59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959B9"/>
    <w:rsid w:val="00020680"/>
    <w:rsid w:val="000959B9"/>
    <w:rsid w:val="001B0C0B"/>
    <w:rsid w:val="001F2833"/>
    <w:rsid w:val="002F05C8"/>
    <w:rsid w:val="00305307"/>
    <w:rsid w:val="00315A07"/>
    <w:rsid w:val="004A6A6E"/>
    <w:rsid w:val="00591E2A"/>
    <w:rsid w:val="00745C89"/>
    <w:rsid w:val="00890DAA"/>
    <w:rsid w:val="009025E9"/>
    <w:rsid w:val="00A42898"/>
    <w:rsid w:val="00A53BE1"/>
    <w:rsid w:val="00B866A1"/>
    <w:rsid w:val="00BF5439"/>
    <w:rsid w:val="00C44706"/>
    <w:rsid w:val="00F440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C89"/>
    <w:pPr>
      <w:widowControl w:val="0"/>
      <w:jc w:val="both"/>
    </w:pPr>
  </w:style>
  <w:style w:type="paragraph" w:styleId="2">
    <w:name w:val="heading 2"/>
    <w:aliases w:val="（一）"/>
    <w:basedOn w:val="a"/>
    <w:next w:val="a"/>
    <w:link w:val="2Char"/>
    <w:uiPriority w:val="99"/>
    <w:unhideWhenUsed/>
    <w:qFormat/>
    <w:rsid w:val="00591E2A"/>
    <w:pPr>
      <w:spacing w:line="360" w:lineRule="auto"/>
      <w:ind w:firstLineChars="200" w:firstLine="200"/>
      <w:outlineLvl w:val="1"/>
    </w:pPr>
    <w:rPr>
      <w:rFonts w:ascii="楷体" w:eastAsia="楷体" w:hAnsi="楷体"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959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959B9"/>
    <w:rPr>
      <w:sz w:val="18"/>
      <w:szCs w:val="18"/>
    </w:rPr>
  </w:style>
  <w:style w:type="paragraph" w:styleId="a4">
    <w:name w:val="footer"/>
    <w:basedOn w:val="a"/>
    <w:link w:val="Char0"/>
    <w:uiPriority w:val="99"/>
    <w:semiHidden/>
    <w:unhideWhenUsed/>
    <w:rsid w:val="000959B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959B9"/>
    <w:rPr>
      <w:sz w:val="18"/>
      <w:szCs w:val="18"/>
    </w:rPr>
  </w:style>
  <w:style w:type="paragraph" w:customStyle="1" w:styleId="1">
    <w:name w:val="列出段落1"/>
    <w:basedOn w:val="a"/>
    <w:uiPriority w:val="34"/>
    <w:qFormat/>
    <w:rsid w:val="000959B9"/>
    <w:pPr>
      <w:ind w:firstLineChars="200" w:firstLine="420"/>
    </w:pPr>
    <w:rPr>
      <w:rFonts w:ascii="Times New Roman" w:eastAsia="宋体" w:hAnsi="Times New Roman" w:cs="Times New Roman"/>
      <w:szCs w:val="24"/>
    </w:rPr>
  </w:style>
  <w:style w:type="character" w:customStyle="1" w:styleId="2Char">
    <w:name w:val="标题 2 Char"/>
    <w:aliases w:val="（一） Char"/>
    <w:basedOn w:val="a0"/>
    <w:link w:val="2"/>
    <w:uiPriority w:val="99"/>
    <w:rsid w:val="00591E2A"/>
    <w:rPr>
      <w:rFonts w:ascii="楷体" w:eastAsia="楷体" w:hAnsi="楷体" w:cs="Times New Roman"/>
      <w:sz w:val="32"/>
      <w:szCs w:val="32"/>
    </w:rPr>
  </w:style>
  <w:style w:type="paragraph" w:styleId="a5">
    <w:name w:val="List Paragraph"/>
    <w:basedOn w:val="a"/>
    <w:link w:val="Char1"/>
    <w:uiPriority w:val="34"/>
    <w:qFormat/>
    <w:rsid w:val="00591E2A"/>
    <w:pPr>
      <w:ind w:firstLineChars="200" w:firstLine="420"/>
    </w:pPr>
    <w:rPr>
      <w:rFonts w:ascii="Calibri" w:eastAsia="宋体" w:hAnsi="Calibri" w:cs="Times New Roman"/>
    </w:rPr>
  </w:style>
  <w:style w:type="character" w:customStyle="1" w:styleId="Char1">
    <w:name w:val="列出段落 Char"/>
    <w:link w:val="a5"/>
    <w:uiPriority w:val="34"/>
    <w:locked/>
    <w:rsid w:val="00591E2A"/>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442</Words>
  <Characters>2525</Characters>
  <Application>Microsoft Office Word</Application>
  <DocSecurity>0</DocSecurity>
  <Lines>21</Lines>
  <Paragraphs>5</Paragraphs>
  <ScaleCrop>false</ScaleCrop>
  <Company/>
  <LinksUpToDate>false</LinksUpToDate>
  <CharactersWithSpaces>2962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多绥婷</dc:creator>
  <cp:keywords/>
  <dc:description/>
  <cp:lastModifiedBy>多绥婷</cp:lastModifiedBy>
  <cp:revision>12</cp:revision>
  <dcterms:created xsi:type="dcterms:W3CDTF">2022-07-25T02:35:00Z</dcterms:created>
  <dcterms:modified xsi:type="dcterms:W3CDTF">2022-08-22T02:28:00Z</dcterms:modified>
</cp:coreProperties>
</file>