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C0" w:rsidRDefault="001A59C0" w:rsidP="001A59C0">
      <w:pPr>
        <w:rPr>
          <w:b/>
          <w:kern w:val="44"/>
          <w:sz w:val="44"/>
          <w:szCs w:val="44"/>
        </w:rPr>
      </w:pPr>
      <w:r w:rsidRPr="00EE4018">
        <w:rPr>
          <w:rFonts w:ascii="黑体" w:eastAsia="黑体" w:hAnsi="黑体"/>
          <w:sz w:val="32"/>
          <w:szCs w:val="32"/>
        </w:rPr>
        <w:t>附件</w:t>
      </w:r>
      <w:r>
        <w:rPr>
          <w:rFonts w:ascii="黑体" w:eastAsia="黑体" w:hAnsi="黑体" w:hint="eastAsia"/>
          <w:sz w:val="32"/>
          <w:szCs w:val="32"/>
        </w:rPr>
        <w:t>7</w:t>
      </w:r>
      <w:r w:rsidRPr="00EE4018">
        <w:rPr>
          <w:rFonts w:ascii="黑体" w:eastAsia="黑体" w:hAnsi="黑体" w:hint="eastAsia"/>
          <w:sz w:val="32"/>
          <w:szCs w:val="32"/>
        </w:rPr>
        <w:t>-</w:t>
      </w:r>
      <w:r>
        <w:rPr>
          <w:rFonts w:ascii="黑体" w:eastAsia="黑体" w:hAnsi="黑体" w:hint="eastAsia"/>
          <w:sz w:val="32"/>
          <w:szCs w:val="32"/>
        </w:rPr>
        <w:t>1</w:t>
      </w:r>
    </w:p>
    <w:p w:rsidR="001A59C0" w:rsidRDefault="001A59C0" w:rsidP="001A59C0">
      <w:pPr>
        <w:jc w:val="center"/>
        <w:rPr>
          <w:b/>
          <w:kern w:val="44"/>
          <w:sz w:val="44"/>
          <w:szCs w:val="44"/>
        </w:rPr>
      </w:pPr>
      <w:r>
        <w:rPr>
          <w:rFonts w:hint="eastAsia"/>
          <w:b/>
          <w:kern w:val="44"/>
          <w:sz w:val="44"/>
          <w:szCs w:val="44"/>
        </w:rPr>
        <w:t>郑州商品交易所指定商品交割仓库</w:t>
      </w:r>
    </w:p>
    <w:p w:rsidR="001A59C0" w:rsidRDefault="001A59C0" w:rsidP="001A59C0">
      <w:pPr>
        <w:jc w:val="center"/>
        <w:rPr>
          <w:rFonts w:ascii="Calibri" w:hAnsi="Calibri"/>
          <w:b/>
          <w:kern w:val="44"/>
          <w:sz w:val="44"/>
          <w:szCs w:val="44"/>
        </w:rPr>
      </w:pPr>
      <w:r>
        <w:rPr>
          <w:rFonts w:hint="eastAsia"/>
          <w:b/>
          <w:kern w:val="44"/>
          <w:sz w:val="44"/>
          <w:szCs w:val="44"/>
        </w:rPr>
        <w:t>管理办法</w:t>
      </w:r>
    </w:p>
    <w:p w:rsidR="001A59C0" w:rsidRPr="00CD7C93" w:rsidRDefault="00CD7C93" w:rsidP="001A59C0">
      <w:pPr>
        <w:spacing w:line="360" w:lineRule="auto"/>
        <w:outlineLvl w:val="0"/>
        <w:rPr>
          <w:rFonts w:ascii="宋体" w:hAnsi="宋体"/>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1A59C0" w:rsidRDefault="001A59C0" w:rsidP="001A59C0">
      <w:pPr>
        <w:ind w:firstLine="645"/>
        <w:jc w:val="center"/>
        <w:rPr>
          <w:rFonts w:ascii="黑体" w:eastAsia="黑体" w:hAnsi="黑体"/>
          <w:sz w:val="32"/>
          <w:szCs w:val="32"/>
        </w:rPr>
      </w:pPr>
      <w:r>
        <w:rPr>
          <w:rFonts w:ascii="黑体" w:eastAsia="黑体" w:hAnsi="黑体" w:hint="eastAsia"/>
          <w:sz w:val="32"/>
          <w:szCs w:val="32"/>
        </w:rPr>
        <w:t>第一章 总则</w:t>
      </w:r>
    </w:p>
    <w:p w:rsidR="001A59C0" w:rsidRDefault="001A59C0" w:rsidP="001A59C0">
      <w:pPr>
        <w:snapToGrid w:val="0"/>
        <w:spacing w:line="360" w:lineRule="auto"/>
        <w:ind w:firstLineChars="200" w:firstLine="544"/>
        <w:jc w:val="left"/>
        <w:rPr>
          <w:rFonts w:ascii="仿宋" w:eastAsia="仿宋" w:hAnsi="仿宋" w:cs="Arial"/>
          <w:color w:val="000000"/>
          <w:spacing w:val="-4"/>
          <w:sz w:val="32"/>
          <w:szCs w:val="32"/>
        </w:rPr>
      </w:pPr>
      <w:r w:rsidRPr="00917558">
        <w:rPr>
          <w:rFonts w:ascii="黑体" w:eastAsia="黑体" w:hAnsi="黑体" w:cs="Arial" w:hint="eastAsia"/>
          <w:color w:val="000000"/>
          <w:spacing w:val="-4"/>
          <w:sz w:val="28"/>
          <w:szCs w:val="32"/>
        </w:rPr>
        <w:t>第一条</w:t>
      </w:r>
      <w:r>
        <w:rPr>
          <w:rFonts w:ascii="仿宋" w:eastAsia="仿宋" w:hAnsi="仿宋" w:cs="Arial" w:hint="eastAsia"/>
          <w:color w:val="000000"/>
          <w:spacing w:val="-4"/>
          <w:sz w:val="32"/>
          <w:szCs w:val="32"/>
        </w:rPr>
        <w:t xml:space="preserve"> </w:t>
      </w:r>
      <w:r w:rsidRPr="00433A86">
        <w:rPr>
          <w:rFonts w:ascii="宋体" w:hAnsi="宋体" w:cs="Arial" w:hint="eastAsia"/>
          <w:color w:val="000000"/>
          <w:spacing w:val="-4"/>
          <w:sz w:val="28"/>
          <w:szCs w:val="32"/>
        </w:rPr>
        <w:t>为了加强郑州商品交易所（以下简称交易所）指定商品交割仓库的管理，规范实物交割行为，保证交割正常进行，根据《郑州商品交易所交易规则》（以下简称交易规则）等有关规定，制定本办法。</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指定商品交割仓库（以下简称交割仓库），是指经交易所指定的，为商品期货合约履行实物交割提供仓储等服务的经营组织。</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本办法所称交割仓库不包括交易所指定商品交割厂库，交易所对指定商品交割厂库的管理遵照《郑州商品交易所指定商品交割厂库管理办法》执行。</w:t>
      </w:r>
    </w:p>
    <w:p w:rsidR="001A59C0" w:rsidRPr="00917558" w:rsidRDefault="001A59C0" w:rsidP="001A59C0">
      <w:pPr>
        <w:snapToGrid w:val="0"/>
        <w:spacing w:line="360" w:lineRule="auto"/>
        <w:ind w:firstLineChars="200" w:firstLine="544"/>
        <w:jc w:val="left"/>
        <w:rPr>
          <w:rFonts w:ascii="仿宋" w:eastAsia="仿宋" w:hAnsi="仿宋" w:cs="Arial"/>
          <w:color w:val="000000"/>
          <w:spacing w:val="-4"/>
          <w:sz w:val="28"/>
          <w:szCs w:val="32"/>
        </w:rPr>
      </w:pPr>
      <w:r w:rsidRPr="00917558">
        <w:rPr>
          <w:rFonts w:ascii="黑体" w:eastAsia="黑体" w:hAnsi="黑体" w:cs="Arial" w:hint="eastAsia"/>
          <w:color w:val="000000"/>
          <w:spacing w:val="-4"/>
          <w:sz w:val="28"/>
          <w:szCs w:val="32"/>
        </w:rPr>
        <w:t>第三条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交易所依据本办法与交割仓库签订交割仓库协议书，交割仓库协议书应当约定交易所对交割仓库期货交割业务进行管理，交割仓库及其有关工作人员应当遵守本办法。</w:t>
      </w:r>
    </w:p>
    <w:p w:rsidR="001A59C0" w:rsidRPr="00917558" w:rsidRDefault="001A59C0" w:rsidP="001A59C0">
      <w:pPr>
        <w:snapToGrid w:val="0"/>
        <w:spacing w:line="360" w:lineRule="auto"/>
        <w:ind w:firstLineChars="200" w:firstLine="624"/>
        <w:jc w:val="center"/>
        <w:rPr>
          <w:rFonts w:ascii="黑体" w:eastAsia="黑体" w:hAnsi="黑体" w:cs="Arial"/>
          <w:color w:val="000000"/>
          <w:spacing w:val="-4"/>
          <w:sz w:val="32"/>
          <w:szCs w:val="32"/>
        </w:rPr>
      </w:pPr>
      <w:r w:rsidRPr="00917558">
        <w:rPr>
          <w:rFonts w:ascii="黑体" w:eastAsia="黑体" w:hAnsi="黑体" w:cs="Arial" w:hint="eastAsia"/>
          <w:color w:val="000000"/>
          <w:spacing w:val="-4"/>
          <w:sz w:val="32"/>
          <w:szCs w:val="32"/>
        </w:rPr>
        <w:t>第二章 申请和审批</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申请成为交割仓库应当具备以下条件：</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（一）依法持有企业法人营业执照或事业单位法人登记证书,营业范围应当载明“仓储”或“储运”等业务；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（二）净资产、注册资本及注册资本实缴金额应当达到交易所要求的数额；</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（三）财务状况良好，具有较强的抗风险能力；</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（四）具有良好的商业信誉，完善的仓储管理规章制度，近期未发</w:t>
      </w:r>
      <w:r w:rsidRPr="00917558">
        <w:rPr>
          <w:rFonts w:ascii="宋体" w:hAnsi="宋体" w:cs="Arial" w:hint="eastAsia"/>
          <w:color w:val="000000"/>
          <w:spacing w:val="-4"/>
          <w:sz w:val="28"/>
          <w:szCs w:val="32"/>
        </w:rPr>
        <w:lastRenderedPageBreak/>
        <w:t>现严重违法违规行为、严重失信行为、重大安全事故、被取消交割仓库资格的记录；</w:t>
      </w:r>
    </w:p>
    <w:p w:rsidR="001A59C0" w:rsidRPr="00917558" w:rsidRDefault="006F4D8A" w:rsidP="001A59C0">
      <w:pPr>
        <w:snapToGrid w:val="0"/>
        <w:spacing w:line="360" w:lineRule="auto"/>
        <w:ind w:firstLineChars="200" w:firstLine="544"/>
        <w:rPr>
          <w:rFonts w:ascii="宋体" w:hAnsi="宋体" w:cs="Arial"/>
          <w:color w:val="000000"/>
          <w:spacing w:val="-4"/>
          <w:sz w:val="28"/>
          <w:szCs w:val="32"/>
        </w:rPr>
      </w:pPr>
      <w:r>
        <w:rPr>
          <w:rFonts w:ascii="宋体" w:hAnsi="宋体" w:cs="Arial" w:hint="eastAsia"/>
          <w:color w:val="000000"/>
          <w:spacing w:val="-4"/>
          <w:sz w:val="28"/>
          <w:szCs w:val="32"/>
        </w:rPr>
        <w:t>（五）承认并遵守交易所的交易规则、《郑州商品交易所期货交割管理办法》（以下简称《交割管理办法》</w:t>
      </w:r>
      <w:r w:rsidR="006B701B">
        <w:rPr>
          <w:rFonts w:ascii="宋体" w:hAnsi="宋体" w:cs="Arial" w:hint="eastAsia"/>
          <w:color w:val="000000"/>
          <w:spacing w:val="-4"/>
          <w:sz w:val="28"/>
          <w:szCs w:val="32"/>
        </w:rPr>
        <w:t>）</w:t>
      </w:r>
      <w:r w:rsidR="001A59C0" w:rsidRPr="00917558">
        <w:rPr>
          <w:rFonts w:ascii="宋体" w:hAnsi="宋体" w:cs="Arial" w:hint="eastAsia"/>
          <w:color w:val="000000"/>
          <w:spacing w:val="-4"/>
          <w:sz w:val="28"/>
          <w:szCs w:val="32"/>
        </w:rPr>
        <w:t>《郑州商品交易所标准仓单管理办法》（以下简称</w:t>
      </w:r>
      <w:r>
        <w:rPr>
          <w:rFonts w:ascii="宋体" w:hAnsi="宋体" w:cs="Arial" w:hint="eastAsia"/>
          <w:color w:val="000000"/>
          <w:spacing w:val="-4"/>
          <w:sz w:val="28"/>
          <w:szCs w:val="32"/>
        </w:rPr>
        <w:t>《</w:t>
      </w:r>
      <w:r w:rsidR="001A59C0" w:rsidRPr="00917558">
        <w:rPr>
          <w:rFonts w:ascii="宋体" w:hAnsi="宋体" w:cs="Arial" w:hint="eastAsia"/>
          <w:color w:val="000000"/>
          <w:spacing w:val="-4"/>
          <w:sz w:val="28"/>
          <w:szCs w:val="32"/>
        </w:rPr>
        <w:t>标准仓单管理办法</w:t>
      </w:r>
      <w:r>
        <w:rPr>
          <w:rFonts w:ascii="宋体" w:hAnsi="宋体" w:cs="Arial" w:hint="eastAsia"/>
          <w:color w:val="000000"/>
          <w:spacing w:val="-4"/>
          <w:sz w:val="28"/>
          <w:szCs w:val="32"/>
        </w:rPr>
        <w:t>》</w:t>
      </w:r>
      <w:r w:rsidR="001A59C0" w:rsidRPr="00917558">
        <w:rPr>
          <w:rFonts w:ascii="宋体" w:hAnsi="宋体" w:cs="Arial" w:hint="eastAsia"/>
          <w:color w:val="000000"/>
          <w:spacing w:val="-4"/>
          <w:sz w:val="28"/>
          <w:szCs w:val="32"/>
        </w:rPr>
        <w:t>）</w:t>
      </w:r>
      <w:r w:rsidR="006B701B">
        <w:rPr>
          <w:rFonts w:ascii="宋体" w:hAnsi="宋体" w:cs="Arial" w:hint="eastAsia"/>
          <w:color w:val="000000"/>
          <w:spacing w:val="-4"/>
          <w:sz w:val="28"/>
          <w:szCs w:val="32"/>
        </w:rPr>
        <w:t>及</w:t>
      </w:r>
      <w:r w:rsidR="006B701B" w:rsidRPr="006B701B">
        <w:rPr>
          <w:rFonts w:ascii="宋体" w:hAnsi="宋体" w:cs="Arial" w:hint="eastAsia"/>
          <w:color w:val="000000"/>
          <w:spacing w:val="-4"/>
          <w:sz w:val="28"/>
          <w:szCs w:val="32"/>
        </w:rPr>
        <w:t>各品种期货业务细则</w:t>
      </w:r>
      <w:r w:rsidR="001A59C0" w:rsidRPr="00917558">
        <w:rPr>
          <w:rFonts w:ascii="宋体" w:hAnsi="宋体" w:cs="Arial" w:hint="eastAsia"/>
          <w:color w:val="000000"/>
          <w:spacing w:val="-4"/>
          <w:sz w:val="28"/>
          <w:szCs w:val="32"/>
        </w:rPr>
        <w:t>等规定；</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（六）仓库主要管理人员应具有相应交割商品的仓储管理经验；</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（七）有储存相应交割商品的条件，库容有一定规模，仓储、计量设备、设施完好、齐全，符合规定要求；</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（八）有严格、完善的交割商品出入库、储存、管理、检化验等制度；</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（九）交通便利，具有较强的中转、进出装卸能力；</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（十）申请期货保税交割业务的，其开展期货保税交割业务及所涉及的海关特殊监管区域或保税监管场所应当经海关批准；</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（十一）满足交易所规定的视频监控、仓储管理等相关系统及其它设施和设备要求；</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（十二）具备符合交割商品仓储保管要求的消防设备、设施和人员等；</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（十三）交易所规定的其他条件。</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申请成为交割仓库应当提交下列材料：</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（一）申请书；</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（二）营业执照或事业单位法人证书；</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（三）会计师事务所出具的近两年审计报告或经交易所认可的相关部门审计的年度财务报表等有关材料；经营期不满两年的，提交经交易所认可的自成立之日起的审计报告或财务报表等有关材料；</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（四）申请单位上级主管部门或章程规定的机构出具的同意申请交割仓库的批准文件；</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（五）交易所要求的担保文件；</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（六）仓库土地使用证、房屋所有权证等不动产权属证明文件及相关文件；租赁场房经营的，申请单位应当提供与场房所有者之间签订的租赁合同等文件；</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（七）仓库管理制度及简介；</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（八）经当地消防部门等国家有关机构验收签发的消防安全达标验收证明等；</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（九）视频监控、仓储管理等信息系统建设情况；</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（十）交易所要求的其他材料</w:t>
      </w:r>
      <w:r>
        <w:rPr>
          <w:rFonts w:ascii="宋体" w:hAnsi="宋体" w:cs="Arial" w:hint="eastAsia"/>
          <w:color w:val="000000"/>
          <w:spacing w:val="-4"/>
          <w:sz w:val="28"/>
          <w:szCs w:val="32"/>
        </w:rPr>
        <w:t>。</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第六条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交易所对交割仓库的审批程序：</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（一）根据前条所列材料进行初审；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（二）根据初审结果对申请仓库进行调查和评估；</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（三）根据调查和评估结果择优选用，签订交割仓库协议书。</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经交易所审批，取得交割仓库资格的申请单位应当办理以下</w:t>
      </w:r>
      <w:r>
        <w:rPr>
          <w:rFonts w:ascii="宋体" w:hAnsi="宋体" w:cs="Arial" w:hint="eastAsia"/>
          <w:color w:val="000000"/>
          <w:spacing w:val="-4"/>
          <w:sz w:val="28"/>
          <w:szCs w:val="32"/>
        </w:rPr>
        <w:t>事项</w:t>
      </w:r>
      <w:r w:rsidRPr="00917558">
        <w:rPr>
          <w:rFonts w:ascii="宋体" w:hAnsi="宋体" w:cs="Arial" w:hint="eastAsia"/>
          <w:color w:val="000000"/>
          <w:spacing w:val="-4"/>
          <w:sz w:val="28"/>
          <w:szCs w:val="32"/>
        </w:rPr>
        <w:t>：</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（一）将申请标准仓单注册所需印章报交易所备案；</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（二）确定一名负责人主管期货交割业务，建立交割业务机构，指定专人负责期货交割商品的管理，办理标准仓单业务，并将授权书及授权人签字报交易所备案；</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（三）缴纳交割担保金；</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（四）根据本办法，制定符合交易所要求的操作规程或细则等，并报交易所备案；</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（五）安排期货交割业务管理人员接受交易所的交割业务培训；</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（六）交易所规定的其他</w:t>
      </w:r>
      <w:r>
        <w:rPr>
          <w:rFonts w:ascii="宋体" w:hAnsi="宋体" w:cs="Arial" w:hint="eastAsia"/>
          <w:color w:val="000000"/>
          <w:spacing w:val="-4"/>
          <w:sz w:val="28"/>
          <w:szCs w:val="32"/>
        </w:rPr>
        <w:t>事项</w:t>
      </w:r>
      <w:r w:rsidRPr="00917558">
        <w:rPr>
          <w:rFonts w:ascii="宋体" w:hAnsi="宋体" w:cs="Arial" w:hint="eastAsia"/>
          <w:color w:val="000000"/>
          <w:spacing w:val="-4"/>
          <w:sz w:val="28"/>
          <w:szCs w:val="32"/>
        </w:rPr>
        <w:t>。</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第八条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交割仓库放弃交割仓库资格，应当向交易所递交放弃交割仓库资格申请书，并经交易所审核批准。</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根据市场发展或者风险防控需要，交易所有权暂停交割仓库全部或者部分交割业务，或者取消交割仓库资格。</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交割仓库被取消资格的，应当办理以下事项：</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（一）将交割商品全部出库，或者全部转为现货，或者按交易所认可的其他方式处理完毕；</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（二）结清与交易所的债权债务；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（三）按交易所规定申请清退交割担保金。</w:t>
      </w:r>
    </w:p>
    <w:p w:rsidR="001A59C0" w:rsidRPr="00917558" w:rsidRDefault="001A59C0" w:rsidP="001A59C0">
      <w:pPr>
        <w:snapToGrid w:val="0"/>
        <w:spacing w:line="360" w:lineRule="auto"/>
        <w:ind w:firstLineChars="200" w:firstLine="544"/>
        <w:jc w:val="left"/>
        <w:rPr>
          <w:rFonts w:ascii="仿宋" w:eastAsia="仿宋" w:hAnsi="仿宋" w:cs="Arial"/>
          <w:color w:val="000000"/>
          <w:spacing w:val="-4"/>
          <w:sz w:val="28"/>
          <w:szCs w:val="32"/>
        </w:rPr>
      </w:pPr>
      <w:r w:rsidRPr="00917558">
        <w:rPr>
          <w:rFonts w:ascii="黑体" w:eastAsia="黑体" w:hAnsi="黑体" w:cs="Arial" w:hint="eastAsia"/>
          <w:color w:val="000000"/>
          <w:spacing w:val="-4"/>
          <w:sz w:val="28"/>
          <w:szCs w:val="32"/>
        </w:rPr>
        <w:t>第十条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交割仓库资格的确认、取消或同意放弃资格，交易所应当及时通告会员及交割仓库。</w:t>
      </w:r>
    </w:p>
    <w:p w:rsidR="001A59C0" w:rsidRPr="00917558" w:rsidRDefault="001A59C0" w:rsidP="001A59C0">
      <w:pPr>
        <w:snapToGrid w:val="0"/>
        <w:spacing w:line="360" w:lineRule="auto"/>
        <w:ind w:firstLineChars="200" w:firstLine="624"/>
        <w:jc w:val="center"/>
        <w:rPr>
          <w:rFonts w:ascii="黑体" w:eastAsia="黑体" w:hAnsi="黑体" w:cs="Arial"/>
          <w:color w:val="000000"/>
          <w:spacing w:val="-4"/>
          <w:sz w:val="32"/>
          <w:szCs w:val="32"/>
        </w:rPr>
      </w:pPr>
      <w:r w:rsidRPr="00917558">
        <w:rPr>
          <w:rFonts w:ascii="黑体" w:eastAsia="黑体" w:hAnsi="黑体" w:cs="Arial" w:hint="eastAsia"/>
          <w:color w:val="000000"/>
          <w:spacing w:val="-4"/>
          <w:sz w:val="32"/>
          <w:szCs w:val="32"/>
        </w:rPr>
        <w:t>第三章 权利和义务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交割仓库的权利：</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（一）按交易所规定享有向交易所申请标准仓单注册权；</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（二）按交易所审定的收费项目、标准和方法收取有关费用；</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（三）对交易所制定的有关实物交割的规定享有建议权；</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（四）经交易所核准，可以租用库房或场地，存储交割商品；</w:t>
      </w:r>
    </w:p>
    <w:p w:rsidR="001A59C0" w:rsidRPr="00917558" w:rsidRDefault="006B701B" w:rsidP="001A59C0">
      <w:pPr>
        <w:snapToGrid w:val="0"/>
        <w:spacing w:line="360" w:lineRule="auto"/>
        <w:ind w:firstLineChars="200" w:firstLine="544"/>
        <w:jc w:val="left"/>
        <w:rPr>
          <w:rFonts w:ascii="宋体" w:hAnsi="宋体" w:cs="Arial"/>
          <w:color w:val="000000"/>
          <w:spacing w:val="-4"/>
          <w:sz w:val="28"/>
          <w:szCs w:val="32"/>
        </w:rPr>
      </w:pPr>
      <w:r>
        <w:rPr>
          <w:rFonts w:ascii="宋体" w:hAnsi="宋体" w:cs="Arial" w:hint="eastAsia"/>
          <w:color w:val="000000"/>
          <w:spacing w:val="-4"/>
          <w:sz w:val="28"/>
          <w:szCs w:val="32"/>
        </w:rPr>
        <w:t>（五）《交割管理办法》《</w:t>
      </w:r>
      <w:r w:rsidR="001A59C0" w:rsidRPr="00917558">
        <w:rPr>
          <w:rFonts w:ascii="宋体" w:hAnsi="宋体" w:cs="Arial" w:hint="eastAsia"/>
          <w:color w:val="000000"/>
          <w:spacing w:val="-4"/>
          <w:sz w:val="28"/>
          <w:szCs w:val="32"/>
        </w:rPr>
        <w:t>标准仓单管理办法</w:t>
      </w:r>
      <w:r>
        <w:rPr>
          <w:rFonts w:ascii="宋体" w:hAnsi="宋体" w:cs="Arial" w:hint="eastAsia"/>
          <w:color w:val="000000"/>
          <w:spacing w:val="-4"/>
          <w:sz w:val="28"/>
          <w:szCs w:val="32"/>
        </w:rPr>
        <w:t>》、各品种期货业务细则</w:t>
      </w:r>
      <w:r w:rsidR="001A59C0" w:rsidRPr="00917558">
        <w:rPr>
          <w:rFonts w:ascii="宋体" w:hAnsi="宋体" w:cs="Arial" w:hint="eastAsia"/>
          <w:color w:val="000000"/>
          <w:spacing w:val="-4"/>
          <w:sz w:val="28"/>
          <w:szCs w:val="32"/>
        </w:rPr>
        <w:t>和交割仓库协议书等规定的其他权利。</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交割仓库的义务：</w:t>
      </w:r>
    </w:p>
    <w:p w:rsidR="001A59C0" w:rsidRPr="00917558" w:rsidRDefault="00684DB5" w:rsidP="001A59C0">
      <w:pPr>
        <w:snapToGrid w:val="0"/>
        <w:spacing w:line="360" w:lineRule="auto"/>
        <w:ind w:firstLineChars="200" w:firstLine="544"/>
        <w:jc w:val="left"/>
        <w:rPr>
          <w:rFonts w:ascii="宋体" w:hAnsi="宋体" w:cs="Arial"/>
          <w:color w:val="000000"/>
          <w:spacing w:val="-4"/>
          <w:sz w:val="28"/>
          <w:szCs w:val="32"/>
        </w:rPr>
      </w:pPr>
      <w:r>
        <w:rPr>
          <w:rFonts w:ascii="宋体" w:hAnsi="宋体" w:cs="Arial" w:hint="eastAsia"/>
          <w:color w:val="000000"/>
          <w:spacing w:val="-4"/>
          <w:sz w:val="28"/>
          <w:szCs w:val="32"/>
        </w:rPr>
        <w:t>（一）遵守《交割管理办法》《标准仓单管理办法》、各品种期货业务细则</w:t>
      </w:r>
      <w:r w:rsidR="001A59C0" w:rsidRPr="00917558">
        <w:rPr>
          <w:rFonts w:ascii="宋体" w:hAnsi="宋体" w:cs="Arial" w:hint="eastAsia"/>
          <w:color w:val="000000"/>
          <w:spacing w:val="-4"/>
          <w:sz w:val="28"/>
          <w:szCs w:val="32"/>
        </w:rPr>
        <w:t>及</w:t>
      </w:r>
      <w:r>
        <w:rPr>
          <w:rFonts w:ascii="宋体" w:hAnsi="宋体" w:cs="Arial" w:hint="eastAsia"/>
          <w:color w:val="000000"/>
          <w:spacing w:val="-4"/>
          <w:sz w:val="28"/>
          <w:szCs w:val="32"/>
        </w:rPr>
        <w:t>交易所</w:t>
      </w:r>
      <w:r w:rsidR="001A59C0" w:rsidRPr="00917558">
        <w:rPr>
          <w:rFonts w:ascii="宋体" w:hAnsi="宋体" w:cs="Arial" w:hint="eastAsia"/>
          <w:color w:val="000000"/>
          <w:spacing w:val="-4"/>
          <w:sz w:val="28"/>
          <w:szCs w:val="32"/>
        </w:rPr>
        <w:t>其他有关规定，接受交易所的监管，及时向交易所提供有关情况；</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（二）按规定保管好交割商品，确保安全；</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（三）应当对库存交割商品全额投保财产险一切险等相关险种或按照交易所要求进行投保；</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（四）根据交易所要求及时完成商品视频监控、消防安全等设施和设备的改造和升级；</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（五）根据交易所有关业务规则，办理期货交割商品的验收入库，建立电子台账等相关系统；</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（六）按标准仓单要求及交易所的业务规则提供交割商品，协助货主安排出库；</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（七）保守与商品交割有关的商业秘密；</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（八）参加交易所组织的年审；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（九）缴纳交割担保金；</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（十）配合指定质检机构取样及现场检验等工作；</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一）变更单位名称、法定代表人或主要负责人、注册资本、注册资本实缴金额、股东或股权结构、仓储场地、经营场所等，出现可能危及交割商品安全、法律诉讼、仲裁、纠纷等问题，或者发生交割仓库土地或房产抵押、对外担保等事项，及时向交易所通报；</w:t>
      </w:r>
    </w:p>
    <w:p w:rsidR="001A59C0" w:rsidRPr="00917558" w:rsidRDefault="00BB6CBC" w:rsidP="001A59C0">
      <w:pPr>
        <w:snapToGrid w:val="0"/>
        <w:spacing w:line="360" w:lineRule="auto"/>
        <w:ind w:firstLineChars="200" w:firstLine="544"/>
        <w:jc w:val="left"/>
        <w:rPr>
          <w:rFonts w:ascii="宋体" w:hAnsi="宋体" w:cs="Arial"/>
          <w:color w:val="000000"/>
          <w:spacing w:val="-4"/>
          <w:sz w:val="28"/>
          <w:szCs w:val="32"/>
        </w:rPr>
      </w:pPr>
      <w:r>
        <w:rPr>
          <w:rFonts w:ascii="宋体" w:hAnsi="宋体" w:cs="Arial" w:hint="eastAsia"/>
          <w:color w:val="000000"/>
          <w:spacing w:val="-4"/>
          <w:sz w:val="28"/>
          <w:szCs w:val="32"/>
        </w:rPr>
        <w:t>（十二）《交割管理办法》《</w:t>
      </w:r>
      <w:r w:rsidR="001A59C0" w:rsidRPr="00917558">
        <w:rPr>
          <w:rFonts w:ascii="宋体" w:hAnsi="宋体" w:cs="Arial" w:hint="eastAsia"/>
          <w:color w:val="000000"/>
          <w:spacing w:val="-4"/>
          <w:sz w:val="28"/>
          <w:szCs w:val="32"/>
        </w:rPr>
        <w:t>标准仓单管理办法</w:t>
      </w:r>
      <w:r>
        <w:rPr>
          <w:rFonts w:ascii="宋体" w:hAnsi="宋体" w:cs="Arial" w:hint="eastAsia"/>
          <w:color w:val="000000"/>
          <w:spacing w:val="-4"/>
          <w:sz w:val="28"/>
          <w:szCs w:val="32"/>
        </w:rPr>
        <w:t>》、各品种期货业务细则</w:t>
      </w:r>
      <w:r w:rsidR="001A59C0" w:rsidRPr="00917558">
        <w:rPr>
          <w:rFonts w:ascii="宋体" w:hAnsi="宋体" w:cs="Arial" w:hint="eastAsia"/>
          <w:color w:val="000000"/>
          <w:spacing w:val="-4"/>
          <w:sz w:val="28"/>
          <w:szCs w:val="32"/>
        </w:rPr>
        <w:t>和交割仓库协议书等规定的其他义务。</w:t>
      </w:r>
    </w:p>
    <w:p w:rsidR="001A59C0" w:rsidRPr="00917558" w:rsidRDefault="001A59C0" w:rsidP="001A59C0">
      <w:pPr>
        <w:snapToGrid w:val="0"/>
        <w:spacing w:line="360" w:lineRule="auto"/>
        <w:ind w:firstLineChars="200" w:firstLine="624"/>
        <w:jc w:val="center"/>
        <w:rPr>
          <w:rFonts w:ascii="黑体" w:eastAsia="黑体" w:hAnsi="黑体" w:cs="Arial"/>
          <w:color w:val="000000"/>
          <w:spacing w:val="-4"/>
          <w:sz w:val="32"/>
          <w:szCs w:val="32"/>
        </w:rPr>
      </w:pPr>
      <w:r w:rsidRPr="00917558">
        <w:rPr>
          <w:rFonts w:ascii="黑体" w:eastAsia="黑体" w:hAnsi="黑体" w:cs="Arial" w:hint="eastAsia"/>
          <w:color w:val="000000"/>
          <w:spacing w:val="-4"/>
          <w:sz w:val="32"/>
          <w:szCs w:val="32"/>
        </w:rPr>
        <w:t>第四章 日常业务</w:t>
      </w:r>
    </w:p>
    <w:p w:rsidR="001A59C0" w:rsidRPr="00917558" w:rsidRDefault="001A59C0" w:rsidP="001A59C0">
      <w:pPr>
        <w:snapToGrid w:val="0"/>
        <w:spacing w:line="360" w:lineRule="auto"/>
        <w:ind w:firstLineChars="200" w:firstLine="544"/>
        <w:jc w:val="left"/>
        <w:rPr>
          <w:rFonts w:ascii="仿宋" w:eastAsia="仿宋" w:hAnsi="仿宋" w:cs="Arial"/>
          <w:color w:val="000000"/>
          <w:spacing w:val="-4"/>
          <w:sz w:val="28"/>
          <w:szCs w:val="32"/>
        </w:rPr>
      </w:pPr>
      <w:r w:rsidRPr="00917558">
        <w:rPr>
          <w:rFonts w:ascii="黑体" w:eastAsia="黑体" w:hAnsi="黑体" w:cs="Arial" w:hint="eastAsia"/>
          <w:color w:val="000000"/>
          <w:spacing w:val="-4"/>
          <w:sz w:val="28"/>
          <w:szCs w:val="32"/>
        </w:rPr>
        <w:t>第十三条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交割仓库的日常业务分为三个阶段：商品入库、商品保管和商品出库。</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交割仓库应当保证用于期货交割的商品优先办理入库、出库。</w:t>
      </w:r>
    </w:p>
    <w:p w:rsidR="001A59C0" w:rsidRPr="00917558" w:rsidRDefault="001A59C0" w:rsidP="001A59C0">
      <w:pPr>
        <w:snapToGrid w:val="0"/>
        <w:spacing w:line="360" w:lineRule="auto"/>
        <w:ind w:firstLineChars="200" w:firstLine="544"/>
        <w:jc w:val="left"/>
        <w:rPr>
          <w:rFonts w:ascii="仿宋" w:eastAsia="仿宋" w:hAnsi="仿宋" w:cs="Arial"/>
          <w:color w:val="000000"/>
          <w:spacing w:val="-4"/>
          <w:sz w:val="28"/>
          <w:szCs w:val="32"/>
        </w:rPr>
      </w:pPr>
      <w:r w:rsidRPr="00917558">
        <w:rPr>
          <w:rFonts w:ascii="黑体" w:eastAsia="黑体" w:hAnsi="黑体" w:cs="Arial" w:hint="eastAsia"/>
          <w:color w:val="000000"/>
          <w:spacing w:val="-4"/>
          <w:sz w:val="28"/>
          <w:szCs w:val="32"/>
        </w:rPr>
        <w:t>第十五条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交割商品的存放应符合国家或品种所属行业及交易所提出的技术规范要求。</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lastRenderedPageBreak/>
        <w:t xml:space="preserve">第十六条 </w:t>
      </w:r>
      <w:r w:rsidRPr="00917558">
        <w:rPr>
          <w:rFonts w:ascii="宋体" w:hAnsi="宋体" w:cs="Arial" w:hint="eastAsia"/>
          <w:color w:val="000000"/>
          <w:spacing w:val="-4"/>
          <w:sz w:val="28"/>
          <w:szCs w:val="32"/>
        </w:rPr>
        <w:t>交割仓库应当对交割商品实行标识管理，标识应符合交易所规定。</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交割仓库应当按交易所的有关规定妥善保存检验结果。商品验收合格、入库完毕应当及时通过交易所仓库管理系统录入相关数据。</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 xml:space="preserve">第十八条 </w:t>
      </w:r>
      <w:r w:rsidRPr="00917558">
        <w:rPr>
          <w:rFonts w:ascii="宋体" w:hAnsi="宋体" w:cs="Arial" w:hint="eastAsia"/>
          <w:color w:val="000000"/>
          <w:spacing w:val="-4"/>
          <w:sz w:val="28"/>
          <w:szCs w:val="32"/>
        </w:rPr>
        <w:t>对未持有《提货通知单》的客户，交割仓库应当拒绝其进入库内查看储存的交割商品。</w:t>
      </w:r>
    </w:p>
    <w:p w:rsidR="001A59C0" w:rsidRPr="00917558" w:rsidRDefault="001A59C0" w:rsidP="001A59C0">
      <w:pPr>
        <w:snapToGrid w:val="0"/>
        <w:spacing w:line="360" w:lineRule="auto"/>
        <w:ind w:firstLineChars="200" w:firstLine="544"/>
        <w:jc w:val="left"/>
        <w:rPr>
          <w:rFonts w:ascii="仿宋" w:eastAsia="仿宋" w:hAnsi="仿宋" w:cs="Arial"/>
          <w:color w:val="000000"/>
          <w:spacing w:val="-4"/>
          <w:sz w:val="28"/>
          <w:szCs w:val="32"/>
        </w:rPr>
      </w:pPr>
      <w:r w:rsidRPr="00917558">
        <w:rPr>
          <w:rFonts w:ascii="黑体" w:eastAsia="黑体" w:hAnsi="黑体" w:cs="Arial" w:hint="eastAsia"/>
          <w:color w:val="000000"/>
          <w:spacing w:val="-4"/>
          <w:sz w:val="28"/>
          <w:szCs w:val="32"/>
        </w:rPr>
        <w:t>第十九条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交割仓库对交割商品的存储或堆码方式、方法等应当符合相关技术规范要求。</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存放交割商品的设施应符合规定的条件，保持库区、库内清洁卫生。</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交割仓库应按照交割商品的存放和养护要求，以及交割仓库协议书的约定做好交割商品的管理，切实保证交割商品质量和商品安全，并做好储存记录。</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未经交易所同意，交割仓库不得移动交割商品存放仓位或垛位；擅自移动的，交易所有权追究其违规责任；擅自移动造成损失的，交割仓库应当承担全部责任。</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第二十三条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货物出库时，交割仓库要及时、认真办理出库手续，做好复核工作：</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（一）验证提货密码、提货人身份证件、委托书等信息是否正确、有效；</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（二）核对《提货通知单》与之相对应的货物是否完全相符等内容。</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交割仓库应当积极配合货主发运商品，无正当理由不得延迟发货。</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交割仓库应当通过交易所要求的系统或渠道报送商品发运的进度、仓号、货位的变动情况及发运方向等。</w:t>
      </w:r>
    </w:p>
    <w:p w:rsidR="001A59C0" w:rsidRPr="00917558" w:rsidRDefault="001A59C0" w:rsidP="001A59C0">
      <w:pPr>
        <w:snapToGrid w:val="0"/>
        <w:spacing w:line="360" w:lineRule="auto"/>
        <w:ind w:firstLineChars="200" w:firstLine="624"/>
        <w:jc w:val="center"/>
        <w:rPr>
          <w:rFonts w:ascii="黑体" w:eastAsia="黑体" w:hAnsi="黑体" w:cs="Arial"/>
          <w:color w:val="000000"/>
          <w:spacing w:val="-4"/>
          <w:sz w:val="32"/>
          <w:szCs w:val="32"/>
        </w:rPr>
      </w:pPr>
      <w:r w:rsidRPr="00917558">
        <w:rPr>
          <w:rFonts w:ascii="黑体" w:eastAsia="黑体" w:hAnsi="黑体" w:cs="Arial" w:hint="eastAsia"/>
          <w:color w:val="000000"/>
          <w:spacing w:val="-4"/>
          <w:sz w:val="32"/>
          <w:szCs w:val="32"/>
        </w:rPr>
        <w:lastRenderedPageBreak/>
        <w:t>第五章 监督管理</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交易所有权组织对交割仓库实行检查、自查、互查，可以委托会员或交易所指定的第三方机构对交割仓库进行检查，并组织对交割仓库的年审：</w:t>
      </w:r>
    </w:p>
    <w:p w:rsidR="001A59C0"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交割仓库检查，是指交易所可以随时对交割仓库进行专项或全面检查，查阅、复制与被检查事项相关的文件、资料、系统、信息、数据等，询问与被检查事项相关的人员，以检查交割仓库在日常工作中对交易所各项规定的执行情况；</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（二）交割仓库自查，是指各交割仓库根据交易所工作要求，组织对仓库自身情况的检查，并将检查结果报送交易所；</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（三）交割仓库互查，是指交割仓库根据交易所工作要求，对其他交割仓库进行专项检查，并将检查结果报送交易所；</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（四）会员或第三方机构检查，是指经交易所指定的会员或第三方机构，根据交易所工作要求，对交割仓库进行专项检查，并将检查结果报送交易所；</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（五）交割仓库年审，是指交易所依据相关规定，指定会计师事务所或其它机构对交割仓库进行审核</w:t>
      </w:r>
      <w:r>
        <w:rPr>
          <w:rFonts w:ascii="宋体" w:hAnsi="宋体" w:cs="Arial" w:hint="eastAsia"/>
          <w:color w:val="000000"/>
          <w:spacing w:val="-4"/>
          <w:sz w:val="28"/>
          <w:szCs w:val="32"/>
        </w:rPr>
        <w:t>。</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在上述检查过程中，发现交割仓库有违规、未履行相关义务等行为，或者年审结果不符合交割仓库要求的，交易所可采取限期整改、调减交割库容、暂停全部或部分交割业务、取消交割仓库资格等措施。由此产生的损失由交割仓库承担。</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交割仓库、会员、第三方机构对在交割仓</w:t>
      </w:r>
      <w:r>
        <w:rPr>
          <w:rFonts w:ascii="宋体" w:hAnsi="宋体" w:cs="Arial" w:hint="eastAsia"/>
          <w:color w:val="000000"/>
          <w:spacing w:val="-4"/>
          <w:sz w:val="28"/>
          <w:szCs w:val="32"/>
        </w:rPr>
        <w:t>库检查、互查过程中知悉的被检查对象尚未正式对外公开的一切相关</w:t>
      </w:r>
      <w:r w:rsidRPr="00917558">
        <w:rPr>
          <w:rFonts w:ascii="宋体" w:hAnsi="宋体" w:cs="Arial" w:hint="eastAsia"/>
          <w:color w:val="000000"/>
          <w:spacing w:val="-4"/>
          <w:sz w:val="28"/>
          <w:szCs w:val="32"/>
        </w:rPr>
        <w:t>文件、资料、系统、信息、数据等负有保密义务；违反前述义务的，应当承担相应法律责任。</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第二十五条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禁止交割仓库实施下列行为：</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（一）不按交易所要求对交割商品进行管理的；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（二）擅自移动或处理交割商品的；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（三）与会员或客户联手，以虚占库容等方式影响或企图影响期货市场价格的；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（四）在未完成入库、未取得检验结果或未完成规定的检验项目情况下，申请注册仓单的；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（五）交割中滥收费的；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（六）蓄意刁难客户，不配合交割商品的出入库的；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（七）拒绝、阻挠交易所依法、依规监督检查的；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（八）弄虚作假，影响期货交割业务正常进行的；</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（九）违反交易所规定的其他行为。</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第二十六条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交割仓库应当向交易所缴纳交割担保金作为交割仓库履行相关义务的保证。经交易所认定交割仓库履行了本办法规定的义务的，交易所将交割担保金利息返还给</w:t>
      </w:r>
      <w:r>
        <w:rPr>
          <w:rFonts w:ascii="宋体" w:hAnsi="宋体" w:cs="Arial" w:hint="eastAsia"/>
          <w:color w:val="000000"/>
          <w:spacing w:val="-4"/>
          <w:sz w:val="28"/>
          <w:szCs w:val="32"/>
        </w:rPr>
        <w:t>交割</w:t>
      </w:r>
      <w:r w:rsidRPr="00917558">
        <w:rPr>
          <w:rFonts w:ascii="宋体" w:hAnsi="宋体" w:cs="Arial" w:hint="eastAsia"/>
          <w:color w:val="000000"/>
          <w:spacing w:val="-4"/>
          <w:sz w:val="28"/>
          <w:szCs w:val="32"/>
        </w:rPr>
        <w:t>仓库，利息按中国人民银行公布的同期银行活期存款利率每年计息一次。</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因交割仓库的原因致使标准仓单持有人不能及时行使或不能完全行使标准仓单权利的，交割仓库应当承担赔偿责任。赔偿不足的部分由交易所首先用其所缴纳的交割担保金赔偿；交割担保金不足以赔偿的，由交易所按有关规定补充赔偿；补充赔偿后，交易所有权向交割仓库追偿。</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交割担保金的具体数额在交割仓库协议书中进行明确约定。</w:t>
      </w:r>
    </w:p>
    <w:p w:rsidR="001A59C0" w:rsidRPr="00917558" w:rsidRDefault="001A59C0" w:rsidP="001A59C0">
      <w:pPr>
        <w:snapToGrid w:val="0"/>
        <w:spacing w:line="360" w:lineRule="auto"/>
        <w:ind w:firstLineChars="200" w:firstLine="624"/>
        <w:jc w:val="center"/>
        <w:rPr>
          <w:rFonts w:ascii="黑体" w:eastAsia="黑体" w:hAnsi="黑体" w:cs="Arial"/>
          <w:color w:val="000000"/>
          <w:spacing w:val="-4"/>
          <w:sz w:val="32"/>
          <w:szCs w:val="32"/>
        </w:rPr>
      </w:pPr>
      <w:bookmarkStart w:id="0" w:name="_GoBack"/>
      <w:bookmarkEnd w:id="0"/>
      <w:r w:rsidRPr="00917558">
        <w:rPr>
          <w:rFonts w:ascii="黑体" w:eastAsia="黑体" w:hAnsi="黑体" w:cs="Arial" w:hint="eastAsia"/>
          <w:color w:val="000000"/>
          <w:spacing w:val="-4"/>
          <w:sz w:val="32"/>
          <w:szCs w:val="32"/>
        </w:rPr>
        <w:t>第六章 附则</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违反本办法规定的，交易所按</w:t>
      </w:r>
      <w:r w:rsidR="00C40CCA">
        <w:rPr>
          <w:rFonts w:ascii="宋体" w:hAnsi="宋体" w:cs="Arial" w:hint="eastAsia"/>
          <w:color w:val="000000"/>
          <w:spacing w:val="-4"/>
          <w:sz w:val="28"/>
          <w:szCs w:val="32"/>
        </w:rPr>
        <w:t>照</w:t>
      </w:r>
      <w:r w:rsidRPr="00917558">
        <w:rPr>
          <w:rFonts w:ascii="宋体" w:hAnsi="宋体" w:cs="Arial" w:hint="eastAsia"/>
          <w:color w:val="000000"/>
          <w:spacing w:val="-4"/>
          <w:sz w:val="28"/>
          <w:szCs w:val="32"/>
        </w:rPr>
        <w:t>《郑州商品交易所违规处理办法》的有关规定处理。</w:t>
      </w:r>
    </w:p>
    <w:p w:rsidR="001A59C0" w:rsidRPr="00917558" w:rsidRDefault="001A59C0" w:rsidP="001A59C0">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第二十八条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本办法解释权属于郑州商品交易所。</w:t>
      </w:r>
    </w:p>
    <w:p w:rsidR="001A59C0" w:rsidRPr="008771CB" w:rsidRDefault="001A59C0" w:rsidP="00CD7C93">
      <w:pPr>
        <w:ind w:right="1287" w:firstLineChars="200" w:firstLine="544"/>
      </w:pPr>
      <w:r w:rsidRPr="00917558">
        <w:rPr>
          <w:rFonts w:ascii="黑体" w:eastAsia="黑体" w:hAnsi="黑体" w:cs="Arial" w:hint="eastAsia"/>
          <w:color w:val="000000"/>
          <w:spacing w:val="-4"/>
          <w:sz w:val="28"/>
          <w:szCs w:val="32"/>
        </w:rPr>
        <w:lastRenderedPageBreak/>
        <w:t>第二十九条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本办法自</w:t>
      </w:r>
      <w:r w:rsidR="00CD7C93">
        <w:rPr>
          <w:rFonts w:ascii="宋体" w:hAnsi="宋体" w:cs="Arial" w:hint="eastAsia"/>
          <w:color w:val="000000"/>
          <w:spacing w:val="-4"/>
          <w:sz w:val="28"/>
          <w:szCs w:val="32"/>
        </w:rPr>
        <w:t>2022年12月1日</w:t>
      </w:r>
      <w:r w:rsidRPr="00917558">
        <w:rPr>
          <w:rFonts w:ascii="宋体" w:hAnsi="宋体" w:cs="Arial" w:hint="eastAsia"/>
          <w:color w:val="000000"/>
          <w:spacing w:val="-4"/>
          <w:sz w:val="28"/>
          <w:szCs w:val="32"/>
        </w:rPr>
        <w:t>起</w:t>
      </w:r>
      <w:r>
        <w:rPr>
          <w:rFonts w:ascii="宋体" w:hAnsi="宋体" w:cs="Arial" w:hint="eastAsia"/>
          <w:color w:val="000000"/>
          <w:spacing w:val="-4"/>
          <w:sz w:val="28"/>
          <w:szCs w:val="32"/>
        </w:rPr>
        <w:t>施行</w:t>
      </w:r>
      <w:r w:rsidRPr="00917558">
        <w:rPr>
          <w:rFonts w:ascii="宋体" w:hAnsi="宋体" w:cs="Arial" w:hint="eastAsia"/>
          <w:color w:val="000000"/>
          <w:spacing w:val="-4"/>
          <w:sz w:val="28"/>
          <w:szCs w:val="32"/>
        </w:rPr>
        <w:t>。</w:t>
      </w:r>
    </w:p>
    <w:p w:rsidR="00642550" w:rsidRPr="001A59C0" w:rsidRDefault="00642550" w:rsidP="00642550">
      <w:pPr>
        <w:rPr>
          <w:rFonts w:ascii="黑体" w:eastAsia="黑体" w:hAnsi="黑体"/>
          <w:sz w:val="32"/>
          <w:szCs w:val="32"/>
        </w:rPr>
        <w:sectPr w:rsidR="00642550" w:rsidRPr="001A59C0">
          <w:pgSz w:w="11906" w:h="16838"/>
          <w:pgMar w:top="1440" w:right="1800" w:bottom="1440" w:left="1800" w:header="851" w:footer="992" w:gutter="0"/>
          <w:cols w:space="425"/>
          <w:docGrid w:type="lines" w:linePitch="312"/>
        </w:sectPr>
      </w:pPr>
    </w:p>
    <w:p w:rsidR="00642550" w:rsidRDefault="00642550" w:rsidP="00642550">
      <w:pPr>
        <w:rPr>
          <w:b/>
          <w:kern w:val="44"/>
          <w:sz w:val="44"/>
          <w:szCs w:val="44"/>
        </w:rPr>
      </w:pPr>
      <w:r w:rsidRPr="00EE4018">
        <w:rPr>
          <w:rFonts w:ascii="黑体" w:eastAsia="黑体" w:hAnsi="黑体"/>
          <w:sz w:val="32"/>
          <w:szCs w:val="32"/>
        </w:rPr>
        <w:lastRenderedPageBreak/>
        <w:t>附件</w:t>
      </w:r>
      <w:r>
        <w:rPr>
          <w:rFonts w:ascii="黑体" w:eastAsia="黑体" w:hAnsi="黑体" w:hint="eastAsia"/>
          <w:sz w:val="32"/>
          <w:szCs w:val="32"/>
        </w:rPr>
        <w:t>7</w:t>
      </w:r>
      <w:r w:rsidRPr="00EE4018">
        <w:rPr>
          <w:rFonts w:ascii="黑体" w:eastAsia="黑体" w:hAnsi="黑体" w:hint="eastAsia"/>
          <w:sz w:val="32"/>
          <w:szCs w:val="32"/>
        </w:rPr>
        <w:t>-</w:t>
      </w:r>
      <w:r>
        <w:rPr>
          <w:rFonts w:ascii="黑体" w:eastAsia="黑体" w:hAnsi="黑体" w:hint="eastAsia"/>
          <w:sz w:val="32"/>
          <w:szCs w:val="32"/>
        </w:rPr>
        <w:t>2</w:t>
      </w:r>
    </w:p>
    <w:p w:rsidR="00642550" w:rsidRDefault="00642550" w:rsidP="00642550">
      <w:pPr>
        <w:jc w:val="center"/>
        <w:rPr>
          <w:rFonts w:ascii="Calibri" w:hAnsi="Calibri"/>
          <w:b/>
          <w:kern w:val="44"/>
          <w:sz w:val="44"/>
          <w:szCs w:val="44"/>
        </w:rPr>
      </w:pPr>
      <w:r>
        <w:rPr>
          <w:rFonts w:hint="eastAsia"/>
          <w:b/>
          <w:kern w:val="44"/>
          <w:sz w:val="44"/>
          <w:szCs w:val="44"/>
        </w:rPr>
        <w:t>郑州商品交易所指定商品交割仓库管理办法（对比稿）</w:t>
      </w:r>
    </w:p>
    <w:p w:rsidR="00642550" w:rsidRDefault="00642550" w:rsidP="00642550">
      <w:pPr>
        <w:snapToGrid w:val="0"/>
        <w:spacing w:line="360" w:lineRule="auto"/>
        <w:ind w:firstLineChars="200" w:firstLine="640"/>
        <w:jc w:val="left"/>
        <w:rPr>
          <w:rFonts w:ascii="黑体" w:eastAsia="黑体" w:hAnsi="黑体"/>
          <w:sz w:val="32"/>
          <w:szCs w:val="32"/>
        </w:rPr>
      </w:pP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第四条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申请成为交割仓库应当具备以下条件：</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（一）依法持有企业法人营业执照或事业单位法人登记证书,营业范围应当载明“仓储”或“储运”等业务；</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（二）净资产、注册资本及注册资本实缴金额应当达到交易所要求的数额；</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（三）财务状况良好，具有较强的抗风险能力；</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（四）具有良好的商业信誉，完善的仓储管理规章制度，近期未发现严重违法违规行为、严重失信行为、重大安全事故、被取消交割仓库资格的记录；</w:t>
      </w:r>
    </w:p>
    <w:p w:rsidR="00833F16" w:rsidRPr="00917558" w:rsidRDefault="00833F16" w:rsidP="00833F16">
      <w:pPr>
        <w:snapToGrid w:val="0"/>
        <w:spacing w:line="360" w:lineRule="auto"/>
        <w:ind w:firstLineChars="200" w:firstLine="544"/>
        <w:rPr>
          <w:rFonts w:ascii="宋体" w:hAnsi="宋体" w:cs="Arial"/>
          <w:color w:val="000000"/>
          <w:spacing w:val="-4"/>
          <w:sz w:val="28"/>
          <w:szCs w:val="32"/>
        </w:rPr>
      </w:pPr>
      <w:r w:rsidRPr="00917558">
        <w:rPr>
          <w:rFonts w:ascii="宋体" w:hAnsi="宋体" w:cs="Arial" w:hint="eastAsia"/>
          <w:color w:val="000000"/>
          <w:spacing w:val="-4"/>
          <w:sz w:val="28"/>
          <w:szCs w:val="32"/>
        </w:rPr>
        <w:t>（五）承认并遵守</w:t>
      </w:r>
      <w:r w:rsidRPr="00286EA3">
        <w:rPr>
          <w:rFonts w:ascii="宋体" w:hAnsi="宋体" w:cs="Arial" w:hint="eastAsia"/>
          <w:color w:val="000000"/>
          <w:spacing w:val="-4"/>
          <w:sz w:val="28"/>
          <w:szCs w:val="32"/>
        </w:rPr>
        <w:t>交易所的</w:t>
      </w:r>
      <w:r>
        <w:rPr>
          <w:rFonts w:ascii="宋体" w:hAnsi="宋体" w:cs="Arial" w:hint="eastAsia"/>
          <w:color w:val="000000"/>
          <w:spacing w:val="-4"/>
          <w:sz w:val="28"/>
          <w:szCs w:val="32"/>
        </w:rPr>
        <w:t>交易规则</w:t>
      </w:r>
      <w:r w:rsidRPr="00286EA3">
        <w:rPr>
          <w:rFonts w:ascii="宋体" w:hAnsi="宋体" w:cs="Arial" w:hint="eastAsia"/>
          <w:color w:val="000000"/>
          <w:spacing w:val="-4"/>
          <w:sz w:val="28"/>
          <w:szCs w:val="32"/>
        </w:rPr>
        <w:t>、</w:t>
      </w:r>
      <w:r w:rsidRPr="00917558">
        <w:rPr>
          <w:rFonts w:ascii="宋体" w:hAnsi="宋体" w:cs="Arial" w:hint="eastAsia"/>
          <w:color w:val="000000"/>
          <w:spacing w:val="-4"/>
          <w:sz w:val="28"/>
          <w:szCs w:val="32"/>
        </w:rPr>
        <w:t>《郑州商品交易所期货交割</w:t>
      </w:r>
      <w:r w:rsidRPr="00454D49">
        <w:rPr>
          <w:rFonts w:ascii="宋体" w:hAnsi="宋体" w:cs="Arial" w:hint="eastAsia"/>
          <w:b/>
          <w:color w:val="000000"/>
          <w:spacing w:val="-4"/>
          <w:sz w:val="28"/>
          <w:szCs w:val="32"/>
        </w:rPr>
        <w:t>管理办法</w:t>
      </w:r>
      <w:r w:rsidRPr="00454D49">
        <w:rPr>
          <w:rFonts w:ascii="宋体" w:hAnsi="宋体" w:cs="Arial" w:hint="eastAsia"/>
          <w:dstrike/>
          <w:color w:val="000000"/>
          <w:spacing w:val="-4"/>
          <w:sz w:val="28"/>
          <w:szCs w:val="32"/>
        </w:rPr>
        <w:t>细则</w:t>
      </w:r>
      <w:r w:rsidRPr="00917558">
        <w:rPr>
          <w:rFonts w:ascii="宋体" w:hAnsi="宋体" w:cs="Arial" w:hint="eastAsia"/>
          <w:color w:val="000000"/>
          <w:spacing w:val="-4"/>
          <w:sz w:val="28"/>
          <w:szCs w:val="32"/>
        </w:rPr>
        <w:t>》（以下简称</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交割</w:t>
      </w:r>
      <w:r w:rsidRPr="00454D49">
        <w:rPr>
          <w:rFonts w:ascii="宋体" w:hAnsi="宋体" w:cs="Arial" w:hint="eastAsia"/>
          <w:b/>
          <w:color w:val="000000"/>
          <w:spacing w:val="-4"/>
          <w:sz w:val="28"/>
          <w:szCs w:val="32"/>
        </w:rPr>
        <w:t>管理办法</w:t>
      </w:r>
      <w:r>
        <w:rPr>
          <w:rFonts w:ascii="宋体" w:hAnsi="宋体" w:cs="Arial" w:hint="eastAsia"/>
          <w:b/>
          <w:color w:val="000000"/>
          <w:spacing w:val="-4"/>
          <w:sz w:val="28"/>
          <w:szCs w:val="32"/>
        </w:rPr>
        <w:t>》</w:t>
      </w:r>
      <w:r w:rsidRPr="00454D49">
        <w:rPr>
          <w:rFonts w:ascii="宋体" w:hAnsi="宋体" w:cs="Arial" w:hint="eastAsia"/>
          <w:dstrike/>
          <w:color w:val="000000"/>
          <w:spacing w:val="-4"/>
          <w:sz w:val="28"/>
          <w:szCs w:val="32"/>
        </w:rPr>
        <w:t>细则</w:t>
      </w:r>
      <w:r w:rsidRPr="00917558">
        <w:rPr>
          <w:rFonts w:ascii="宋体" w:hAnsi="宋体" w:cs="Arial" w:hint="eastAsia"/>
          <w:color w:val="000000"/>
          <w:spacing w:val="-4"/>
          <w:sz w:val="28"/>
          <w:szCs w:val="32"/>
        </w:rPr>
        <w:t>）</w:t>
      </w:r>
      <w:r w:rsidRPr="00EC1E8C">
        <w:rPr>
          <w:rFonts w:ascii="宋体" w:hAnsi="宋体" w:cs="Arial" w:hint="eastAsia"/>
          <w:dstrike/>
          <w:color w:val="000000"/>
          <w:spacing w:val="-4"/>
          <w:sz w:val="28"/>
          <w:szCs w:val="32"/>
        </w:rPr>
        <w:t>、</w:t>
      </w:r>
      <w:r w:rsidRPr="00917558">
        <w:rPr>
          <w:rFonts w:ascii="宋体" w:hAnsi="宋体" w:cs="Arial" w:hint="eastAsia"/>
          <w:color w:val="000000"/>
          <w:spacing w:val="-4"/>
          <w:sz w:val="28"/>
          <w:szCs w:val="32"/>
        </w:rPr>
        <w:t>《郑州商品交易所标准仓单管理办法》（以下简称</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标准仓单管理办法</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w:t>
      </w:r>
      <w:r w:rsidRPr="00197F0F">
        <w:rPr>
          <w:rFonts w:ascii="宋体" w:hAnsi="宋体" w:cs="Arial" w:hint="eastAsia"/>
          <w:b/>
          <w:color w:val="000000"/>
          <w:spacing w:val="-4"/>
          <w:sz w:val="28"/>
          <w:szCs w:val="32"/>
        </w:rPr>
        <w:t>及各品种期货业务细则</w:t>
      </w:r>
      <w:r w:rsidRPr="00917558">
        <w:rPr>
          <w:rFonts w:ascii="宋体" w:hAnsi="宋体" w:cs="Arial" w:hint="eastAsia"/>
          <w:color w:val="000000"/>
          <w:spacing w:val="-4"/>
          <w:sz w:val="28"/>
          <w:szCs w:val="32"/>
        </w:rPr>
        <w:t>等规定；</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（六）仓库主要管理人员应具有相应交割商品的仓储管理经验；</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（七）有储存相应交割商品的条件，库容有一定规模，仓储、计量设备、设施完好、齐全，符合规定要求；</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（八）有严格、完善的交割商品出入库、储存、管理、检化验等制度；</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（九）交通便利，具有较强的中转、进出装卸能力；</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（十）申请期货保税交割业务的，其开展期货保税交割业务及所涉及的海关特殊监管区域或保税监管场所应当经海关批准；</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lastRenderedPageBreak/>
        <w:t>（十一）满足交易所规定的视频监控、仓储管理等相关系统及其它设施和设备要求；</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（十二）具备符合交割商品仓储保管要求的消防设备、设施和人员等；</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（十三）交易所规定的其他条件。</w:t>
      </w:r>
    </w:p>
    <w:p w:rsidR="00833F16" w:rsidRDefault="00833F16" w:rsidP="00833F16">
      <w:pPr>
        <w:snapToGrid w:val="0"/>
        <w:spacing w:before="240" w:after="240" w:line="360" w:lineRule="auto"/>
        <w:ind w:firstLineChars="200" w:firstLine="544"/>
        <w:jc w:val="left"/>
        <w:rPr>
          <w:rFonts w:ascii="黑体" w:eastAsia="黑体" w:hAnsi="黑体" w:cs="Arial"/>
          <w:color w:val="000000"/>
          <w:spacing w:val="-4"/>
          <w:sz w:val="28"/>
          <w:szCs w:val="32"/>
        </w:rPr>
      </w:pPr>
      <w:r>
        <w:rPr>
          <w:rFonts w:ascii="黑体" w:eastAsia="黑体" w:hAnsi="黑体" w:cs="Arial"/>
          <w:color w:val="000000"/>
          <w:spacing w:val="-4"/>
          <w:sz w:val="28"/>
          <w:szCs w:val="32"/>
        </w:rPr>
        <w:t>……</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第十一条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交割仓库的权利：</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（一）按交易所规定享有向交易所申请标准仓单注册权；</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（二）按交易所审定的收费项目、标准和方法收取有关费用；</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（三）对交易所制定的有关实物交割的规定享有建议权；</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（四）经交易所核准，可以租用库房或场地，存储交割商品；</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w:t>
      </w:r>
      <w:r w:rsidRPr="00D67BB5">
        <w:rPr>
          <w:rFonts w:ascii="宋体" w:hAnsi="宋体" w:cs="Arial" w:hint="eastAsia"/>
          <w:dstrike/>
          <w:color w:val="000000"/>
          <w:spacing w:val="-4"/>
          <w:sz w:val="28"/>
          <w:szCs w:val="32"/>
        </w:rPr>
        <w:t>交易所</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交割</w:t>
      </w:r>
      <w:r w:rsidRPr="00454D49">
        <w:rPr>
          <w:rFonts w:ascii="宋体" w:hAnsi="宋体" w:cs="Arial" w:hint="eastAsia"/>
          <w:b/>
          <w:color w:val="000000"/>
          <w:spacing w:val="-4"/>
          <w:sz w:val="28"/>
          <w:szCs w:val="32"/>
        </w:rPr>
        <w:t>管理办法</w:t>
      </w:r>
      <w:r>
        <w:rPr>
          <w:rFonts w:ascii="宋体" w:hAnsi="宋体" w:cs="Arial" w:hint="eastAsia"/>
          <w:b/>
          <w:color w:val="000000"/>
          <w:spacing w:val="-4"/>
          <w:sz w:val="28"/>
          <w:szCs w:val="32"/>
        </w:rPr>
        <w:t>》</w:t>
      </w:r>
      <w:r w:rsidRPr="00454D49">
        <w:rPr>
          <w:rFonts w:ascii="宋体" w:hAnsi="宋体" w:cs="Arial" w:hint="eastAsia"/>
          <w:dstrike/>
          <w:color w:val="000000"/>
          <w:spacing w:val="-4"/>
          <w:sz w:val="28"/>
          <w:szCs w:val="32"/>
        </w:rPr>
        <w:t>细则</w:t>
      </w:r>
      <w:r w:rsidRPr="00D67BB5">
        <w:rPr>
          <w:rFonts w:ascii="宋体" w:hAnsi="宋体" w:cs="Arial" w:hint="eastAsia"/>
          <w:dstrike/>
          <w:color w:val="000000"/>
          <w:spacing w:val="-4"/>
          <w:sz w:val="28"/>
          <w:szCs w:val="32"/>
        </w:rPr>
        <w:t>、</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标准仓单管理办法</w:t>
      </w:r>
      <w:r w:rsidRPr="00D67BB5">
        <w:rPr>
          <w:rFonts w:ascii="宋体" w:hAnsi="宋体" w:cs="Arial" w:hint="eastAsia"/>
          <w:b/>
          <w:color w:val="000000"/>
          <w:spacing w:val="-4"/>
          <w:sz w:val="28"/>
          <w:szCs w:val="32"/>
        </w:rPr>
        <w:t>》</w:t>
      </w:r>
      <w:r>
        <w:rPr>
          <w:rFonts w:ascii="宋体" w:hAnsi="宋体" w:cs="Arial" w:hint="eastAsia"/>
          <w:b/>
          <w:color w:val="000000"/>
          <w:spacing w:val="-4"/>
          <w:sz w:val="28"/>
          <w:szCs w:val="32"/>
        </w:rPr>
        <w:t>、各品种期货业务细则</w:t>
      </w:r>
      <w:r w:rsidRPr="00917558">
        <w:rPr>
          <w:rFonts w:ascii="宋体" w:hAnsi="宋体" w:cs="Arial" w:hint="eastAsia"/>
          <w:color w:val="000000"/>
          <w:spacing w:val="-4"/>
          <w:sz w:val="28"/>
          <w:szCs w:val="32"/>
        </w:rPr>
        <w:t>和交割仓库协议书等规定的其他权利。</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第十二条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交割仓库的义务：</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（一）遵守</w:t>
      </w:r>
      <w:r w:rsidRPr="00D67BB5">
        <w:rPr>
          <w:rFonts w:ascii="宋体" w:hAnsi="宋体" w:cs="Arial" w:hint="eastAsia"/>
          <w:dstrike/>
          <w:color w:val="000000"/>
          <w:spacing w:val="-4"/>
          <w:sz w:val="28"/>
          <w:szCs w:val="32"/>
        </w:rPr>
        <w:t>交易所</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交割</w:t>
      </w:r>
      <w:r w:rsidRPr="00454D49">
        <w:rPr>
          <w:rFonts w:ascii="宋体" w:hAnsi="宋体" w:cs="Arial" w:hint="eastAsia"/>
          <w:dstrike/>
          <w:color w:val="000000"/>
          <w:spacing w:val="-4"/>
          <w:sz w:val="28"/>
          <w:szCs w:val="32"/>
        </w:rPr>
        <w:t>细则</w:t>
      </w:r>
      <w:r w:rsidRPr="00454D49">
        <w:rPr>
          <w:rFonts w:ascii="宋体" w:hAnsi="宋体" w:cs="Arial" w:hint="eastAsia"/>
          <w:b/>
          <w:color w:val="000000"/>
          <w:spacing w:val="-4"/>
          <w:sz w:val="28"/>
          <w:szCs w:val="32"/>
        </w:rPr>
        <w:t>管理办法</w:t>
      </w:r>
      <w:r>
        <w:rPr>
          <w:rFonts w:ascii="宋体" w:hAnsi="宋体" w:cs="Arial" w:hint="eastAsia"/>
          <w:b/>
          <w:color w:val="000000"/>
          <w:spacing w:val="-4"/>
          <w:sz w:val="28"/>
          <w:szCs w:val="32"/>
        </w:rPr>
        <w:t>》《标准仓单管理办法》、各品种期货业务细则</w:t>
      </w:r>
      <w:r w:rsidRPr="00917558">
        <w:rPr>
          <w:rFonts w:ascii="宋体" w:hAnsi="宋体" w:cs="Arial" w:hint="eastAsia"/>
          <w:color w:val="000000"/>
          <w:spacing w:val="-4"/>
          <w:sz w:val="28"/>
          <w:szCs w:val="32"/>
        </w:rPr>
        <w:t>及</w:t>
      </w:r>
      <w:r w:rsidRPr="00D67BB5">
        <w:rPr>
          <w:rFonts w:ascii="宋体" w:hAnsi="宋体" w:cs="Arial" w:hint="eastAsia"/>
          <w:b/>
          <w:color w:val="000000"/>
          <w:spacing w:val="-4"/>
          <w:sz w:val="28"/>
          <w:szCs w:val="32"/>
        </w:rPr>
        <w:t>交易所</w:t>
      </w:r>
      <w:r w:rsidRPr="00917558">
        <w:rPr>
          <w:rFonts w:ascii="宋体" w:hAnsi="宋体" w:cs="Arial" w:hint="eastAsia"/>
          <w:color w:val="000000"/>
          <w:spacing w:val="-4"/>
          <w:sz w:val="28"/>
          <w:szCs w:val="32"/>
        </w:rPr>
        <w:t>其他有关规定，接受交易所的监管，及时向交易所提供有关情况；</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（二）按规定保管好交割商品，确保安全；</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（三）应当对库存交割商品全额投保财产险一切险等相关险种或按照交易所要求进行投保；</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（四）根据交易所要求及时完成商品视频监控、消防安全等设施和设备的改造和升级；</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（五）根据交易所有关业务规则，办理期货交割商品的验收入库，建立电子台账等相关系统；</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（六）按标准仓单要求及交易所的业务规则提供交割商品，协助货</w:t>
      </w:r>
      <w:r w:rsidRPr="00917558">
        <w:rPr>
          <w:rFonts w:ascii="宋体" w:hAnsi="宋体" w:cs="Arial" w:hint="eastAsia"/>
          <w:color w:val="000000"/>
          <w:spacing w:val="-4"/>
          <w:sz w:val="28"/>
          <w:szCs w:val="32"/>
        </w:rPr>
        <w:lastRenderedPageBreak/>
        <w:t>主安排出库；</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（七）保守与商品交割有关的商业秘密；</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（八）参加交易所组织的年审；</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（九）</w:t>
      </w:r>
      <w:r w:rsidRPr="00C7463F">
        <w:rPr>
          <w:rFonts w:ascii="宋体" w:hAnsi="宋体" w:cs="Arial" w:hint="eastAsia"/>
          <w:color w:val="000000"/>
          <w:spacing w:val="-4"/>
          <w:sz w:val="28"/>
          <w:szCs w:val="32"/>
        </w:rPr>
        <w:t>缴</w:t>
      </w:r>
      <w:r w:rsidRPr="00917558">
        <w:rPr>
          <w:rFonts w:ascii="宋体" w:hAnsi="宋体" w:cs="Arial" w:hint="eastAsia"/>
          <w:color w:val="000000"/>
          <w:spacing w:val="-4"/>
          <w:sz w:val="28"/>
          <w:szCs w:val="32"/>
        </w:rPr>
        <w:t>纳交割担保金；</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（十）配合指定质检机构取样及现场检验等工作；</w:t>
      </w:r>
    </w:p>
    <w:p w:rsidR="00833F16" w:rsidRPr="00917558"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一）变更单位名称、法定代表人或主要负责人、注册资本、注册资本实缴金额、股东或股权结构、仓储场地、经营场所等，出现可能危及交割商品安全、法律诉讼、仲裁、纠纷等问题，或者发生交割仓库土地或房产抵押、对外担保等事项，及时向交易所通报；</w:t>
      </w:r>
    </w:p>
    <w:p w:rsidR="00833F16" w:rsidRDefault="00833F16" w:rsidP="00833F16">
      <w:pPr>
        <w:snapToGrid w:val="0"/>
        <w:spacing w:line="360" w:lineRule="auto"/>
        <w:ind w:firstLineChars="200" w:firstLine="544"/>
        <w:jc w:val="left"/>
        <w:rPr>
          <w:rFonts w:ascii="宋体" w:hAnsi="宋体" w:cs="Arial"/>
          <w:color w:val="000000"/>
          <w:spacing w:val="-4"/>
          <w:sz w:val="28"/>
          <w:szCs w:val="32"/>
        </w:rPr>
      </w:pPr>
      <w:r w:rsidRPr="00917558">
        <w:rPr>
          <w:rFonts w:ascii="宋体" w:hAnsi="宋体" w:cs="Arial" w:hint="eastAsia"/>
          <w:color w:val="000000"/>
          <w:spacing w:val="-4"/>
          <w:sz w:val="28"/>
          <w:szCs w:val="32"/>
        </w:rPr>
        <w:t>（十二）</w:t>
      </w:r>
      <w:r w:rsidRPr="00D67BB5">
        <w:rPr>
          <w:rFonts w:ascii="宋体" w:hAnsi="宋体" w:cs="Arial" w:hint="eastAsia"/>
          <w:dstrike/>
          <w:color w:val="000000"/>
          <w:spacing w:val="-4"/>
          <w:sz w:val="28"/>
          <w:szCs w:val="32"/>
        </w:rPr>
        <w:t>交易所</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交割</w:t>
      </w:r>
      <w:r w:rsidRPr="00454D49">
        <w:rPr>
          <w:rFonts w:ascii="宋体" w:hAnsi="宋体" w:cs="Arial" w:hint="eastAsia"/>
          <w:b/>
          <w:color w:val="000000"/>
          <w:spacing w:val="-4"/>
          <w:sz w:val="28"/>
          <w:szCs w:val="32"/>
        </w:rPr>
        <w:t>管理办法</w:t>
      </w:r>
      <w:r>
        <w:rPr>
          <w:rFonts w:ascii="宋体" w:hAnsi="宋体" w:cs="Arial" w:hint="eastAsia"/>
          <w:b/>
          <w:color w:val="000000"/>
          <w:spacing w:val="-4"/>
          <w:sz w:val="28"/>
          <w:szCs w:val="32"/>
        </w:rPr>
        <w:t>》</w:t>
      </w:r>
      <w:r w:rsidRPr="00454D49">
        <w:rPr>
          <w:rFonts w:ascii="宋体" w:hAnsi="宋体" w:cs="Arial" w:hint="eastAsia"/>
          <w:dstrike/>
          <w:color w:val="000000"/>
          <w:spacing w:val="-4"/>
          <w:sz w:val="28"/>
          <w:szCs w:val="32"/>
        </w:rPr>
        <w:t>细则</w:t>
      </w:r>
      <w:r w:rsidRPr="00D67BB5">
        <w:rPr>
          <w:rFonts w:ascii="宋体" w:hAnsi="宋体" w:cs="Arial" w:hint="eastAsia"/>
          <w:dstrike/>
          <w:color w:val="000000"/>
          <w:spacing w:val="-4"/>
          <w:sz w:val="28"/>
          <w:szCs w:val="32"/>
        </w:rPr>
        <w:t>、</w:t>
      </w:r>
      <w:r w:rsidRPr="00D67BB5">
        <w:rPr>
          <w:rFonts w:ascii="宋体" w:hAnsi="宋体" w:cs="Arial" w:hint="eastAsia"/>
          <w:b/>
          <w:color w:val="000000"/>
          <w:spacing w:val="-4"/>
          <w:sz w:val="28"/>
          <w:szCs w:val="32"/>
        </w:rPr>
        <w:t>《</w:t>
      </w:r>
      <w:r w:rsidRPr="00917558">
        <w:rPr>
          <w:rFonts w:ascii="宋体" w:hAnsi="宋体" w:cs="Arial" w:hint="eastAsia"/>
          <w:color w:val="000000"/>
          <w:spacing w:val="-4"/>
          <w:sz w:val="28"/>
          <w:szCs w:val="32"/>
        </w:rPr>
        <w:t>标准仓单管理办法</w:t>
      </w:r>
      <w:r w:rsidRPr="00D67BB5">
        <w:rPr>
          <w:rFonts w:ascii="宋体" w:hAnsi="宋体" w:cs="Arial" w:hint="eastAsia"/>
          <w:b/>
          <w:color w:val="000000"/>
          <w:spacing w:val="-4"/>
          <w:sz w:val="28"/>
          <w:szCs w:val="32"/>
        </w:rPr>
        <w:t>》</w:t>
      </w:r>
      <w:r>
        <w:rPr>
          <w:rFonts w:ascii="宋体" w:hAnsi="宋体" w:cs="Arial" w:hint="eastAsia"/>
          <w:b/>
          <w:color w:val="000000"/>
          <w:spacing w:val="-4"/>
          <w:sz w:val="28"/>
          <w:szCs w:val="32"/>
        </w:rPr>
        <w:t>、各品种期货业务细则</w:t>
      </w:r>
      <w:r w:rsidRPr="00917558">
        <w:rPr>
          <w:rFonts w:ascii="宋体" w:hAnsi="宋体" w:cs="Arial" w:hint="eastAsia"/>
          <w:color w:val="000000"/>
          <w:spacing w:val="-4"/>
          <w:sz w:val="28"/>
          <w:szCs w:val="32"/>
        </w:rPr>
        <w:t>和交割仓库协议书等规定的其他义务。</w:t>
      </w:r>
    </w:p>
    <w:p w:rsidR="00C40CCA" w:rsidRPr="00C40CCA" w:rsidRDefault="00C40CCA" w:rsidP="00C40CCA">
      <w:pPr>
        <w:snapToGrid w:val="0"/>
        <w:spacing w:before="240" w:after="240" w:line="360" w:lineRule="auto"/>
        <w:ind w:firstLineChars="200" w:firstLine="544"/>
        <w:jc w:val="left"/>
        <w:rPr>
          <w:rFonts w:ascii="黑体" w:eastAsia="黑体" w:hAnsi="黑体" w:cs="Arial"/>
          <w:color w:val="000000"/>
          <w:spacing w:val="-4"/>
          <w:sz w:val="28"/>
          <w:szCs w:val="32"/>
        </w:rPr>
      </w:pPr>
      <w:r>
        <w:rPr>
          <w:rFonts w:ascii="黑体" w:eastAsia="黑体" w:hAnsi="黑体" w:cs="Arial"/>
          <w:color w:val="000000"/>
          <w:spacing w:val="-4"/>
          <w:sz w:val="28"/>
          <w:szCs w:val="32"/>
        </w:rPr>
        <w:t>……</w:t>
      </w:r>
    </w:p>
    <w:p w:rsidR="00FD5FE5" w:rsidRDefault="00C40CCA" w:rsidP="00FD5FE5">
      <w:pPr>
        <w:snapToGrid w:val="0"/>
        <w:spacing w:line="360" w:lineRule="auto"/>
        <w:ind w:firstLineChars="200" w:firstLine="544"/>
        <w:jc w:val="left"/>
        <w:rPr>
          <w:rFonts w:ascii="宋体" w:hAnsi="宋体" w:cs="Arial" w:hint="eastAsia"/>
          <w:color w:val="000000"/>
          <w:spacing w:val="-4"/>
          <w:sz w:val="28"/>
          <w:szCs w:val="32"/>
        </w:rPr>
      </w:pPr>
      <w:r w:rsidRPr="00917558">
        <w:rPr>
          <w:rFonts w:ascii="黑体" w:eastAsia="黑体" w:hAnsi="黑体" w:cs="Arial" w:hint="eastAsia"/>
          <w:color w:val="000000"/>
          <w:spacing w:val="-4"/>
          <w:sz w:val="28"/>
          <w:szCs w:val="32"/>
        </w:rPr>
        <w:t>第二十七条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违反本办法规定的，交易所按</w:t>
      </w:r>
      <w:r w:rsidRPr="00C40CCA">
        <w:rPr>
          <w:rFonts w:ascii="宋体" w:hAnsi="宋体" w:cs="Arial" w:hint="eastAsia"/>
          <w:b/>
          <w:color w:val="000000"/>
          <w:spacing w:val="-4"/>
          <w:sz w:val="28"/>
          <w:szCs w:val="32"/>
        </w:rPr>
        <w:t>照</w:t>
      </w:r>
      <w:r w:rsidRPr="00917558">
        <w:rPr>
          <w:rFonts w:ascii="宋体" w:hAnsi="宋体" w:cs="Arial" w:hint="eastAsia"/>
          <w:color w:val="000000"/>
          <w:spacing w:val="-4"/>
          <w:sz w:val="28"/>
          <w:szCs w:val="32"/>
        </w:rPr>
        <w:t>《郑州商品交易所违规处理办法》的有关规定处理。</w:t>
      </w:r>
    </w:p>
    <w:p w:rsidR="00CD7C93" w:rsidRPr="00FD5FE5" w:rsidRDefault="00CD7C93" w:rsidP="00FD5FE5">
      <w:pPr>
        <w:snapToGrid w:val="0"/>
        <w:spacing w:line="360" w:lineRule="auto"/>
        <w:ind w:firstLineChars="200" w:firstLine="544"/>
        <w:jc w:val="left"/>
        <w:rPr>
          <w:rFonts w:ascii="宋体" w:hAnsi="宋体" w:cs="Arial"/>
          <w:color w:val="000000"/>
          <w:spacing w:val="-4"/>
          <w:sz w:val="28"/>
          <w:szCs w:val="32"/>
        </w:rPr>
      </w:pPr>
      <w:r w:rsidRPr="00917558">
        <w:rPr>
          <w:rFonts w:ascii="黑体" w:eastAsia="黑体" w:hAnsi="黑体" w:cs="Arial" w:hint="eastAsia"/>
          <w:color w:val="000000"/>
          <w:spacing w:val="-4"/>
          <w:sz w:val="28"/>
          <w:szCs w:val="32"/>
        </w:rPr>
        <w:t>第二十九条</w:t>
      </w:r>
      <w:r w:rsidRPr="00917558">
        <w:rPr>
          <w:rFonts w:ascii="仿宋" w:eastAsia="仿宋" w:hAnsi="仿宋" w:cs="Arial" w:hint="eastAsia"/>
          <w:color w:val="000000"/>
          <w:spacing w:val="-4"/>
          <w:sz w:val="28"/>
          <w:szCs w:val="32"/>
        </w:rPr>
        <w:t xml:space="preserve"> </w:t>
      </w:r>
      <w:r w:rsidRPr="00917558">
        <w:rPr>
          <w:rFonts w:ascii="宋体" w:hAnsi="宋体" w:cs="Arial" w:hint="eastAsia"/>
          <w:color w:val="000000"/>
          <w:spacing w:val="-4"/>
          <w:sz w:val="28"/>
          <w:szCs w:val="32"/>
        </w:rPr>
        <w:t>本办法自</w:t>
      </w:r>
      <w:r w:rsidRPr="00CD7C93">
        <w:rPr>
          <w:rFonts w:ascii="宋体" w:hAnsi="宋体" w:cs="Arial" w:hint="eastAsia"/>
          <w:dstrike/>
          <w:color w:val="000000"/>
          <w:spacing w:val="-4"/>
          <w:sz w:val="28"/>
          <w:szCs w:val="32"/>
        </w:rPr>
        <w:t>发布之日</w:t>
      </w:r>
      <w:r w:rsidRPr="00CD7C93">
        <w:rPr>
          <w:rFonts w:ascii="宋体" w:hAnsi="宋体" w:cs="Arial" w:hint="eastAsia"/>
          <w:b/>
          <w:color w:val="000000"/>
          <w:spacing w:val="-4"/>
          <w:sz w:val="28"/>
          <w:szCs w:val="32"/>
        </w:rPr>
        <w:t>2022年12月1日</w:t>
      </w:r>
      <w:r w:rsidRPr="00917558">
        <w:rPr>
          <w:rFonts w:ascii="宋体" w:hAnsi="宋体" w:cs="Arial" w:hint="eastAsia"/>
          <w:color w:val="000000"/>
          <w:spacing w:val="-4"/>
          <w:sz w:val="28"/>
          <w:szCs w:val="32"/>
        </w:rPr>
        <w:t>起</w:t>
      </w:r>
      <w:r>
        <w:rPr>
          <w:rFonts w:ascii="宋体" w:hAnsi="宋体" w:cs="Arial" w:hint="eastAsia"/>
          <w:color w:val="000000"/>
          <w:spacing w:val="-4"/>
          <w:sz w:val="28"/>
          <w:szCs w:val="32"/>
        </w:rPr>
        <w:t>施行</w:t>
      </w:r>
      <w:r w:rsidRPr="00917558">
        <w:rPr>
          <w:rFonts w:ascii="宋体" w:hAnsi="宋体" w:cs="Arial" w:hint="eastAsia"/>
          <w:color w:val="000000"/>
          <w:spacing w:val="-4"/>
          <w:sz w:val="28"/>
          <w:szCs w:val="32"/>
        </w:rPr>
        <w:t>。</w:t>
      </w:r>
    </w:p>
    <w:p w:rsidR="00642550" w:rsidRPr="00CD7C93" w:rsidRDefault="00642550" w:rsidP="00642550">
      <w:pPr>
        <w:snapToGrid w:val="0"/>
        <w:spacing w:line="360" w:lineRule="auto"/>
        <w:ind w:firstLineChars="200" w:firstLine="544"/>
        <w:jc w:val="left"/>
        <w:rPr>
          <w:rFonts w:ascii="宋体" w:hAnsi="宋体" w:cs="Arial"/>
          <w:color w:val="000000"/>
          <w:spacing w:val="-4"/>
          <w:sz w:val="28"/>
          <w:szCs w:val="32"/>
        </w:rPr>
      </w:pPr>
    </w:p>
    <w:p w:rsidR="00310C6C" w:rsidRPr="00642550" w:rsidRDefault="00310C6C"/>
    <w:sectPr w:rsidR="00310C6C" w:rsidRPr="00642550" w:rsidSect="00996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C5" w:rsidRDefault="001B74C5" w:rsidP="00642550">
      <w:r>
        <w:separator/>
      </w:r>
    </w:p>
  </w:endnote>
  <w:endnote w:type="continuationSeparator" w:id="1">
    <w:p w:rsidR="001B74C5" w:rsidRDefault="001B74C5" w:rsidP="00642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C5" w:rsidRDefault="001B74C5" w:rsidP="00642550">
      <w:r>
        <w:separator/>
      </w:r>
    </w:p>
  </w:footnote>
  <w:footnote w:type="continuationSeparator" w:id="1">
    <w:p w:rsidR="001B74C5" w:rsidRDefault="001B74C5" w:rsidP="00642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550"/>
    <w:rsid w:val="001A59C0"/>
    <w:rsid w:val="001B74C5"/>
    <w:rsid w:val="00310C6C"/>
    <w:rsid w:val="00330CF5"/>
    <w:rsid w:val="00642550"/>
    <w:rsid w:val="00684DB5"/>
    <w:rsid w:val="006B1AF7"/>
    <w:rsid w:val="006B701B"/>
    <w:rsid w:val="006F4D8A"/>
    <w:rsid w:val="00833F16"/>
    <w:rsid w:val="00996C19"/>
    <w:rsid w:val="00BB6CBC"/>
    <w:rsid w:val="00C40CCA"/>
    <w:rsid w:val="00CD7C93"/>
    <w:rsid w:val="00FD5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550"/>
    <w:rPr>
      <w:sz w:val="18"/>
      <w:szCs w:val="18"/>
    </w:rPr>
  </w:style>
  <w:style w:type="paragraph" w:styleId="a4">
    <w:name w:val="footer"/>
    <w:basedOn w:val="a"/>
    <w:link w:val="Char0"/>
    <w:uiPriority w:val="99"/>
    <w:semiHidden/>
    <w:unhideWhenUsed/>
    <w:rsid w:val="006425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5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10</cp:revision>
  <dcterms:created xsi:type="dcterms:W3CDTF">2022-08-01T01:21:00Z</dcterms:created>
  <dcterms:modified xsi:type="dcterms:W3CDTF">2022-08-22T01:59:00Z</dcterms:modified>
</cp:coreProperties>
</file>