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C4" w:rsidRPr="00CD0773" w:rsidRDefault="00500EC4" w:rsidP="00500EC4">
      <w:pPr>
        <w:jc w:val="left"/>
        <w:rPr>
          <w:rFonts w:ascii="黑体" w:eastAsia="黑体" w:hAnsi="黑体"/>
          <w:sz w:val="32"/>
          <w:szCs w:val="32"/>
        </w:rPr>
      </w:pPr>
      <w:r w:rsidRPr="00CD0773">
        <w:rPr>
          <w:rFonts w:ascii="黑体" w:eastAsia="黑体" w:hAnsi="黑体" w:hint="eastAsia"/>
          <w:sz w:val="32"/>
          <w:szCs w:val="32"/>
        </w:rPr>
        <w:t>附件1</w:t>
      </w:r>
    </w:p>
    <w:p w:rsidR="00500EC4" w:rsidRDefault="00500EC4" w:rsidP="00500EC4">
      <w:pPr>
        <w:jc w:val="center"/>
        <w:rPr>
          <w:rFonts w:ascii="仿宋" w:eastAsia="仿宋" w:hAnsi="仿宋"/>
          <w:sz w:val="32"/>
          <w:szCs w:val="32"/>
        </w:rPr>
      </w:pPr>
      <w:r w:rsidRPr="000F1CF9">
        <w:rPr>
          <w:rFonts w:asciiTheme="minorEastAsia" w:hAnsiTheme="minorEastAsia" w:hint="eastAsia"/>
          <w:b/>
          <w:sz w:val="44"/>
          <w:szCs w:val="44"/>
        </w:rPr>
        <w:t>关于郑商所规则体系优化的总体说明</w:t>
      </w:r>
    </w:p>
    <w:p w:rsidR="00500EC4" w:rsidRDefault="00500EC4" w:rsidP="00500E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500EC4" w:rsidRPr="009A04AA" w:rsidRDefault="00500EC4" w:rsidP="009A04A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A04AA">
        <w:rPr>
          <w:rFonts w:ascii="黑体" w:eastAsia="黑体" w:hAnsi="黑体" w:hint="eastAsia"/>
          <w:sz w:val="32"/>
          <w:szCs w:val="32"/>
        </w:rPr>
        <w:t>一、优化后的规则体系说明</w:t>
      </w:r>
    </w:p>
    <w:p w:rsidR="00500EC4" w:rsidRPr="00CD0773" w:rsidRDefault="00500EC4" w:rsidP="00500EC4">
      <w:pPr>
        <w:ind w:firstLine="630"/>
        <w:rPr>
          <w:rFonts w:ascii="仿宋" w:eastAsia="仿宋" w:hAnsi="仿宋"/>
          <w:sz w:val="30"/>
          <w:szCs w:val="30"/>
        </w:rPr>
      </w:pPr>
      <w:r w:rsidRPr="009A04AA">
        <w:rPr>
          <w:rFonts w:ascii="仿宋" w:eastAsia="仿宋" w:hAnsi="仿宋" w:hint="eastAsia"/>
          <w:sz w:val="32"/>
          <w:szCs w:val="32"/>
        </w:rPr>
        <w:t xml:space="preserve">本次优化采用“业务办法+品种细则”的体例，对规则体系进行优化重构。业务规则体系优化后，我所规则体系共分为两个层级，第一层级仍为章程和交易规则；第二层级由业务办法和品种细则组成。业务办法是期货交易相关的一般规定和基本制度，品种细则是品种相关的个性化、参数类规定。体系优化后我所业务规则结构如下： </w:t>
      </w:r>
      <w:r w:rsidRPr="009A04AA">
        <w:rPr>
          <w:rFonts w:ascii="楷体" w:eastAsia="楷体" w:hAnsi="楷体" w:hint="eastAsia"/>
          <w:noProof/>
          <w:sz w:val="32"/>
          <w:szCs w:val="32"/>
        </w:rPr>
        <w:t xml:space="preserve"> </w:t>
      </w:r>
      <w:r w:rsidRPr="009A04AA">
        <w:rPr>
          <w:rFonts w:ascii="黑体" w:eastAsia="黑体" w:hAnsi="黑体" w:hint="eastAsia"/>
          <w:sz w:val="32"/>
          <w:szCs w:val="32"/>
        </w:rPr>
        <w:t xml:space="preserve">    </w:t>
      </w:r>
      <w:r w:rsidRPr="00577BC4">
        <w:rPr>
          <w:rFonts w:ascii="仿宋" w:eastAsia="仿宋" w:hAnsi="仿宋" w:hint="eastAsia"/>
          <w:sz w:val="30"/>
          <w:szCs w:val="30"/>
        </w:rPr>
        <w:t xml:space="preserve"> </w:t>
      </w:r>
    </w:p>
    <w:tbl>
      <w:tblPr>
        <w:tblW w:w="8579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4253"/>
        <w:gridCol w:w="3055"/>
      </w:tblGrid>
      <w:tr w:rsidR="00500EC4" w:rsidRPr="00DA68FD" w:rsidTr="00B13593">
        <w:trPr>
          <w:trHeight w:val="321"/>
          <w:jc w:val="center"/>
        </w:trPr>
        <w:tc>
          <w:tcPr>
            <w:tcW w:w="1271" w:type="dxa"/>
          </w:tcPr>
          <w:p w:rsidR="00500EC4" w:rsidRPr="00AC7E4F" w:rsidRDefault="00500EC4" w:rsidP="00B13593">
            <w:pPr>
              <w:ind w:firstLineChars="49" w:firstLine="103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规则层级</w:t>
            </w:r>
          </w:p>
        </w:tc>
        <w:tc>
          <w:tcPr>
            <w:tcW w:w="4253" w:type="dxa"/>
          </w:tcPr>
          <w:p w:rsidR="00500EC4" w:rsidRPr="00AC7E4F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优化后的规则制度</w:t>
            </w:r>
          </w:p>
        </w:tc>
        <w:tc>
          <w:tcPr>
            <w:tcW w:w="3055" w:type="dxa"/>
          </w:tcPr>
          <w:p w:rsidR="00500EC4" w:rsidRPr="00AC7E4F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备注</w:t>
            </w:r>
          </w:p>
        </w:tc>
      </w:tr>
      <w:tr w:rsidR="00500EC4" w:rsidRPr="00D219BD" w:rsidTr="00B13593">
        <w:trPr>
          <w:trHeight w:val="732"/>
          <w:jc w:val="center"/>
        </w:trPr>
        <w:tc>
          <w:tcPr>
            <w:tcW w:w="1271" w:type="dxa"/>
            <w:vMerge w:val="restart"/>
            <w:vAlign w:val="center"/>
          </w:tcPr>
          <w:p w:rsidR="00500EC4" w:rsidRDefault="00500EC4" w:rsidP="00B13593">
            <w:pPr>
              <w:jc w:val="center"/>
              <w:rPr>
                <w:rFonts w:hAnsi="宋体"/>
                <w:b/>
                <w:kern w:val="0"/>
                <w:szCs w:val="21"/>
              </w:rPr>
            </w:pPr>
            <w:r w:rsidRPr="00AC7E4F">
              <w:rPr>
                <w:rFonts w:hAnsi="宋体" w:hint="eastAsia"/>
                <w:b/>
                <w:kern w:val="0"/>
                <w:szCs w:val="21"/>
              </w:rPr>
              <w:t>第一</w:t>
            </w:r>
            <w:r>
              <w:rPr>
                <w:rFonts w:hAnsi="宋体" w:hint="eastAsia"/>
                <w:b/>
                <w:kern w:val="0"/>
                <w:szCs w:val="21"/>
              </w:rPr>
              <w:t>层级</w:t>
            </w:r>
          </w:p>
          <w:p w:rsidR="00500EC4" w:rsidRPr="00AC7E4F" w:rsidRDefault="00500EC4" w:rsidP="00B13593">
            <w:pPr>
              <w:jc w:val="center"/>
              <w:rPr>
                <w:rFonts w:hAnsi="宋体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（</w:t>
            </w:r>
            <w:r>
              <w:rPr>
                <w:rFonts w:hAnsi="宋体" w:hint="eastAsia"/>
                <w:b/>
                <w:kern w:val="0"/>
                <w:szCs w:val="21"/>
              </w:rPr>
              <w:t>2</w:t>
            </w:r>
            <w:r>
              <w:rPr>
                <w:rFonts w:hAnsi="宋体"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  <w:vAlign w:val="center"/>
          </w:tcPr>
          <w:p w:rsidR="00500EC4" w:rsidRPr="00357BD8" w:rsidRDefault="00500EC4" w:rsidP="00B13593">
            <w:pPr>
              <w:jc w:val="left"/>
              <w:rPr>
                <w:kern w:val="0"/>
                <w:szCs w:val="21"/>
              </w:rPr>
            </w:pPr>
            <w:r w:rsidRPr="00553BC9">
              <w:rPr>
                <w:rFonts w:hint="eastAsia"/>
                <w:b/>
                <w:kern w:val="0"/>
                <w:szCs w:val="32"/>
              </w:rPr>
              <w:t>郑州商品交易所</w:t>
            </w:r>
            <w:r w:rsidRPr="00553BC9">
              <w:rPr>
                <w:b/>
                <w:kern w:val="0"/>
                <w:szCs w:val="32"/>
              </w:rPr>
              <w:t>章程</w:t>
            </w:r>
          </w:p>
        </w:tc>
        <w:tc>
          <w:tcPr>
            <w:tcW w:w="3055" w:type="dxa"/>
            <w:vAlign w:val="center"/>
          </w:tcPr>
          <w:p w:rsidR="00500EC4" w:rsidRPr="00357BD8" w:rsidRDefault="00500EC4" w:rsidP="00B13593">
            <w:pPr>
              <w:jc w:val="left"/>
              <w:rPr>
                <w:kern w:val="0"/>
                <w:szCs w:val="21"/>
              </w:rPr>
            </w:pPr>
            <w:r w:rsidRPr="00357BD8">
              <w:rPr>
                <w:rFonts w:hint="eastAsia"/>
                <w:kern w:val="0"/>
                <w:szCs w:val="21"/>
              </w:rPr>
              <w:t>无修改</w:t>
            </w:r>
          </w:p>
        </w:tc>
      </w:tr>
      <w:tr w:rsidR="00500EC4" w:rsidRPr="00D219BD" w:rsidTr="00B13593">
        <w:trPr>
          <w:trHeight w:val="732"/>
          <w:jc w:val="center"/>
        </w:trPr>
        <w:tc>
          <w:tcPr>
            <w:tcW w:w="1271" w:type="dxa"/>
            <w:vMerge/>
            <w:vAlign w:val="center"/>
          </w:tcPr>
          <w:p w:rsidR="00500EC4" w:rsidRPr="00AC7E4F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郑州商品交易所交易规则</w:t>
            </w:r>
          </w:p>
        </w:tc>
        <w:tc>
          <w:tcPr>
            <w:tcW w:w="3055" w:type="dxa"/>
            <w:vAlign w:val="center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</w:t>
            </w:r>
            <w:r w:rsidRPr="00D219BD">
              <w:rPr>
                <w:rFonts w:hint="eastAsia"/>
                <w:kern w:val="0"/>
                <w:szCs w:val="32"/>
              </w:rPr>
              <w:t>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 w:val="restart"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第二层级</w:t>
            </w:r>
            <w:r>
              <w:rPr>
                <w:rFonts w:hint="eastAsia"/>
                <w:b/>
                <w:kern w:val="0"/>
                <w:szCs w:val="21"/>
              </w:rPr>
              <w:t>-</w:t>
            </w:r>
            <w:r>
              <w:rPr>
                <w:rFonts w:hint="eastAsia"/>
                <w:b/>
                <w:kern w:val="0"/>
                <w:szCs w:val="21"/>
              </w:rPr>
              <w:t>业务办法</w:t>
            </w:r>
          </w:p>
          <w:p w:rsidR="00500EC4" w:rsidRPr="00AC7E4F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19</w:t>
            </w:r>
            <w:r>
              <w:rPr>
                <w:rFonts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 w:rsidRPr="00D219BD">
              <w:rPr>
                <w:kern w:val="0"/>
                <w:szCs w:val="32"/>
              </w:rPr>
              <w:t>现行</w:t>
            </w:r>
            <w:r>
              <w:rPr>
                <w:rFonts w:hint="eastAsia"/>
                <w:kern w:val="0"/>
                <w:szCs w:val="32"/>
              </w:rPr>
              <w:t>《郑州商品交易所期货交易细则》及《郑州商品交易所夜盘交易细则》合并形成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郑州商品交易所期货交割管理办法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现行《郑州商品交易所期货交割细则》及《郑州商品交易所保税交割实施细则》基础上形成，其中关于期货品种的具体规定（交割标准等）调整到相应品种细则进行规定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郑州商品交易所标准仓单管理办法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现行《郑州商品交易所标准仓单管理办法》基础上形成，其中关于期货品种的具体规定（商品入库、出库等）调整到相应品种细则进行规定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郑州商品交易所期货交易风险控制管理办法</w:t>
            </w:r>
          </w:p>
        </w:tc>
        <w:tc>
          <w:tcPr>
            <w:tcW w:w="3055" w:type="dxa"/>
          </w:tcPr>
          <w:p w:rsidR="00500EC4" w:rsidRPr="001927C1" w:rsidRDefault="00500EC4" w:rsidP="00137734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现行规则中关于各品种保证金比例、持仓限额、涨跌停板幅度的具体规定调整到</w:t>
            </w:r>
            <w:r w:rsidR="00137734">
              <w:rPr>
                <w:rFonts w:hint="eastAsia"/>
                <w:kern w:val="0"/>
                <w:szCs w:val="32"/>
              </w:rPr>
              <w:t>相应</w:t>
            </w:r>
            <w:r>
              <w:rPr>
                <w:rFonts w:hint="eastAsia"/>
                <w:kern w:val="0"/>
                <w:szCs w:val="32"/>
              </w:rPr>
              <w:t>品种细则进行规定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郑州商品交易所会员管理办法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未修改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郑州商品交易所期货结算管理办法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原制度标题中“细则”调整为“管理办法”，及个别文字修改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553BC9" w:rsidRDefault="00500EC4" w:rsidP="00B13593">
            <w:pPr>
              <w:rPr>
                <w:b/>
                <w:kern w:val="0"/>
                <w:szCs w:val="32"/>
              </w:rPr>
            </w:pPr>
            <w:r w:rsidRPr="00553BC9">
              <w:rPr>
                <w:rFonts w:hint="eastAsia"/>
                <w:b/>
                <w:kern w:val="0"/>
                <w:szCs w:val="32"/>
              </w:rPr>
              <w:t>郑州商品交易所</w:t>
            </w:r>
            <w:r>
              <w:rPr>
                <w:rFonts w:hint="eastAsia"/>
                <w:b/>
                <w:kern w:val="0"/>
                <w:szCs w:val="32"/>
              </w:rPr>
              <w:t>指定商品</w:t>
            </w:r>
            <w:r w:rsidRPr="00553BC9">
              <w:rPr>
                <w:rFonts w:hint="eastAsia"/>
                <w:b/>
                <w:kern w:val="0"/>
                <w:szCs w:val="32"/>
              </w:rPr>
              <w:t>交割仓库管理办法</w:t>
            </w:r>
          </w:p>
        </w:tc>
        <w:tc>
          <w:tcPr>
            <w:tcW w:w="3055" w:type="dxa"/>
          </w:tcPr>
          <w:p w:rsidR="00500EC4" w:rsidRPr="00B46592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553BC9" w:rsidRDefault="00500EC4" w:rsidP="00B13593">
            <w:pPr>
              <w:rPr>
                <w:b/>
                <w:kern w:val="0"/>
                <w:szCs w:val="32"/>
              </w:rPr>
            </w:pPr>
            <w:r w:rsidRPr="00553BC9">
              <w:rPr>
                <w:rFonts w:hint="eastAsia"/>
                <w:b/>
                <w:kern w:val="0"/>
                <w:szCs w:val="32"/>
              </w:rPr>
              <w:t>郑州商品交易所</w:t>
            </w:r>
            <w:r>
              <w:rPr>
                <w:rFonts w:hint="eastAsia"/>
                <w:b/>
                <w:kern w:val="0"/>
                <w:szCs w:val="32"/>
              </w:rPr>
              <w:t>指定商品</w:t>
            </w:r>
            <w:r w:rsidRPr="00553BC9">
              <w:rPr>
                <w:rFonts w:hint="eastAsia"/>
                <w:b/>
                <w:kern w:val="0"/>
                <w:szCs w:val="32"/>
              </w:rPr>
              <w:t>交割厂库管理办法</w:t>
            </w:r>
          </w:p>
        </w:tc>
        <w:tc>
          <w:tcPr>
            <w:tcW w:w="3055" w:type="dxa"/>
          </w:tcPr>
          <w:p w:rsidR="00500EC4" w:rsidRPr="00B46592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B46592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郑州商品交易所套期保值管理办法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B46592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郑州商品交易所套利交易管理办法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 w:rsidRPr="00553BC9">
              <w:rPr>
                <w:rFonts w:hint="eastAsia"/>
                <w:b/>
                <w:kern w:val="0"/>
                <w:szCs w:val="32"/>
              </w:rPr>
              <w:t>郑州商品交易所指定存管银行管理办法</w:t>
            </w:r>
          </w:p>
        </w:tc>
        <w:tc>
          <w:tcPr>
            <w:tcW w:w="3055" w:type="dxa"/>
          </w:tcPr>
          <w:p w:rsidR="00500EC4" w:rsidRPr="00D219BD" w:rsidRDefault="00500EC4" w:rsidP="00B13593">
            <w:pPr>
              <w:rPr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郑州商品交易所违规处理办法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郑州商品交易所期权交易管理办法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郑州商品交易所做市商管理办法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郑州商品交易所期货交易者适当性管理办法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郑州商品交易所实际控制关系账户管理办法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郑州商品交易所异常交易行为管理办法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期货公司会员接受境外经纪机构委托开展期货业务管理办法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无修改</w:t>
            </w:r>
          </w:p>
        </w:tc>
      </w:tr>
      <w:tr w:rsidR="00500EC4" w:rsidRPr="00D219BD" w:rsidTr="00B13593">
        <w:trPr>
          <w:trHeight w:val="345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郑州商品交易所综合业务平台管理办法</w:t>
            </w:r>
          </w:p>
        </w:tc>
        <w:tc>
          <w:tcPr>
            <w:tcW w:w="3055" w:type="dxa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 w:rsidRPr="006F2895">
              <w:rPr>
                <w:rFonts w:hint="eastAsia"/>
                <w:kern w:val="0"/>
                <w:szCs w:val="32"/>
              </w:rPr>
              <w:t>个别文字修改</w:t>
            </w: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 w:val="restart"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第二层级</w:t>
            </w:r>
          </w:p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-</w:t>
            </w:r>
            <w:r>
              <w:rPr>
                <w:rFonts w:hint="eastAsia"/>
                <w:b/>
                <w:kern w:val="0"/>
                <w:szCs w:val="21"/>
              </w:rPr>
              <w:t>品种细则</w:t>
            </w:r>
          </w:p>
          <w:p w:rsidR="00500EC4" w:rsidRPr="00AC7E4F" w:rsidRDefault="00500EC4" w:rsidP="00B13593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23</w:t>
            </w:r>
            <w:r>
              <w:rPr>
                <w:rFonts w:hint="eastAsia"/>
                <w:b/>
                <w:kern w:val="0"/>
                <w:szCs w:val="21"/>
              </w:rPr>
              <w:t>件）</w:t>
            </w:r>
          </w:p>
        </w:tc>
        <w:tc>
          <w:tcPr>
            <w:tcW w:w="4253" w:type="dxa"/>
          </w:tcPr>
          <w:p w:rsidR="00500EC4" w:rsidRPr="00AC7E4F" w:rsidRDefault="00500EC4" w:rsidP="00B13593">
            <w:pPr>
              <w:rPr>
                <w:b/>
                <w:kern w:val="0"/>
                <w:szCs w:val="32"/>
              </w:rPr>
            </w:pPr>
            <w:r>
              <w:rPr>
                <w:rFonts w:hint="eastAsia"/>
                <w:b/>
                <w:kern w:val="0"/>
                <w:szCs w:val="32"/>
              </w:rPr>
              <w:t>郑州商品交易所普通小麦期货业务细则</w:t>
            </w:r>
          </w:p>
        </w:tc>
        <w:tc>
          <w:tcPr>
            <w:tcW w:w="3055" w:type="dxa"/>
            <w:vMerge w:val="restart"/>
          </w:tcPr>
          <w:p w:rsidR="00500EC4" w:rsidRPr="006F2895" w:rsidRDefault="00500EC4" w:rsidP="00B13593">
            <w:pPr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由相关品种期货合约</w:t>
            </w:r>
            <w:r>
              <w:rPr>
                <w:rFonts w:hint="eastAsia"/>
                <w:kern w:val="0"/>
                <w:szCs w:val="32"/>
              </w:rPr>
              <w:t>、</w:t>
            </w:r>
            <w:r w:rsidRPr="006F2895">
              <w:rPr>
                <w:kern w:val="0"/>
                <w:szCs w:val="32"/>
              </w:rPr>
              <w:t>现行</w:t>
            </w:r>
            <w:r>
              <w:rPr>
                <w:rFonts w:hint="eastAsia"/>
                <w:kern w:val="0"/>
                <w:szCs w:val="32"/>
              </w:rPr>
              <w:t>《郑州商品交易所期货交易细则》《郑州商品交易所期货交割细则》《郑州商品交易所标准仓单管理办法》《郑州商品交易所期货交易风险控制管理》《郑州商品交易所保税交割实施细则》等制度中，品种相关内容拆分形成。</w:t>
            </w: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郑州商品交易所优质强筋小麦期货业务细则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郑州商品交易所白砂糖期货业务细则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郑州商品交易所油菜籽期货业务细则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郑州商品交易所菜籽油期货业务细则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郑州商品交易所菜籽粕期货业务细则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郑州商品交易所早籼稻期货业务细则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郑州商品交易所粳稻谷期货业务细则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郑州商品交易所晚籼稻期货业务细则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郑州商品交易所鲜苹果期货业务细则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郑州商品交易所干制红枣期货业务细则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郑州商品交易所尿素期货业务细则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郑州商品交易所花生仁期货业务细则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郑州商品交易所精对苯二甲酸期货（</w:t>
            </w:r>
            <w:r w:rsidRPr="00162628">
              <w:rPr>
                <w:b/>
                <w:kern w:val="0"/>
                <w:szCs w:val="32"/>
              </w:rPr>
              <w:t>PTA</w:t>
            </w:r>
            <w:r w:rsidRPr="00162628">
              <w:rPr>
                <w:rFonts w:hint="eastAsia"/>
                <w:b/>
                <w:kern w:val="0"/>
                <w:szCs w:val="32"/>
              </w:rPr>
              <w:t>）业务细则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郑州商品交易所甲醇期货业务细则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郑州商品交易所玻璃期货业务细则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郑州商品交易所动力煤期货业务细则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郑州商品交易所硅铁期货业务细则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郑州商品交易所锰硅期货业务细则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郑州商品交易所棉花期货业务细则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郑州商品交易所棉纱期货业务细则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郑州商品交易所纯碱期货业务细则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  <w:tr w:rsidR="00500EC4" w:rsidRPr="00DA68FD" w:rsidTr="00B13593">
        <w:trPr>
          <w:trHeight w:val="402"/>
          <w:jc w:val="center"/>
        </w:trPr>
        <w:tc>
          <w:tcPr>
            <w:tcW w:w="1271" w:type="dxa"/>
            <w:vMerge/>
            <w:vAlign w:val="center"/>
          </w:tcPr>
          <w:p w:rsidR="00500EC4" w:rsidRDefault="00500EC4" w:rsidP="00B13593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253" w:type="dxa"/>
          </w:tcPr>
          <w:p w:rsidR="00500EC4" w:rsidRPr="00162628" w:rsidRDefault="00500EC4" w:rsidP="00B13593">
            <w:pPr>
              <w:rPr>
                <w:b/>
                <w:kern w:val="0"/>
                <w:szCs w:val="32"/>
              </w:rPr>
            </w:pPr>
            <w:r w:rsidRPr="00162628">
              <w:rPr>
                <w:rFonts w:hint="eastAsia"/>
                <w:b/>
                <w:kern w:val="0"/>
                <w:szCs w:val="32"/>
              </w:rPr>
              <w:t>郑州商品交易所涤纶短纤期货业务细则</w:t>
            </w:r>
          </w:p>
        </w:tc>
        <w:tc>
          <w:tcPr>
            <w:tcW w:w="3055" w:type="dxa"/>
            <w:vMerge/>
          </w:tcPr>
          <w:p w:rsidR="00500EC4" w:rsidRDefault="00500EC4" w:rsidP="00B13593">
            <w:pPr>
              <w:rPr>
                <w:kern w:val="0"/>
                <w:szCs w:val="32"/>
              </w:rPr>
            </w:pPr>
          </w:p>
        </w:tc>
      </w:tr>
    </w:tbl>
    <w:p w:rsidR="00500EC4" w:rsidRPr="00DC5991" w:rsidRDefault="00500EC4" w:rsidP="00500EC4">
      <w:pPr>
        <w:spacing w:before="24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C599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主要优化内容</w:t>
      </w:r>
    </w:p>
    <w:p w:rsidR="00500EC4" w:rsidRDefault="00500EC4" w:rsidP="00500E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优化工作中，在拆分规则体系的同时，对规则内容进行了必要的衔接调整、抽象概括，以及部分规范性、细化性的完善，并未进行实质性修改。主要优化内容包括：（1）衔接性修改。在规则体例拆分后，增加必要的衔接性条款，说明业务总则及品种分则之间的衔接关系；（2）抽象概括。个别对具体品种进行的规定，根据品种特性抽象概括后保留在总则中作为一般规定；（3）规范性修改。个别条款存在表述不准确、与其他规则衔接不明等问题，可能引起歧义，对表述进行规范性调整；（4）细化性修改。个别条款对业务说明不够完整，根据实际进一步细化说明，帮助市场参与者完整了解相关业务。</w:t>
      </w:r>
    </w:p>
    <w:p w:rsidR="00500EC4" w:rsidRPr="00DC5991" w:rsidRDefault="00500EC4" w:rsidP="00500EC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DC5991">
        <w:rPr>
          <w:rFonts w:ascii="黑体" w:eastAsia="黑体" w:hAnsi="黑体" w:hint="eastAsia"/>
          <w:sz w:val="32"/>
          <w:szCs w:val="32"/>
        </w:rPr>
        <w:t>、实施安排</w:t>
      </w:r>
    </w:p>
    <w:p w:rsidR="00500EC4" w:rsidRPr="00CD0773" w:rsidRDefault="00500EC4" w:rsidP="00500E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郑商所拟于</w:t>
      </w:r>
      <w:r w:rsidRPr="00DC5991">
        <w:rPr>
          <w:rFonts w:ascii="仿宋" w:eastAsia="仿宋" w:hAnsi="仿宋"/>
          <w:sz w:val="32"/>
          <w:szCs w:val="32"/>
        </w:rPr>
        <w:t>业务规则</w:t>
      </w:r>
      <w:r>
        <w:rPr>
          <w:rFonts w:ascii="仿宋" w:eastAsia="仿宋" w:hAnsi="仿宋"/>
          <w:sz w:val="32"/>
          <w:szCs w:val="32"/>
        </w:rPr>
        <w:t>优化草案</w:t>
      </w:r>
      <w:r w:rsidRPr="00DC5991">
        <w:rPr>
          <w:rFonts w:ascii="仿宋" w:eastAsia="仿宋" w:hAnsi="仿宋"/>
          <w:sz w:val="32"/>
          <w:szCs w:val="32"/>
        </w:rPr>
        <w:t>经</w:t>
      </w:r>
      <w:r>
        <w:rPr>
          <w:rFonts w:ascii="仿宋" w:eastAsia="仿宋" w:hAnsi="仿宋"/>
          <w:sz w:val="32"/>
          <w:szCs w:val="32"/>
        </w:rPr>
        <w:t>公开征求意见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中国证监会同意</w:t>
      </w:r>
      <w:r>
        <w:rPr>
          <w:rFonts w:ascii="仿宋" w:eastAsia="仿宋" w:hAnsi="仿宋" w:hint="eastAsia"/>
          <w:sz w:val="32"/>
          <w:szCs w:val="32"/>
        </w:rPr>
        <w:t>、理事会批准后正式发布</w:t>
      </w:r>
      <w:r w:rsidRPr="00DC5991">
        <w:rPr>
          <w:rFonts w:ascii="仿宋" w:eastAsia="仿宋" w:hAnsi="仿宋" w:hint="eastAsia"/>
          <w:sz w:val="32"/>
          <w:szCs w:val="32"/>
        </w:rPr>
        <w:t>，并设置</w:t>
      </w:r>
      <w:r>
        <w:rPr>
          <w:rFonts w:ascii="仿宋" w:eastAsia="仿宋" w:hAnsi="仿宋" w:hint="eastAsia"/>
          <w:sz w:val="32"/>
          <w:szCs w:val="32"/>
        </w:rPr>
        <w:t>3</w:t>
      </w:r>
      <w:r w:rsidRPr="00DC5991">
        <w:rPr>
          <w:rFonts w:ascii="仿宋" w:eastAsia="仿宋" w:hAnsi="仿宋" w:hint="eastAsia"/>
          <w:sz w:val="32"/>
          <w:szCs w:val="32"/>
        </w:rPr>
        <w:t>个月过渡期，将生效日期设在发布</w:t>
      </w:r>
      <w:r w:rsidR="004C2DD5">
        <w:rPr>
          <w:rFonts w:ascii="仿宋" w:eastAsia="仿宋" w:hAnsi="仿宋" w:hint="eastAsia"/>
          <w:sz w:val="32"/>
          <w:szCs w:val="32"/>
        </w:rPr>
        <w:t>之日起</w:t>
      </w:r>
      <w:r>
        <w:rPr>
          <w:rFonts w:ascii="仿宋" w:eastAsia="仿宋" w:hAnsi="仿宋" w:hint="eastAsia"/>
          <w:sz w:val="32"/>
          <w:szCs w:val="32"/>
        </w:rPr>
        <w:t>3</w:t>
      </w:r>
      <w:r w:rsidR="004C2DD5">
        <w:rPr>
          <w:rFonts w:ascii="仿宋" w:eastAsia="仿宋" w:hAnsi="仿宋" w:hint="eastAsia"/>
          <w:sz w:val="32"/>
          <w:szCs w:val="32"/>
        </w:rPr>
        <w:t>个月之后</w:t>
      </w:r>
      <w:r>
        <w:rPr>
          <w:rFonts w:ascii="仿宋" w:eastAsia="仿宋" w:hAnsi="仿宋" w:hint="eastAsia"/>
          <w:sz w:val="32"/>
          <w:szCs w:val="32"/>
        </w:rPr>
        <w:t>。在过渡期内，</w:t>
      </w:r>
      <w:r w:rsidRPr="00DC5991">
        <w:rPr>
          <w:rFonts w:ascii="仿宋" w:eastAsia="仿宋" w:hAnsi="仿宋" w:hint="eastAsia"/>
          <w:sz w:val="32"/>
          <w:szCs w:val="32"/>
        </w:rPr>
        <w:t>将同步更新原规则和优化后规则，方便市场参与者逐步学习接受新的规则体系。</w:t>
      </w:r>
      <w:r>
        <w:rPr>
          <w:rFonts w:ascii="仿宋" w:eastAsia="仿宋" w:hAnsi="仿宋" w:hint="eastAsia"/>
          <w:sz w:val="32"/>
          <w:szCs w:val="32"/>
        </w:rPr>
        <w:t>后续，郑商所将采用线上、线下</w:t>
      </w:r>
      <w:r w:rsidR="004C2DD5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多种形式</w:t>
      </w:r>
      <w:r>
        <w:rPr>
          <w:rFonts w:ascii="仿宋" w:eastAsia="仿宋" w:hAnsi="仿宋" w:hint="eastAsia"/>
          <w:sz w:val="32"/>
          <w:szCs w:val="32"/>
        </w:rPr>
        <w:lastRenderedPageBreak/>
        <w:t>开展优化规则体系的介绍说明工作。</w:t>
      </w:r>
    </w:p>
    <w:p w:rsidR="00500EC4" w:rsidRPr="00917C8A" w:rsidRDefault="00500EC4" w:rsidP="00500EC4">
      <w:pPr>
        <w:ind w:firstLineChars="200" w:firstLine="883"/>
        <w:jc w:val="left"/>
        <w:rPr>
          <w:rFonts w:asciiTheme="minorEastAsia" w:hAnsiTheme="minorEastAsia"/>
          <w:b/>
          <w:sz w:val="44"/>
          <w:szCs w:val="44"/>
        </w:rPr>
      </w:pPr>
    </w:p>
    <w:p w:rsidR="00D75F01" w:rsidRPr="00500EC4" w:rsidRDefault="00D75F01"/>
    <w:sectPr w:rsidR="00D75F01" w:rsidRPr="00500EC4" w:rsidSect="000A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5F" w:rsidRDefault="0035535F" w:rsidP="00500EC4">
      <w:r>
        <w:separator/>
      </w:r>
    </w:p>
  </w:endnote>
  <w:endnote w:type="continuationSeparator" w:id="1">
    <w:p w:rsidR="0035535F" w:rsidRDefault="0035535F" w:rsidP="00500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5F" w:rsidRDefault="0035535F" w:rsidP="00500EC4">
      <w:r>
        <w:separator/>
      </w:r>
    </w:p>
  </w:footnote>
  <w:footnote w:type="continuationSeparator" w:id="1">
    <w:p w:rsidR="0035535F" w:rsidRDefault="0035535F" w:rsidP="00500E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EC4"/>
    <w:rsid w:val="00137734"/>
    <w:rsid w:val="0035535F"/>
    <w:rsid w:val="004C2DD5"/>
    <w:rsid w:val="00500EC4"/>
    <w:rsid w:val="005A5EF5"/>
    <w:rsid w:val="007838B0"/>
    <w:rsid w:val="009A04AA"/>
    <w:rsid w:val="00AA7FD1"/>
    <w:rsid w:val="00D7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0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0E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0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0E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1A4F-2C40-4F99-A825-E1C9CBB1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1079</Characters>
  <Application>Microsoft Office Word</Application>
  <DocSecurity>0</DocSecurity>
  <Lines>63</Lines>
  <Paragraphs>53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多绥婷</dc:creator>
  <cp:keywords/>
  <dc:description/>
  <cp:lastModifiedBy>zqli</cp:lastModifiedBy>
  <cp:revision>5</cp:revision>
  <dcterms:created xsi:type="dcterms:W3CDTF">2022-06-23T06:50:00Z</dcterms:created>
  <dcterms:modified xsi:type="dcterms:W3CDTF">2022-06-30T08:22:00Z</dcterms:modified>
</cp:coreProperties>
</file>