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12" w:rsidRDefault="00E06512" w:rsidP="00E06512">
      <w:pPr>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6</w:t>
      </w:r>
      <w:r w:rsidRPr="00EE4018">
        <w:rPr>
          <w:rFonts w:ascii="黑体" w:eastAsia="黑体" w:hAnsi="黑体" w:hint="eastAsia"/>
          <w:sz w:val="32"/>
          <w:szCs w:val="32"/>
        </w:rPr>
        <w:t>-1</w:t>
      </w:r>
    </w:p>
    <w:p w:rsidR="00E06512" w:rsidRPr="007C0702" w:rsidRDefault="00E06512" w:rsidP="00D36E6A">
      <w:pPr>
        <w:spacing w:beforeLines="50" w:afterLines="50" w:line="360" w:lineRule="auto"/>
        <w:jc w:val="center"/>
        <w:outlineLvl w:val="0"/>
        <w:rPr>
          <w:rFonts w:asciiTheme="minorEastAsia" w:hAnsiTheme="minorEastAsia" w:cs="黑体"/>
          <w:b/>
          <w:dstrike/>
          <w:color w:val="000000"/>
          <w:kern w:val="0"/>
          <w:sz w:val="44"/>
          <w:szCs w:val="44"/>
        </w:rPr>
      </w:pPr>
      <w:r w:rsidRPr="007C0702">
        <w:rPr>
          <w:rFonts w:asciiTheme="minorEastAsia" w:hAnsiTheme="minorEastAsia" w:cs="黑体" w:hint="eastAsia"/>
          <w:b/>
          <w:color w:val="000000"/>
          <w:kern w:val="0"/>
          <w:sz w:val="44"/>
          <w:szCs w:val="44"/>
        </w:rPr>
        <w:t>郑州商品交易所期货结算管理办法</w:t>
      </w:r>
      <w:r w:rsidRPr="007C0702">
        <w:rPr>
          <w:rFonts w:asciiTheme="minorEastAsia" w:hAnsiTheme="minorEastAsia" w:cs="黑体" w:hint="eastAsia"/>
          <w:b/>
          <w:dstrike/>
          <w:color w:val="000000"/>
          <w:kern w:val="0"/>
          <w:sz w:val="44"/>
          <w:szCs w:val="44"/>
        </w:rPr>
        <w:t>细则</w:t>
      </w:r>
    </w:p>
    <w:p w:rsidR="00E06512" w:rsidRPr="007C0702" w:rsidRDefault="00E06512" w:rsidP="00D36E6A">
      <w:pPr>
        <w:spacing w:beforeLines="50" w:afterLines="50" w:line="360" w:lineRule="auto"/>
        <w:jc w:val="center"/>
        <w:outlineLvl w:val="0"/>
        <w:rPr>
          <w:rFonts w:asciiTheme="minorEastAsia" w:hAnsiTheme="minorEastAsia" w:cs="黑体"/>
          <w:b/>
          <w:color w:val="000000"/>
          <w:kern w:val="0"/>
          <w:sz w:val="44"/>
          <w:szCs w:val="44"/>
        </w:rPr>
      </w:pPr>
      <w:r w:rsidRPr="007C0702">
        <w:rPr>
          <w:rFonts w:asciiTheme="minorEastAsia" w:hAnsiTheme="minorEastAsia" w:cs="黑体" w:hint="eastAsia"/>
          <w:b/>
          <w:color w:val="000000"/>
          <w:kern w:val="0"/>
          <w:sz w:val="44"/>
          <w:szCs w:val="44"/>
        </w:rPr>
        <w:t>（优化草案）</w:t>
      </w:r>
    </w:p>
    <w:p w:rsidR="00E06512" w:rsidRPr="00450AA4" w:rsidRDefault="00E06512" w:rsidP="00E06512">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E06512" w:rsidRDefault="00E06512" w:rsidP="00E06512">
      <w:pPr>
        <w:widowControl/>
        <w:spacing w:line="360" w:lineRule="auto"/>
        <w:ind w:firstLineChars="200" w:firstLine="560"/>
        <w:jc w:val="left"/>
        <w:rPr>
          <w:rFonts w:ascii="黑体" w:eastAsia="黑体" w:hAnsi="宋体" w:cs="黑体"/>
          <w:color w:val="000000"/>
          <w:kern w:val="0"/>
          <w:sz w:val="28"/>
          <w:szCs w:val="28"/>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w:t>
      </w:r>
      <w:r w:rsidRPr="00C6453A">
        <w:rPr>
          <w:rFonts w:ascii="宋体" w:hAnsi="宋体" w:cs="宋体" w:hint="eastAsia"/>
          <w:b/>
          <w:color w:val="000000"/>
          <w:kern w:val="0"/>
          <w:sz w:val="28"/>
          <w:szCs w:val="28"/>
        </w:rPr>
        <w:t>办法</w:t>
      </w:r>
      <w:r w:rsidRPr="00C6453A">
        <w:rPr>
          <w:rFonts w:ascii="宋体" w:hAnsi="宋体" w:cs="宋体" w:hint="eastAsia"/>
          <w:dstrike/>
          <w:color w:val="000000"/>
          <w:kern w:val="0"/>
          <w:sz w:val="28"/>
          <w:szCs w:val="28"/>
        </w:rPr>
        <w:t>细则</w:t>
      </w:r>
      <w:r w:rsidRPr="00970E59">
        <w:rPr>
          <w:rFonts w:ascii="宋体" w:hAnsi="宋体" w:cs="宋体" w:hint="eastAsia"/>
          <w:color w:val="000000"/>
          <w:kern w:val="0"/>
          <w:sz w:val="28"/>
          <w:szCs w:val="28"/>
        </w:rPr>
        <w:t>。</w:t>
      </w:r>
    </w:p>
    <w:p w:rsidR="00E06512" w:rsidRDefault="00E06512" w:rsidP="00E06512">
      <w:pPr>
        <w:widowControl/>
        <w:spacing w:line="360" w:lineRule="auto"/>
        <w:ind w:firstLineChars="200" w:firstLine="560"/>
        <w:jc w:val="left"/>
        <w:rPr>
          <w:rFonts w:ascii="黑体" w:eastAsia="黑体" w:hAnsi="宋体" w:cs="黑体"/>
          <w:color w:val="000000"/>
          <w:kern w:val="0"/>
          <w:sz w:val="28"/>
          <w:szCs w:val="28"/>
        </w:rPr>
      </w:pPr>
      <w:r>
        <w:rPr>
          <w:rFonts w:ascii="黑体" w:eastAsia="黑体" w:hAnsi="宋体" w:cs="黑体"/>
          <w:color w:val="000000"/>
          <w:kern w:val="0"/>
          <w:sz w:val="28"/>
          <w:szCs w:val="28"/>
        </w:rPr>
        <w:t>……</w:t>
      </w:r>
    </w:p>
    <w:p w:rsidR="00E06512" w:rsidRDefault="00E06512" w:rsidP="00E06512">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F03D39">
        <w:rPr>
          <w:rFonts w:ascii="宋体" w:hAnsi="宋体" w:cs="宋体" w:hint="eastAsia"/>
          <w:color w:val="000000"/>
          <w:kern w:val="0"/>
          <w:sz w:val="28"/>
          <w:szCs w:val="28"/>
        </w:rPr>
        <w:t>进行。交易所及其工作人员、会员及其工作人员、境外经纪机构及其工作人员、客户和期货保证金指定存管银行（以下简称存管银行）及其工作人员必须遵守本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F03D39">
        <w:rPr>
          <w:rFonts w:ascii="宋体" w:hAnsi="宋体" w:cs="宋体" w:hint="eastAsia"/>
          <w:color w:val="000000"/>
          <w:kern w:val="0"/>
          <w:sz w:val="28"/>
          <w:szCs w:val="28"/>
        </w:rPr>
        <w:t>。</w:t>
      </w:r>
      <w:r w:rsidRPr="00F03D39">
        <w:rPr>
          <w:rFonts w:ascii="Arial" w:hAnsi="Arial" w:cs="Arial" w:hint="eastAsia"/>
          <w:color w:val="000000"/>
          <w:kern w:val="0"/>
          <w:szCs w:val="21"/>
        </w:rPr>
        <w:t xml:space="preserve"> </w:t>
      </w:r>
    </w:p>
    <w:p w:rsidR="00E06512" w:rsidRPr="00CE62E9" w:rsidRDefault="00E06512" w:rsidP="00E06512">
      <w:pPr>
        <w:widowControl/>
        <w:spacing w:line="360" w:lineRule="auto"/>
        <w:ind w:firstLineChars="200" w:firstLine="560"/>
        <w:rPr>
          <w:rFonts w:ascii="Arial" w:hAnsi="Arial" w:cs="Arial"/>
          <w:color w:val="000000"/>
          <w:kern w:val="0"/>
          <w:szCs w:val="21"/>
        </w:rPr>
      </w:pPr>
      <w:r>
        <w:rPr>
          <w:rFonts w:ascii="黑体" w:eastAsia="黑体" w:hAnsi="宋体" w:cs="黑体"/>
          <w:color w:val="000000"/>
          <w:kern w:val="0"/>
          <w:sz w:val="28"/>
          <w:szCs w:val="28"/>
        </w:rPr>
        <w:t>……</w:t>
      </w:r>
    </w:p>
    <w:p w:rsidR="00E06512" w:rsidRPr="00970E59" w:rsidRDefault="00E06512" w:rsidP="00E06512">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E06512" w:rsidRDefault="00E06512" w:rsidP="00E06512">
      <w:pPr>
        <w:widowControl/>
        <w:spacing w:line="360" w:lineRule="auto"/>
        <w:ind w:firstLineChars="200" w:firstLine="560"/>
        <w:jc w:val="left"/>
        <w:rPr>
          <w:rFonts w:ascii="宋体" w:hAnsi="宋体" w:cs="宋体"/>
          <w:color w:val="000000"/>
          <w:kern w:val="0"/>
          <w:sz w:val="28"/>
          <w:szCs w:val="28"/>
        </w:rPr>
      </w:pPr>
      <w:r w:rsidRPr="00B010D2">
        <w:rPr>
          <w:rFonts w:ascii="宋体" w:hAnsi="宋体" w:cs="宋体" w:hint="eastAsia"/>
          <w:color w:val="000000"/>
          <w:kern w:val="0"/>
          <w:sz w:val="28"/>
          <w:szCs w:val="28"/>
        </w:rPr>
        <w:t>持有标准仓单的卖方会员向交易所提交折抵头寸申请并征得同意后，与其标准仓单所示数量相同的卖持仓（不含按照本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B010D2">
        <w:rPr>
          <w:rFonts w:ascii="宋体" w:hAnsi="宋体" w:cs="宋体" w:hint="eastAsia"/>
          <w:color w:val="000000"/>
          <w:kern w:val="0"/>
          <w:sz w:val="28"/>
          <w:szCs w:val="28"/>
        </w:rPr>
        <w:t>规定已经取得交易保证金优惠的持仓）交易保证金在结算时不再收取。</w:t>
      </w:r>
      <w:r w:rsidRPr="00B010D2">
        <w:rPr>
          <w:rFonts w:ascii="宋体" w:hAnsi="宋体" w:cs="宋体" w:hint="eastAsia"/>
          <w:color w:val="000000"/>
          <w:kern w:val="0"/>
          <w:sz w:val="28"/>
          <w:szCs w:val="28"/>
        </w:rPr>
        <w:lastRenderedPageBreak/>
        <w:t>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rsidR="00E06512" w:rsidRPr="00975726" w:rsidRDefault="00E06512" w:rsidP="00E06512">
      <w:pPr>
        <w:widowControl/>
        <w:spacing w:line="360" w:lineRule="auto"/>
        <w:ind w:firstLineChars="200" w:firstLine="560"/>
        <w:jc w:val="left"/>
        <w:rPr>
          <w:rFonts w:ascii="Arial" w:hAnsi="Arial" w:cs="Arial"/>
          <w:color w:val="000000"/>
          <w:kern w:val="0"/>
          <w:szCs w:val="21"/>
        </w:rPr>
      </w:pPr>
      <w:r w:rsidRPr="00B010D2">
        <w:rPr>
          <w:rFonts w:ascii="宋体" w:hAnsi="宋体" w:cs="宋体" w:hint="eastAsia"/>
          <w:color w:val="000000"/>
          <w:kern w:val="0"/>
          <w:sz w:val="28"/>
          <w:szCs w:val="28"/>
        </w:rPr>
        <w:t>夜盘交易小节，交易所不受理标准仓单折抵等业务</w:t>
      </w:r>
      <w:r w:rsidRPr="00975726">
        <w:rPr>
          <w:rFonts w:ascii="宋体" w:hAnsi="宋体" w:cs="宋体" w:hint="eastAsia"/>
          <w:color w:val="000000"/>
          <w:kern w:val="0"/>
          <w:sz w:val="28"/>
          <w:szCs w:val="28"/>
        </w:rPr>
        <w:t>。</w:t>
      </w:r>
    </w:p>
    <w:p w:rsidR="00E06512" w:rsidRDefault="00E06512" w:rsidP="00E06512">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E06512" w:rsidRPr="00970E59" w:rsidRDefault="00E06512" w:rsidP="00E06512">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E06512" w:rsidRPr="00943500" w:rsidRDefault="00E06512" w:rsidP="00E06512">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r>
        <w:rPr>
          <w:rFonts w:ascii="宋体" w:hAnsi="宋体" w:cs="宋体" w:hint="eastAsia"/>
          <w:color w:val="000000"/>
          <w:spacing w:val="-6"/>
          <w:kern w:val="0"/>
          <w:sz w:val="28"/>
          <w:szCs w:val="28"/>
        </w:rPr>
        <w:t>。</w:t>
      </w:r>
    </w:p>
    <w:p w:rsidR="00E06512" w:rsidRDefault="00E06512" w:rsidP="00E06512">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资产作为保证金的实际可用金额的具体计算方法见本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943500">
        <w:rPr>
          <w:rFonts w:ascii="宋体" w:hAnsi="宋体" w:cs="宋体" w:hint="eastAsia"/>
          <w:color w:val="000000"/>
          <w:spacing w:val="-6"/>
          <w:kern w:val="0"/>
          <w:sz w:val="28"/>
          <w:szCs w:val="28"/>
        </w:rPr>
        <w:t>第六章的有关规定。</w:t>
      </w:r>
    </w:p>
    <w:p w:rsidR="00E06512" w:rsidRPr="00CE62E9" w:rsidRDefault="00E06512" w:rsidP="00E06512">
      <w:pPr>
        <w:widowControl/>
        <w:spacing w:line="360" w:lineRule="auto"/>
        <w:ind w:firstLineChars="200" w:firstLine="560"/>
        <w:rPr>
          <w:rFonts w:ascii="宋体" w:hAnsi="宋体" w:cs="宋体"/>
          <w:color w:val="000000"/>
          <w:spacing w:val="-6"/>
          <w:kern w:val="0"/>
          <w:sz w:val="28"/>
          <w:szCs w:val="28"/>
        </w:rPr>
      </w:pPr>
      <w:r>
        <w:rPr>
          <w:rFonts w:ascii="黑体" w:eastAsia="黑体" w:hAnsi="宋体" w:cs="黑体"/>
          <w:color w:val="000000"/>
          <w:kern w:val="0"/>
          <w:sz w:val="28"/>
          <w:szCs w:val="28"/>
        </w:rPr>
        <w:t>……</w:t>
      </w:r>
    </w:p>
    <w:p w:rsidR="00E06512" w:rsidRPr="00970E59" w:rsidRDefault="00E06512" w:rsidP="00E06512">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E06512" w:rsidRPr="00943500" w:rsidRDefault="00E06512" w:rsidP="00E06512">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当交易保证金实有货币资金部分大于等于资产作为保证金金额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的25%时，可出金额＝结算准备金－结算准备金最低余额</w:t>
      </w:r>
      <w:r w:rsidRPr="00943500">
        <w:rPr>
          <w:rFonts w:ascii="宋体" w:hAnsi="宋体" w:cs="宋体" w:hint="eastAsia"/>
          <w:color w:val="000000"/>
          <w:spacing w:val="-6"/>
          <w:kern w:val="0"/>
          <w:sz w:val="28"/>
          <w:szCs w:val="28"/>
        </w:rPr>
        <w:t>；</w:t>
      </w:r>
    </w:p>
    <w:p w:rsidR="00E06512" w:rsidRPr="00943500" w:rsidRDefault="00E06512" w:rsidP="00E06512">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w:t>
      </w:r>
      <w:r w:rsidRPr="00943500">
        <w:rPr>
          <w:rFonts w:ascii="宋体" w:hAnsi="宋体" w:cs="宋体"/>
          <w:color w:val="000000"/>
          <w:spacing w:val="-6"/>
          <w:kern w:val="0"/>
          <w:sz w:val="28"/>
          <w:szCs w:val="28"/>
        </w:rPr>
        <w:t>当交易保证金实有货币资金部分小于资产作为保证金金额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×25%-交易保证金实有货币资金部分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－结算准备金最低余额</w:t>
      </w:r>
      <w:r w:rsidRPr="00943500">
        <w:rPr>
          <w:rFonts w:ascii="宋体" w:hAnsi="宋体" w:cs="宋体" w:hint="eastAsia"/>
          <w:color w:val="000000"/>
          <w:spacing w:val="-6"/>
          <w:kern w:val="0"/>
          <w:sz w:val="28"/>
          <w:szCs w:val="28"/>
        </w:rPr>
        <w:t>。</w:t>
      </w:r>
    </w:p>
    <w:p w:rsidR="00E06512" w:rsidRPr="00164FE8" w:rsidRDefault="00E06512" w:rsidP="00E06512">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lastRenderedPageBreak/>
        <w:t>实有货币资金指实有人民币资金和外汇资金价值按照折扣比率折算后的人民币金额之和，外汇资金的折算方法见本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164FE8">
        <w:rPr>
          <w:rFonts w:ascii="宋体" w:hAnsi="宋体" w:cs="宋体" w:hint="eastAsia"/>
          <w:color w:val="000000"/>
          <w:kern w:val="0"/>
          <w:sz w:val="28"/>
          <w:szCs w:val="28"/>
        </w:rPr>
        <w:t>第六章有关规定。</w:t>
      </w:r>
    </w:p>
    <w:p w:rsidR="00E06512" w:rsidRPr="00164FE8" w:rsidRDefault="00E06512" w:rsidP="00E06512">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E06512" w:rsidRPr="00970E59" w:rsidRDefault="00E06512" w:rsidP="00E06512">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E06512" w:rsidRDefault="00E06512" w:rsidP="00E06512">
      <w:pPr>
        <w:widowControl/>
        <w:tabs>
          <w:tab w:val="left" w:pos="5812"/>
        </w:tabs>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E06512" w:rsidRPr="00970E59" w:rsidRDefault="00E06512" w:rsidP="00E06512">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A52C2">
        <w:rPr>
          <w:rFonts w:ascii="宋体" w:hAnsi="宋体" w:cs="宋体" w:hint="eastAsia"/>
          <w:color w:val="000000"/>
          <w:kern w:val="0"/>
          <w:sz w:val="28"/>
          <w:szCs w:val="28"/>
        </w:rPr>
        <w:t>会员对结算结果有异议的，应当在下一交易日开市前</w:t>
      </w:r>
      <w:r w:rsidRPr="002A52C2">
        <w:rPr>
          <w:rFonts w:ascii="宋体" w:hAnsi="宋体" w:cs="仿宋_GB2312"/>
          <w:b/>
          <w:sz w:val="28"/>
          <w:szCs w:val="28"/>
        </w:rPr>
        <w:t>30</w:t>
      </w:r>
      <w:r w:rsidRPr="002A52C2">
        <w:rPr>
          <w:rFonts w:ascii="宋体" w:hAnsi="宋体" w:cs="仿宋_GB2312" w:hint="eastAsia"/>
          <w:b/>
          <w:sz w:val="28"/>
          <w:szCs w:val="28"/>
        </w:rPr>
        <w:t>分钟</w:t>
      </w:r>
      <w:r w:rsidRPr="002A52C2">
        <w:rPr>
          <w:rFonts w:ascii="宋体" w:hAnsi="宋体" w:cs="宋体" w:hint="eastAsia"/>
          <w:color w:val="000000"/>
          <w:kern w:val="0"/>
          <w:sz w:val="28"/>
          <w:szCs w:val="28"/>
        </w:rPr>
        <w:t>以书面形式通知交易所。如遇特殊情况，会员可在下一交易日开市后 2 小时内以书面形式通知交易所。</w:t>
      </w:r>
      <w:r w:rsidRPr="00970E59">
        <w:rPr>
          <w:rFonts w:ascii="宋体" w:hAnsi="宋体" w:cs="宋体" w:hint="eastAsia"/>
          <w:color w:val="000000"/>
          <w:kern w:val="0"/>
          <w:sz w:val="28"/>
          <w:szCs w:val="28"/>
        </w:rPr>
        <w:t xml:space="preserve">在规定时间内，会员没有对结算结果提出异议的，视作已认可结算结果的正确性。 </w:t>
      </w:r>
    </w:p>
    <w:p w:rsidR="00E06512" w:rsidRPr="005102BE" w:rsidRDefault="00E06512" w:rsidP="00E06512">
      <w:pPr>
        <w:widowControl/>
        <w:tabs>
          <w:tab w:val="left" w:pos="5812"/>
        </w:tabs>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E06512" w:rsidRDefault="00E06512" w:rsidP="00E06512">
      <w:pPr>
        <w:widowControl/>
        <w:tabs>
          <w:tab w:val="left" w:pos="5812"/>
        </w:tabs>
        <w:spacing w:line="360" w:lineRule="auto"/>
        <w:ind w:firstLineChars="200" w:firstLine="560"/>
        <w:rPr>
          <w:rFonts w:ascii="黑体" w:eastAsia="黑体" w:hAnsi="宋体" w:cs="黑体"/>
          <w:color w:val="000000"/>
          <w:kern w:val="0"/>
          <w:sz w:val="28"/>
          <w:szCs w:val="28"/>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w:t>
      </w:r>
      <w:r w:rsidRPr="00513A14">
        <w:rPr>
          <w:rFonts w:ascii="宋体" w:hAnsi="宋体" w:cs="宋体" w:hint="eastAsia"/>
          <w:color w:val="000000"/>
          <w:kern w:val="0"/>
          <w:sz w:val="28"/>
          <w:szCs w:val="28"/>
        </w:rPr>
        <w:t>规定</w:t>
      </w:r>
      <w:r w:rsidRPr="00970E59">
        <w:rPr>
          <w:rFonts w:ascii="宋体" w:hAnsi="宋体" w:cs="宋体" w:hint="eastAsia"/>
          <w:color w:val="000000"/>
          <w:kern w:val="0"/>
          <w:sz w:val="28"/>
          <w:szCs w:val="28"/>
        </w:rPr>
        <w:t>见</w:t>
      </w:r>
      <w:r w:rsidRPr="009E2BAB">
        <w:rPr>
          <w:rFonts w:ascii="宋体" w:hAnsi="宋体" w:cs="宋体" w:hint="eastAsia"/>
          <w:b/>
          <w:color w:val="000000"/>
          <w:kern w:val="0"/>
          <w:sz w:val="28"/>
          <w:szCs w:val="28"/>
        </w:rPr>
        <w:t>《郑州商品交易所期货交割管理办法》有关规定</w:t>
      </w:r>
      <w:r w:rsidRPr="009E2BAB">
        <w:rPr>
          <w:rFonts w:ascii="宋体" w:hAnsi="宋体" w:cs="宋体" w:hint="eastAsia"/>
          <w:dstrike/>
          <w:color w:val="000000"/>
          <w:kern w:val="0"/>
          <w:sz w:val="28"/>
          <w:szCs w:val="28"/>
        </w:rPr>
        <w:t>交割细则</w:t>
      </w:r>
      <w:r w:rsidRPr="00970E59">
        <w:rPr>
          <w:rFonts w:ascii="宋体" w:hAnsi="宋体" w:cs="宋体" w:hint="eastAsia"/>
          <w:color w:val="000000"/>
          <w:kern w:val="0"/>
          <w:sz w:val="28"/>
          <w:szCs w:val="28"/>
        </w:rPr>
        <w:t>。交割商品货款以交割结算价为基础，加减相应的升贴水和包装款。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E06512" w:rsidRPr="00CE62E9" w:rsidRDefault="00E06512" w:rsidP="00E06512">
      <w:pPr>
        <w:widowControl/>
        <w:tabs>
          <w:tab w:val="left" w:pos="5812"/>
        </w:tabs>
        <w:spacing w:line="360" w:lineRule="auto"/>
        <w:ind w:firstLineChars="200" w:firstLine="560"/>
        <w:rPr>
          <w:rFonts w:ascii="Arial" w:hAnsi="Arial" w:cs="Arial"/>
          <w:color w:val="000000"/>
          <w:kern w:val="0"/>
          <w:szCs w:val="21"/>
        </w:rPr>
      </w:pPr>
      <w:r>
        <w:rPr>
          <w:rFonts w:ascii="黑体" w:eastAsia="黑体" w:hAnsi="宋体" w:cs="黑体"/>
          <w:color w:val="000000"/>
          <w:kern w:val="0"/>
          <w:sz w:val="28"/>
          <w:szCs w:val="28"/>
        </w:rPr>
        <w:t>……</w:t>
      </w:r>
    </w:p>
    <w:p w:rsidR="00E06512" w:rsidRPr="00111E88" w:rsidRDefault="00E06512" w:rsidP="00E06512">
      <w:pPr>
        <w:widowControl/>
        <w:spacing w:line="360" w:lineRule="auto"/>
        <w:ind w:firstLineChars="200" w:firstLine="560"/>
        <w:rPr>
          <w:rFonts w:ascii="仿宋" w:eastAsia="仿宋" w:hAnsi="仿宋"/>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四</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rFonts w:hint="eastAsia"/>
          <w:color w:val="000000"/>
          <w:spacing w:val="-6"/>
          <w:sz w:val="28"/>
          <w:szCs w:val="28"/>
        </w:rPr>
        <w:t>会员办理资产提取或者解除质押的，应当弥补相应的保证金。</w:t>
      </w:r>
    </w:p>
    <w:p w:rsidR="00E06512" w:rsidRPr="00B251BA" w:rsidRDefault="00E06512" w:rsidP="00E06512">
      <w:pPr>
        <w:widowControl/>
        <w:spacing w:line="360" w:lineRule="auto"/>
        <w:ind w:firstLineChars="200" w:firstLine="536"/>
        <w:rPr>
          <w:color w:val="000000"/>
          <w:spacing w:val="-6"/>
          <w:sz w:val="28"/>
          <w:szCs w:val="28"/>
        </w:rPr>
      </w:pPr>
      <w:r w:rsidRPr="00CC3725">
        <w:rPr>
          <w:rFonts w:hint="eastAsia"/>
          <w:color w:val="000000"/>
          <w:spacing w:val="-6"/>
          <w:sz w:val="28"/>
          <w:szCs w:val="28"/>
        </w:rPr>
        <w:t>会员办理资产作为保证金</w:t>
      </w:r>
      <w:r w:rsidRPr="00B251BA">
        <w:rPr>
          <w:rFonts w:hint="eastAsia"/>
          <w:b/>
          <w:color w:val="000000"/>
          <w:spacing w:val="-6"/>
          <w:sz w:val="28"/>
          <w:szCs w:val="28"/>
        </w:rPr>
        <w:t>相关</w:t>
      </w:r>
      <w:r w:rsidRPr="00CC3725">
        <w:rPr>
          <w:rFonts w:hint="eastAsia"/>
          <w:color w:val="000000"/>
          <w:spacing w:val="-6"/>
          <w:sz w:val="28"/>
          <w:szCs w:val="28"/>
        </w:rPr>
        <w:t>业务的，办理时间为每个工作日的</w:t>
      </w:r>
      <w:r w:rsidRPr="00CC3725">
        <w:rPr>
          <w:rFonts w:hint="eastAsia"/>
          <w:color w:val="000000"/>
          <w:spacing w:val="-6"/>
          <w:sz w:val="28"/>
          <w:szCs w:val="28"/>
        </w:rPr>
        <w:t>14</w:t>
      </w:r>
      <w:r w:rsidRPr="00CC3725">
        <w:rPr>
          <w:rFonts w:hint="eastAsia"/>
          <w:color w:val="000000"/>
          <w:spacing w:val="-6"/>
          <w:sz w:val="28"/>
          <w:szCs w:val="28"/>
        </w:rPr>
        <w:t>：</w:t>
      </w:r>
      <w:r w:rsidRPr="00CC3725">
        <w:rPr>
          <w:rFonts w:hint="eastAsia"/>
          <w:color w:val="000000"/>
          <w:spacing w:val="-6"/>
          <w:sz w:val="28"/>
          <w:szCs w:val="28"/>
        </w:rPr>
        <w:t>30</w:t>
      </w:r>
      <w:r w:rsidRPr="00CC3725">
        <w:rPr>
          <w:rFonts w:hint="eastAsia"/>
          <w:color w:val="000000"/>
          <w:spacing w:val="-6"/>
          <w:sz w:val="28"/>
          <w:szCs w:val="28"/>
        </w:rPr>
        <w:t>之前。</w:t>
      </w:r>
    </w:p>
    <w:p w:rsidR="00E06512" w:rsidRDefault="00E06512" w:rsidP="00E06512">
      <w:pPr>
        <w:widowControl/>
        <w:tabs>
          <w:tab w:val="left" w:pos="5812"/>
        </w:tabs>
        <w:spacing w:line="360" w:lineRule="auto"/>
        <w:ind w:firstLineChars="200" w:firstLine="560"/>
        <w:rPr>
          <w:rFonts w:ascii="黑体" w:eastAsia="黑体" w:hAnsi="宋体" w:cs="黑体"/>
          <w:bCs/>
          <w:color w:val="000000"/>
          <w:kern w:val="0"/>
          <w:sz w:val="32"/>
          <w:szCs w:val="32"/>
        </w:rPr>
      </w:pPr>
      <w:r>
        <w:rPr>
          <w:rFonts w:ascii="黑体" w:eastAsia="黑体" w:hAnsi="宋体" w:cs="黑体"/>
          <w:color w:val="000000"/>
          <w:kern w:val="0"/>
          <w:sz w:val="28"/>
          <w:szCs w:val="28"/>
        </w:rPr>
        <w:t>……</w:t>
      </w:r>
    </w:p>
    <w:p w:rsidR="00E06512" w:rsidRDefault="00E06512" w:rsidP="00E06512">
      <w:pPr>
        <w:widowControl/>
        <w:spacing w:line="360" w:lineRule="auto"/>
        <w:ind w:firstLineChars="200" w:firstLine="560"/>
        <w:rPr>
          <w:rFonts w:ascii="宋体" w:hAnsi="宋体" w:cs="宋体"/>
          <w:color w:val="000000"/>
          <w:kern w:val="0"/>
          <w:sz w:val="28"/>
          <w:szCs w:val="28"/>
        </w:rPr>
      </w:pPr>
      <w:r>
        <w:rPr>
          <w:rFonts w:ascii="黑体" w:eastAsia="黑体" w:hAnsi="宋体" w:cs="黑体" w:hint="eastAsia"/>
          <w:color w:val="000000"/>
          <w:kern w:val="0"/>
          <w:sz w:val="28"/>
          <w:szCs w:val="28"/>
        </w:rPr>
        <w:lastRenderedPageBreak/>
        <w:t>第七十八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违反本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970E59">
        <w:rPr>
          <w:rFonts w:ascii="宋体" w:hAnsi="宋体" w:cs="宋体" w:hint="eastAsia"/>
          <w:color w:val="000000"/>
          <w:kern w:val="0"/>
          <w:sz w:val="28"/>
          <w:szCs w:val="28"/>
        </w:rPr>
        <w:t>规定的，交易所按《郑州商品交易所违规处理办法》有关规定处理。</w:t>
      </w:r>
    </w:p>
    <w:p w:rsidR="00E06512" w:rsidRPr="009E2BAB" w:rsidRDefault="00E06512" w:rsidP="00E06512">
      <w:pPr>
        <w:spacing w:line="360" w:lineRule="auto"/>
        <w:ind w:firstLineChars="200" w:firstLine="560"/>
        <w:rPr>
          <w:dstrike/>
        </w:rPr>
      </w:pPr>
      <w:r w:rsidRPr="009E2BAB">
        <w:rPr>
          <w:rFonts w:ascii="黑体" w:eastAsia="黑体" w:hAnsi="宋体" w:cs="黑体" w:hint="eastAsia"/>
          <w:dstrike/>
          <w:color w:val="000000"/>
          <w:kern w:val="0"/>
          <w:sz w:val="28"/>
          <w:szCs w:val="28"/>
        </w:rPr>
        <w:t>第七十九条</w:t>
      </w:r>
      <w:r w:rsidRPr="009E2BAB">
        <w:rPr>
          <w:rFonts w:ascii="宋体" w:hAnsi="宋体" w:cs="宋体" w:hint="eastAsia"/>
          <w:dstrike/>
          <w:color w:val="000000"/>
          <w:kern w:val="0"/>
          <w:sz w:val="28"/>
          <w:szCs w:val="28"/>
        </w:rPr>
        <w:t xml:space="preserve">  有关夜盘交易相关的结算业务，郑州商品交易所夜</w:t>
      </w:r>
    </w:p>
    <w:p w:rsidR="00E06512" w:rsidRPr="009E2BAB" w:rsidRDefault="00E06512" w:rsidP="00E06512">
      <w:pPr>
        <w:widowControl/>
        <w:spacing w:line="360" w:lineRule="auto"/>
        <w:rPr>
          <w:rFonts w:ascii="宋体" w:hAnsi="宋体" w:cs="宋体"/>
          <w:dstrike/>
          <w:color w:val="000000"/>
          <w:kern w:val="0"/>
          <w:sz w:val="28"/>
          <w:szCs w:val="28"/>
        </w:rPr>
      </w:pPr>
      <w:r w:rsidRPr="009E2BAB">
        <w:rPr>
          <w:rFonts w:ascii="宋体" w:hAnsi="宋体" w:cs="宋体" w:hint="eastAsia"/>
          <w:dstrike/>
          <w:color w:val="000000"/>
          <w:kern w:val="0"/>
          <w:sz w:val="28"/>
          <w:szCs w:val="28"/>
        </w:rPr>
        <w:t>盘交易细则有特殊规定的，从其规定。</w:t>
      </w:r>
    </w:p>
    <w:p w:rsidR="00E06512" w:rsidRPr="00970E59" w:rsidRDefault="00E06512" w:rsidP="00E06512">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第七十九</w:t>
      </w:r>
      <w:r w:rsidRPr="002B0445">
        <w:rPr>
          <w:rFonts w:ascii="黑体" w:eastAsia="黑体" w:hAnsi="宋体" w:cs="黑体" w:hint="eastAsia"/>
          <w:dstrike/>
          <w:color w:val="000000"/>
          <w:kern w:val="0"/>
          <w:sz w:val="28"/>
          <w:szCs w:val="28"/>
        </w:rPr>
        <w:t>八十</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970E59">
        <w:rPr>
          <w:rFonts w:ascii="宋体" w:hAnsi="宋体" w:cs="宋体" w:hint="eastAsia"/>
          <w:color w:val="000000"/>
          <w:kern w:val="0"/>
          <w:sz w:val="28"/>
          <w:szCs w:val="28"/>
        </w:rPr>
        <w:t>解释权属于郑州商品交易所。</w:t>
      </w:r>
    </w:p>
    <w:p w:rsidR="00E06512" w:rsidRDefault="00E06512" w:rsidP="00E06512">
      <w:pPr>
        <w:rPr>
          <w:rFonts w:ascii="宋体" w:hAnsi="宋体" w:cs="宋体"/>
          <w:kern w:val="0"/>
          <w:sz w:val="28"/>
          <w:szCs w:val="28"/>
        </w:rPr>
        <w:sectPr w:rsidR="00E06512">
          <w:footerReference w:type="default" r:id="rId6"/>
          <w:pgSz w:w="11906" w:h="16838"/>
          <w:pgMar w:top="1440" w:right="1800" w:bottom="1440" w:left="1800" w:header="851" w:footer="992" w:gutter="0"/>
          <w:cols w:space="425"/>
          <w:docGrid w:type="lines" w:linePitch="312"/>
        </w:sectPr>
      </w:pPr>
      <w:r>
        <w:rPr>
          <w:rFonts w:ascii="黑体" w:eastAsia="黑体" w:hAnsi="宋体" w:cs="黑体" w:hint="eastAsia"/>
          <w:color w:val="000000"/>
          <w:kern w:val="0"/>
          <w:sz w:val="28"/>
          <w:szCs w:val="28"/>
        </w:rPr>
        <w:t>第八十</w:t>
      </w:r>
      <w:r w:rsidRPr="002B0445">
        <w:rPr>
          <w:rFonts w:ascii="黑体" w:eastAsia="黑体" w:hAnsi="宋体" w:cs="黑体" w:hint="eastAsia"/>
          <w:dstrike/>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BB5CE0">
        <w:rPr>
          <w:rFonts w:ascii="宋体" w:hAnsi="宋体" w:cs="宋体" w:hint="eastAsia"/>
          <w:kern w:val="0"/>
          <w:sz w:val="28"/>
          <w:szCs w:val="28"/>
        </w:rPr>
        <w:t>自</w:t>
      </w:r>
      <w:r>
        <w:rPr>
          <w:rFonts w:ascii="宋体" w:hAnsi="宋体" w:cs="宋体" w:hint="eastAsia"/>
          <w:kern w:val="0"/>
          <w:sz w:val="28"/>
          <w:szCs w:val="28"/>
        </w:rPr>
        <w:t>X</w:t>
      </w:r>
      <w:r w:rsidRPr="00BB5CE0">
        <w:rPr>
          <w:rFonts w:ascii="宋体" w:hAnsi="宋体" w:cs="宋体" w:hint="eastAsia"/>
          <w:kern w:val="0"/>
          <w:sz w:val="28"/>
          <w:szCs w:val="28"/>
        </w:rPr>
        <w:t>年</w:t>
      </w:r>
      <w:r>
        <w:rPr>
          <w:rFonts w:ascii="宋体" w:hAnsi="宋体" w:cs="宋体" w:hint="eastAsia"/>
          <w:kern w:val="0"/>
          <w:sz w:val="28"/>
          <w:szCs w:val="28"/>
        </w:rPr>
        <w:t>X月X日</w:t>
      </w:r>
      <w:r w:rsidRPr="00BB5CE0">
        <w:rPr>
          <w:rFonts w:ascii="宋体" w:hAnsi="宋体" w:cs="宋体" w:hint="eastAsia"/>
          <w:kern w:val="0"/>
          <w:sz w:val="28"/>
          <w:szCs w:val="28"/>
        </w:rPr>
        <w:t>施行。</w:t>
      </w: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2</w:t>
      </w:r>
    </w:p>
    <w:p w:rsidR="00E06512" w:rsidRDefault="00E06512" w:rsidP="00E06512">
      <w:pPr>
        <w:spacing w:line="360" w:lineRule="auto"/>
        <w:jc w:val="center"/>
        <w:outlineLvl w:val="0"/>
        <w:rPr>
          <w:rFonts w:ascii="宋体" w:hAnsi="宋体"/>
          <w:b/>
          <w:sz w:val="44"/>
          <w:szCs w:val="36"/>
        </w:rPr>
      </w:pPr>
      <w:bookmarkStart w:id="0" w:name="_Toc1170"/>
      <w:r>
        <w:rPr>
          <w:rFonts w:ascii="宋体" w:hAnsi="宋体" w:hint="eastAsia"/>
          <w:b/>
          <w:sz w:val="44"/>
          <w:szCs w:val="36"/>
        </w:rPr>
        <w:t>郑州商品交易所期货交易风险控制管理办法（优化草案）</w:t>
      </w:r>
      <w:bookmarkEnd w:id="0"/>
    </w:p>
    <w:p w:rsidR="00E06512" w:rsidRDefault="00E06512" w:rsidP="00E06512">
      <w:pPr>
        <w:snapToGrid w:val="0"/>
        <w:spacing w:line="360" w:lineRule="auto"/>
        <w:ind w:firstLineChars="200" w:firstLine="560"/>
        <w:rPr>
          <w:rFonts w:ascii="宋体" w:eastAsia="黑体" w:hAnsi="宋体" w:cs="宋体"/>
          <w:kern w:val="0"/>
          <w:sz w:val="28"/>
          <w:szCs w:val="28"/>
        </w:rPr>
      </w:pPr>
    </w:p>
    <w:p w:rsidR="00E06512" w:rsidRDefault="00E06512" w:rsidP="00E06512">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期货交易实行保证金制度。</w:t>
      </w:r>
    </w:p>
    <w:p w:rsidR="00E06512" w:rsidRDefault="00E06512" w:rsidP="00E06512">
      <w:pPr>
        <w:spacing w:line="360" w:lineRule="auto"/>
        <w:ind w:firstLineChars="200" w:firstLine="560"/>
        <w:rPr>
          <w:rFonts w:ascii="宋体" w:hAnsi="宋体" w:cs="宋体"/>
          <w:dstrike/>
          <w:kern w:val="0"/>
          <w:sz w:val="28"/>
          <w:szCs w:val="28"/>
        </w:rPr>
      </w:pPr>
      <w:r>
        <w:rPr>
          <w:rFonts w:ascii="宋体" w:hAnsi="宋体" w:cs="宋体" w:hint="eastAsia"/>
          <w:kern w:val="0"/>
          <w:sz w:val="28"/>
          <w:szCs w:val="28"/>
        </w:rPr>
        <w:t>各品种</w:t>
      </w:r>
      <w:r>
        <w:rPr>
          <w:rStyle w:val="a5"/>
          <w:rFonts w:ascii="宋体" w:hAnsi="宋体" w:cs="宋体"/>
          <w:kern w:val="0"/>
          <w:sz w:val="28"/>
          <w:szCs w:val="28"/>
        </w:rPr>
        <w:footnoteReference w:id="2"/>
      </w:r>
      <w:r>
        <w:rPr>
          <w:rFonts w:ascii="宋体" w:hAnsi="宋体" w:cs="宋体" w:hint="eastAsia"/>
          <w:kern w:val="0"/>
          <w:sz w:val="28"/>
          <w:szCs w:val="28"/>
        </w:rPr>
        <w:t>期货合约的最低交易保证金标准</w:t>
      </w:r>
      <w:r>
        <w:rPr>
          <w:rFonts w:ascii="宋体" w:hAnsi="宋体" w:cs="宋体" w:hint="eastAsia"/>
          <w:b/>
          <w:kern w:val="0"/>
          <w:sz w:val="28"/>
          <w:szCs w:val="28"/>
        </w:rPr>
        <w:t>，以及不同交易时间段执行的交易保证金标准见相关品种期货业务细则。</w:t>
      </w:r>
      <w:r>
        <w:rPr>
          <w:rFonts w:ascii="宋体" w:hAnsi="宋体" w:cs="宋体" w:hint="eastAsia"/>
          <w:dstrike/>
          <w:kern w:val="0"/>
          <w:sz w:val="28"/>
          <w:szCs w:val="28"/>
        </w:rPr>
        <w:t>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3"/>
        <w:gridCol w:w="3439"/>
      </w:tblGrid>
      <w:tr w:rsidR="00E06512" w:rsidTr="00A75CC6">
        <w:trPr>
          <w:trHeight w:val="70"/>
        </w:trPr>
        <w:tc>
          <w:tcPr>
            <w:tcW w:w="5637" w:type="dxa"/>
            <w:tcBorders>
              <w:top w:val="single" w:sz="4" w:space="0" w:color="000000"/>
              <w:left w:val="single" w:sz="4" w:space="0" w:color="000000"/>
              <w:bottom w:val="single" w:sz="4" w:space="0" w:color="000000"/>
              <w:right w:val="single" w:sz="4" w:space="0" w:color="000000"/>
            </w:tcBorders>
            <w:vAlign w:val="center"/>
          </w:tcPr>
          <w:p w:rsidR="00E06512" w:rsidRDefault="00E06512" w:rsidP="00A75CC6">
            <w:pPr>
              <w:snapToGrid w:val="0"/>
              <w:spacing w:line="500" w:lineRule="exact"/>
              <w:jc w:val="center"/>
              <w:rPr>
                <w:rFonts w:ascii="宋体"/>
                <w:bCs/>
                <w:dstrike/>
                <w:kern w:val="0"/>
                <w:sz w:val="24"/>
              </w:rPr>
            </w:pPr>
            <w:r>
              <w:rPr>
                <w:rFonts w:ascii="宋体" w:hAnsi="宋体" w:cs="宋体" w:hint="eastAsia"/>
                <w:bCs/>
                <w:dstrike/>
                <w:kern w:val="0"/>
                <w:sz w:val="24"/>
              </w:rPr>
              <w:t>品种</w:t>
            </w:r>
          </w:p>
        </w:tc>
        <w:tc>
          <w:tcPr>
            <w:tcW w:w="3827" w:type="dxa"/>
            <w:tcBorders>
              <w:top w:val="single" w:sz="4" w:space="0" w:color="000000"/>
              <w:left w:val="single" w:sz="4" w:space="0" w:color="000000"/>
              <w:bottom w:val="single" w:sz="4" w:space="0" w:color="000000"/>
              <w:right w:val="single" w:sz="4" w:space="0" w:color="000000"/>
            </w:tcBorders>
            <w:vAlign w:val="center"/>
          </w:tcPr>
          <w:p w:rsidR="00E06512" w:rsidRDefault="00E06512" w:rsidP="00A75CC6">
            <w:pPr>
              <w:snapToGrid w:val="0"/>
              <w:spacing w:line="500" w:lineRule="exact"/>
              <w:jc w:val="center"/>
              <w:rPr>
                <w:rFonts w:ascii="宋体"/>
                <w:dstrike/>
                <w:kern w:val="0"/>
                <w:sz w:val="28"/>
                <w:szCs w:val="28"/>
              </w:rPr>
            </w:pPr>
            <w:r>
              <w:rPr>
                <w:rFonts w:ascii="宋体" w:hAnsi="宋体" w:cs="宋体" w:hint="eastAsia"/>
                <w:bCs/>
                <w:dstrike/>
                <w:kern w:val="0"/>
                <w:sz w:val="24"/>
              </w:rPr>
              <w:t>最低交易保证金标准</w:t>
            </w:r>
          </w:p>
        </w:tc>
      </w:tr>
      <w:tr w:rsidR="00E06512" w:rsidTr="00A75CC6">
        <w:tc>
          <w:tcPr>
            <w:tcW w:w="5637" w:type="dxa"/>
            <w:tcBorders>
              <w:top w:val="single" w:sz="4" w:space="0" w:color="000000"/>
              <w:left w:val="single" w:sz="4" w:space="0" w:color="000000"/>
              <w:bottom w:val="single" w:sz="4" w:space="0" w:color="000000"/>
              <w:right w:val="single" w:sz="4" w:space="0" w:color="000000"/>
            </w:tcBorders>
            <w:vAlign w:val="center"/>
          </w:tcPr>
          <w:p w:rsidR="00E06512" w:rsidRDefault="00E06512" w:rsidP="00A75CC6">
            <w:pPr>
              <w:snapToGrid w:val="0"/>
              <w:jc w:val="center"/>
              <w:rPr>
                <w:rFonts w:ascii="宋体"/>
                <w:dstrike/>
                <w:kern w:val="0"/>
                <w:sz w:val="16"/>
                <w:szCs w:val="16"/>
              </w:rPr>
            </w:pPr>
            <w:r>
              <w:rPr>
                <w:rFonts w:ascii="宋体" w:hAnsi="宋体" w:cs="宋体" w:hint="eastAsia"/>
                <w:dstrike/>
                <w:kern w:val="0"/>
                <w:sz w:val="24"/>
              </w:rPr>
              <w:t>普麦、强麦、棉花、菜油、菜籽、菜粕、动力煤、早籼稻、晚籼稻</w:t>
            </w:r>
            <w:r>
              <w:rPr>
                <w:rFonts w:ascii="宋体" w:hAnsi="宋体" w:hint="eastAsia"/>
                <w:bCs/>
                <w:dstrike/>
                <w:sz w:val="24"/>
              </w:rPr>
              <w:t>、粳稻、甲醇</w:t>
            </w:r>
            <w:r>
              <w:rPr>
                <w:rFonts w:ascii="宋体" w:hAnsi="宋体" w:hint="eastAsia"/>
                <w:dstrike/>
                <w:sz w:val="24"/>
              </w:rPr>
              <w:t>、硅铁、锰硅、</w:t>
            </w:r>
            <w:r>
              <w:rPr>
                <w:rFonts w:ascii="宋体" w:hAnsi="宋体" w:cs="宋体" w:hint="eastAsia"/>
                <w:dstrike/>
                <w:kern w:val="0"/>
                <w:sz w:val="24"/>
              </w:rPr>
              <w:t>白糖、PTA、玻璃、棉纱、尿素、纯碱、短纤、花生</w:t>
            </w:r>
          </w:p>
        </w:tc>
        <w:tc>
          <w:tcPr>
            <w:tcW w:w="3827" w:type="dxa"/>
            <w:tcBorders>
              <w:top w:val="single" w:sz="4" w:space="0" w:color="000000"/>
              <w:left w:val="single" w:sz="4" w:space="0" w:color="000000"/>
              <w:bottom w:val="single" w:sz="4" w:space="0" w:color="000000"/>
              <w:right w:val="single" w:sz="4" w:space="0" w:color="000000"/>
            </w:tcBorders>
            <w:vAlign w:val="center"/>
          </w:tcPr>
          <w:p w:rsidR="00E06512" w:rsidRDefault="00E06512" w:rsidP="00A75CC6">
            <w:pPr>
              <w:snapToGrid w:val="0"/>
              <w:spacing w:line="500" w:lineRule="exact"/>
              <w:jc w:val="center"/>
              <w:rPr>
                <w:rFonts w:ascii="宋体"/>
                <w:dstrike/>
                <w:kern w:val="0"/>
                <w:sz w:val="28"/>
                <w:szCs w:val="28"/>
              </w:rPr>
            </w:pPr>
            <w:r>
              <w:rPr>
                <w:rFonts w:ascii="宋体" w:hAnsi="宋体" w:cs="宋体" w:hint="eastAsia"/>
                <w:dstrike/>
                <w:kern w:val="0"/>
                <w:sz w:val="24"/>
              </w:rPr>
              <w:t>5%</w:t>
            </w:r>
          </w:p>
        </w:tc>
      </w:tr>
      <w:tr w:rsidR="00E06512" w:rsidTr="00A75CC6">
        <w:trPr>
          <w:trHeight w:val="264"/>
        </w:trPr>
        <w:tc>
          <w:tcPr>
            <w:tcW w:w="5637" w:type="dxa"/>
            <w:tcBorders>
              <w:top w:val="single" w:sz="4" w:space="0" w:color="000000"/>
              <w:left w:val="single" w:sz="4" w:space="0" w:color="000000"/>
              <w:bottom w:val="single" w:sz="4" w:space="0" w:color="000000"/>
              <w:right w:val="single" w:sz="4" w:space="0" w:color="000000"/>
            </w:tcBorders>
            <w:vAlign w:val="center"/>
          </w:tcPr>
          <w:p w:rsidR="00E06512" w:rsidRDefault="00E06512" w:rsidP="00A75CC6">
            <w:pPr>
              <w:snapToGrid w:val="0"/>
              <w:jc w:val="center"/>
              <w:rPr>
                <w:rFonts w:ascii="宋体" w:hAnsi="宋体" w:cs="宋体"/>
                <w:dstrike/>
                <w:kern w:val="0"/>
                <w:sz w:val="24"/>
              </w:rPr>
            </w:pPr>
            <w:r>
              <w:rPr>
                <w:rFonts w:ascii="宋体" w:hAnsi="宋体" w:cs="宋体" w:hint="eastAsia"/>
                <w:dstrike/>
                <w:kern w:val="0"/>
                <w:sz w:val="24"/>
              </w:rPr>
              <w:t>苹果、红枣</w:t>
            </w:r>
          </w:p>
        </w:tc>
        <w:tc>
          <w:tcPr>
            <w:tcW w:w="3827" w:type="dxa"/>
            <w:tcBorders>
              <w:top w:val="single" w:sz="4" w:space="0" w:color="000000"/>
              <w:left w:val="single" w:sz="4" w:space="0" w:color="000000"/>
              <w:bottom w:val="single" w:sz="4" w:space="0" w:color="000000"/>
              <w:right w:val="single" w:sz="4" w:space="0" w:color="000000"/>
            </w:tcBorders>
            <w:vAlign w:val="center"/>
          </w:tcPr>
          <w:p w:rsidR="00E06512" w:rsidRDefault="00E06512" w:rsidP="00A75CC6">
            <w:pPr>
              <w:snapToGrid w:val="0"/>
              <w:jc w:val="center"/>
              <w:rPr>
                <w:rFonts w:ascii="宋体" w:hAnsi="宋体" w:cs="宋体"/>
                <w:dstrike/>
                <w:kern w:val="0"/>
                <w:sz w:val="24"/>
              </w:rPr>
            </w:pPr>
            <w:r>
              <w:rPr>
                <w:rFonts w:ascii="宋体" w:hAnsi="宋体" w:cs="宋体" w:hint="eastAsia"/>
                <w:dstrike/>
                <w:kern w:val="0"/>
                <w:sz w:val="24"/>
              </w:rPr>
              <w:t>7%</w:t>
            </w:r>
          </w:p>
        </w:tc>
      </w:tr>
    </w:tbl>
    <w:p w:rsidR="00E06512" w:rsidRDefault="00E06512" w:rsidP="00E06512">
      <w:pPr>
        <w:snapToGrid w:val="0"/>
        <w:spacing w:before="240"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第五条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期货合约的交易保证金标准按照该期货合约上市交易的时间分期间依次管理，除苹果、红枣外，各期间交易保证金标准见下表：</w:t>
      </w:r>
    </w:p>
    <w:tbl>
      <w:tblPr>
        <w:tblW w:w="8647" w:type="dxa"/>
        <w:tblInd w:w="-34" w:type="dxa"/>
        <w:tblLook w:val="04A0"/>
      </w:tblPr>
      <w:tblGrid>
        <w:gridCol w:w="5326"/>
        <w:gridCol w:w="3321"/>
      </w:tblGrid>
      <w:tr w:rsidR="00E06512" w:rsidTr="00A75CC6">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交易时间段</w:t>
            </w:r>
          </w:p>
        </w:tc>
        <w:tc>
          <w:tcPr>
            <w:tcW w:w="3321" w:type="dxa"/>
            <w:tcBorders>
              <w:top w:val="single" w:sz="4" w:space="0" w:color="auto"/>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交易保证金标准</w:t>
            </w:r>
          </w:p>
        </w:tc>
      </w:tr>
      <w:tr w:rsidR="00E06512" w:rsidTr="00A75CC6">
        <w:trPr>
          <w:trHeight w:val="624"/>
        </w:trPr>
        <w:tc>
          <w:tcPr>
            <w:tcW w:w="5326" w:type="dxa"/>
            <w:tcBorders>
              <w:top w:val="nil"/>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自挂牌至交割月前一个月第15个日历日期间的交易日</w:t>
            </w:r>
          </w:p>
        </w:tc>
        <w:tc>
          <w:tcPr>
            <w:tcW w:w="3321" w:type="dxa"/>
            <w:tcBorders>
              <w:top w:val="nil"/>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5%</w:t>
            </w:r>
          </w:p>
        </w:tc>
      </w:tr>
      <w:tr w:rsidR="00E06512" w:rsidTr="00A75CC6">
        <w:trPr>
          <w:trHeight w:val="624"/>
        </w:trPr>
        <w:tc>
          <w:tcPr>
            <w:tcW w:w="5326" w:type="dxa"/>
            <w:tcBorders>
              <w:top w:val="nil"/>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交割月前一个月第16个日历日至交割月前一个月最后一个日历日期间的交易日</w:t>
            </w:r>
          </w:p>
        </w:tc>
        <w:tc>
          <w:tcPr>
            <w:tcW w:w="3321" w:type="dxa"/>
            <w:tcBorders>
              <w:top w:val="nil"/>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10%</w:t>
            </w:r>
          </w:p>
        </w:tc>
      </w:tr>
      <w:tr w:rsidR="00E06512" w:rsidTr="00A75CC6">
        <w:trPr>
          <w:trHeight w:val="312"/>
        </w:trPr>
        <w:tc>
          <w:tcPr>
            <w:tcW w:w="5326" w:type="dxa"/>
            <w:tcBorders>
              <w:top w:val="nil"/>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交割月份</w:t>
            </w:r>
          </w:p>
        </w:tc>
        <w:tc>
          <w:tcPr>
            <w:tcW w:w="3321" w:type="dxa"/>
            <w:tcBorders>
              <w:top w:val="nil"/>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20%</w:t>
            </w:r>
          </w:p>
        </w:tc>
      </w:tr>
    </w:tbl>
    <w:p w:rsidR="00E06512" w:rsidRDefault="00E06512" w:rsidP="00E06512">
      <w:pPr>
        <w:snapToGrid w:val="0"/>
        <w:spacing w:before="240"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苹果期货合约各期间交易保证金标准见下表：</w:t>
      </w:r>
    </w:p>
    <w:tbl>
      <w:tblPr>
        <w:tblW w:w="8647" w:type="dxa"/>
        <w:tblInd w:w="-34" w:type="dxa"/>
        <w:tblLook w:val="04A0"/>
      </w:tblPr>
      <w:tblGrid>
        <w:gridCol w:w="5326"/>
        <w:gridCol w:w="3321"/>
      </w:tblGrid>
      <w:tr w:rsidR="00E06512" w:rsidTr="00A75CC6">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交易时间段</w:t>
            </w:r>
          </w:p>
        </w:tc>
        <w:tc>
          <w:tcPr>
            <w:tcW w:w="3321" w:type="dxa"/>
            <w:tcBorders>
              <w:top w:val="single" w:sz="4" w:space="0" w:color="auto"/>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交易保证金标准</w:t>
            </w:r>
          </w:p>
        </w:tc>
      </w:tr>
      <w:tr w:rsidR="00E06512" w:rsidTr="00A75CC6">
        <w:trPr>
          <w:trHeight w:val="624"/>
        </w:trPr>
        <w:tc>
          <w:tcPr>
            <w:tcW w:w="5326" w:type="dxa"/>
            <w:tcBorders>
              <w:top w:val="nil"/>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自挂牌至交割月前一个月第15个日历日期间的交易日</w:t>
            </w:r>
          </w:p>
        </w:tc>
        <w:tc>
          <w:tcPr>
            <w:tcW w:w="3321" w:type="dxa"/>
            <w:tcBorders>
              <w:top w:val="nil"/>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7%</w:t>
            </w:r>
          </w:p>
        </w:tc>
      </w:tr>
      <w:tr w:rsidR="00E06512" w:rsidTr="00A75CC6">
        <w:trPr>
          <w:trHeight w:val="624"/>
        </w:trPr>
        <w:tc>
          <w:tcPr>
            <w:tcW w:w="5326" w:type="dxa"/>
            <w:tcBorders>
              <w:top w:val="nil"/>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交割月前一个月第16个日历日至交割月前一个月最后一个日历日期间的交易日</w:t>
            </w:r>
          </w:p>
        </w:tc>
        <w:tc>
          <w:tcPr>
            <w:tcW w:w="3321" w:type="dxa"/>
            <w:tcBorders>
              <w:top w:val="nil"/>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10%</w:t>
            </w:r>
          </w:p>
        </w:tc>
      </w:tr>
      <w:tr w:rsidR="00E06512" w:rsidTr="00A75CC6">
        <w:trPr>
          <w:trHeight w:val="312"/>
        </w:trPr>
        <w:tc>
          <w:tcPr>
            <w:tcW w:w="5326" w:type="dxa"/>
            <w:tcBorders>
              <w:top w:val="nil"/>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交割月份</w:t>
            </w:r>
          </w:p>
        </w:tc>
        <w:tc>
          <w:tcPr>
            <w:tcW w:w="3321" w:type="dxa"/>
            <w:tcBorders>
              <w:top w:val="nil"/>
              <w:left w:val="nil"/>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20%</w:t>
            </w:r>
          </w:p>
        </w:tc>
      </w:tr>
    </w:tbl>
    <w:p w:rsidR="00E06512" w:rsidRDefault="00E06512" w:rsidP="00E06512">
      <w:pPr>
        <w:snapToGrid w:val="0"/>
        <w:spacing w:before="240"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lastRenderedPageBreak/>
        <w:t>红枣期货合约各期间交易保证金标准见下表：</w:t>
      </w:r>
    </w:p>
    <w:tbl>
      <w:tblPr>
        <w:tblW w:w="853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208"/>
      </w:tblGrid>
      <w:tr w:rsidR="00E06512" w:rsidTr="00A75CC6">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交易时间段</w:t>
            </w:r>
          </w:p>
        </w:tc>
        <w:tc>
          <w:tcPr>
            <w:tcW w:w="3208"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交易保证金标准</w:t>
            </w:r>
          </w:p>
        </w:tc>
      </w:tr>
      <w:tr w:rsidR="00E06512" w:rsidTr="00A75CC6">
        <w:trPr>
          <w:trHeight w:val="169"/>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自挂牌至交割月前二个月最后一个日历日期间的交易日</w:t>
            </w:r>
          </w:p>
        </w:tc>
        <w:tc>
          <w:tcPr>
            <w:tcW w:w="3208"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7%</w:t>
            </w:r>
          </w:p>
        </w:tc>
      </w:tr>
      <w:tr w:rsidR="00E06512" w:rsidTr="00A75CC6">
        <w:trPr>
          <w:trHeight w:val="130"/>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交割月前一个月第一个日历日至交割月前一个月第15个日历日期间的交易日</w:t>
            </w:r>
          </w:p>
        </w:tc>
        <w:tc>
          <w:tcPr>
            <w:tcW w:w="3208"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10%</w:t>
            </w:r>
          </w:p>
        </w:tc>
      </w:tr>
      <w:tr w:rsidR="00E06512" w:rsidTr="00A75CC6">
        <w:trPr>
          <w:trHeight w:val="624"/>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交割月前一个月第16个日历日至交割月前一个月最后一个日历日期间的交易日</w:t>
            </w:r>
          </w:p>
        </w:tc>
        <w:tc>
          <w:tcPr>
            <w:tcW w:w="3208"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15%</w:t>
            </w:r>
          </w:p>
        </w:tc>
      </w:tr>
      <w:tr w:rsidR="00E06512" w:rsidTr="00A75CC6">
        <w:trPr>
          <w:trHeight w:val="130"/>
        </w:trPr>
        <w:tc>
          <w:tcPr>
            <w:tcW w:w="5326"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交割月份</w:t>
            </w:r>
          </w:p>
        </w:tc>
        <w:tc>
          <w:tcPr>
            <w:tcW w:w="3208" w:type="dxa"/>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宋体"/>
                <w:dstrike/>
                <w:kern w:val="0"/>
                <w:sz w:val="24"/>
              </w:rPr>
            </w:pPr>
            <w:r>
              <w:rPr>
                <w:rFonts w:ascii="宋体" w:hAnsi="宋体" w:cs="宋体" w:hint="eastAsia"/>
                <w:dstrike/>
                <w:kern w:val="0"/>
                <w:sz w:val="24"/>
              </w:rPr>
              <w:t>20%</w:t>
            </w:r>
          </w:p>
        </w:tc>
      </w:tr>
    </w:tbl>
    <w:p w:rsidR="00E06512" w:rsidRDefault="00E06512" w:rsidP="00E06512">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E06512" w:rsidRDefault="00E06512" w:rsidP="00E06512">
      <w:pPr>
        <w:snapToGrid w:val="0"/>
        <w:spacing w:line="360" w:lineRule="auto"/>
        <w:ind w:firstLineChars="200" w:firstLine="560"/>
        <w:rPr>
          <w:rFonts w:ascii="宋体" w:hAnsi="宋体" w:cs="宋体"/>
          <w:dstrike/>
          <w:kern w:val="0"/>
          <w:sz w:val="28"/>
          <w:szCs w:val="28"/>
        </w:rPr>
      </w:pPr>
      <w:r>
        <w:rPr>
          <w:rFonts w:ascii="宋体" w:eastAsia="黑体" w:hAnsi="宋体" w:cs="宋体" w:hint="eastAsia"/>
          <w:kern w:val="0"/>
          <w:sz w:val="28"/>
          <w:szCs w:val="28"/>
        </w:rPr>
        <w:t>第十二</w:t>
      </w:r>
      <w:r>
        <w:rPr>
          <w:rFonts w:ascii="宋体" w:eastAsia="黑体" w:hAnsi="宋体" w:cs="宋体" w:hint="eastAsia"/>
          <w:dstrike/>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b/>
          <w:kern w:val="0"/>
          <w:sz w:val="28"/>
          <w:szCs w:val="28"/>
        </w:rPr>
        <w:t>各品种期货合约每日涨跌停板幅度见相关品种期货业务细则。</w:t>
      </w:r>
      <w:r>
        <w:rPr>
          <w:rFonts w:ascii="宋体" w:hAnsi="宋体" w:cs="宋体" w:hint="eastAsia"/>
          <w:dstrike/>
          <w:kern w:val="0"/>
          <w:sz w:val="28"/>
          <w:szCs w:val="28"/>
        </w:rPr>
        <w:t>苹果、红枣期货合约每日涨跌停板幅度为前一交易日结算价的±5%。</w:t>
      </w:r>
    </w:p>
    <w:p w:rsidR="00E06512" w:rsidRDefault="00E06512" w:rsidP="00E06512">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除苹果、红枣外，其他品种期货合约每日涨跌停板幅度为前一交易日结算价的±4%。</w:t>
      </w:r>
    </w:p>
    <w:p w:rsidR="00E06512" w:rsidRDefault="00E06512" w:rsidP="00E06512">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E06512" w:rsidRDefault="00E06512" w:rsidP="00E06512">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第十七</w:t>
      </w:r>
      <w:r>
        <w:rPr>
          <w:rFonts w:ascii="宋体" w:eastAsia="黑体" w:hAnsi="宋体" w:cs="宋体" w:hint="eastAsia"/>
          <w:dstrike/>
          <w:kern w:val="0"/>
          <w:sz w:val="28"/>
          <w:szCs w:val="28"/>
        </w:rPr>
        <w:t>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条执行。</w:t>
      </w:r>
    </w:p>
    <w:p w:rsidR="00E06512" w:rsidRDefault="00E06512" w:rsidP="00E06512">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E06512" w:rsidRDefault="00E06512" w:rsidP="00E06512">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第二十一</w:t>
      </w:r>
      <w:r>
        <w:rPr>
          <w:rFonts w:ascii="宋体" w:eastAsia="黑体" w:hAnsi="宋体" w:cs="宋体" w:hint="eastAsia"/>
          <w:dstrike/>
          <w:kern w:val="0"/>
          <w:sz w:val="28"/>
          <w:szCs w:val="28"/>
        </w:rPr>
        <w:t>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新期货合约成交首日以前（含该日）出现单边市的，该期货合约的涨跌停板幅度和交易保证金标准不受本章第十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条限制。</w:t>
      </w:r>
    </w:p>
    <w:p w:rsidR="00E06512" w:rsidRDefault="00E06512" w:rsidP="00E06512">
      <w:pPr>
        <w:spacing w:line="360" w:lineRule="auto"/>
        <w:ind w:firstLineChars="200" w:firstLine="560"/>
        <w:rPr>
          <w:rFonts w:ascii="宋体" w:eastAsia="黑体" w:hAnsi="宋体" w:cs="宋体"/>
          <w:kern w:val="0"/>
          <w:sz w:val="32"/>
          <w:szCs w:val="28"/>
        </w:rPr>
      </w:pPr>
      <w:r>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E06512" w:rsidRPr="006D10AB" w:rsidRDefault="00E06512" w:rsidP="00E06512">
      <w:pPr>
        <w:snapToGrid w:val="0"/>
        <w:spacing w:before="240" w:line="360" w:lineRule="auto"/>
        <w:ind w:firstLineChars="200" w:firstLine="560"/>
        <w:rPr>
          <w:rFonts w:ascii="宋体" w:hAnsi="宋体" w:cs="宋体"/>
          <w:kern w:val="0"/>
          <w:sz w:val="28"/>
          <w:szCs w:val="28"/>
        </w:rPr>
      </w:pPr>
      <w:r>
        <w:rPr>
          <w:rFonts w:ascii="宋体" w:eastAsia="黑体" w:hAnsi="宋体" w:cs="宋体"/>
          <w:kern w:val="0"/>
          <w:sz w:val="28"/>
          <w:szCs w:val="28"/>
        </w:rPr>
        <w:lastRenderedPageBreak/>
        <w:t>……</w:t>
      </w:r>
    </w:p>
    <w:p w:rsidR="00E06512" w:rsidRDefault="00E06512" w:rsidP="00E06512">
      <w:pPr>
        <w:spacing w:line="360" w:lineRule="auto"/>
        <w:ind w:firstLineChars="200" w:firstLine="560"/>
        <w:rPr>
          <w:rFonts w:ascii="宋体" w:hAnsi="宋体" w:cs="宋体"/>
          <w:dstrike/>
          <w:kern w:val="0"/>
          <w:sz w:val="28"/>
          <w:szCs w:val="28"/>
        </w:rPr>
      </w:pPr>
      <w:r>
        <w:rPr>
          <w:rFonts w:ascii="黑体" w:eastAsia="黑体" w:hAnsi="黑体" w:cs="宋体" w:hint="eastAsia"/>
          <w:kern w:val="0"/>
          <w:sz w:val="28"/>
          <w:szCs w:val="28"/>
        </w:rPr>
        <w:t>第二十四</w:t>
      </w:r>
      <w:r>
        <w:rPr>
          <w:rFonts w:ascii="黑体" w:eastAsia="黑体" w:hAnsi="黑体" w:cs="宋体" w:hint="eastAsia"/>
          <w:dstrike/>
          <w:kern w:val="0"/>
          <w:sz w:val="28"/>
          <w:szCs w:val="28"/>
        </w:rPr>
        <w:t>五</w:t>
      </w:r>
      <w:r>
        <w:rPr>
          <w:rFonts w:ascii="黑体" w:eastAsia="黑体" w:hAnsi="黑体" w:cs="宋体" w:hint="eastAsia"/>
          <w:kern w:val="0"/>
          <w:sz w:val="28"/>
          <w:szCs w:val="28"/>
        </w:rPr>
        <w:t xml:space="preserve">条 </w:t>
      </w:r>
      <w:r>
        <w:rPr>
          <w:rFonts w:ascii="宋体" w:hAnsi="宋体" w:cs="宋体" w:hint="eastAsia"/>
          <w:b/>
          <w:kern w:val="0"/>
          <w:sz w:val="28"/>
          <w:szCs w:val="28"/>
        </w:rPr>
        <w:t>各品种期货合约限仓标准见相关品种期货业务细则。</w:t>
      </w:r>
      <w:r>
        <w:rPr>
          <w:rFonts w:ascii="宋体" w:hAnsi="宋体" w:cs="宋体" w:hint="eastAsia"/>
          <w:dstrike/>
          <w:kern w:val="0"/>
          <w:sz w:val="28"/>
          <w:szCs w:val="28"/>
        </w:rPr>
        <w:t>棉花、白糖、</w:t>
      </w:r>
      <w:r>
        <w:rPr>
          <w:rFonts w:ascii="宋体" w:hAnsi="宋体" w:cs="宋体"/>
          <w:dstrike/>
          <w:kern w:val="0"/>
          <w:sz w:val="28"/>
          <w:szCs w:val="28"/>
        </w:rPr>
        <w:t>PTA、菜油、甲醇、玻璃、菜粕、硅铁、锰硅、尿素</w:t>
      </w:r>
      <w:r>
        <w:rPr>
          <w:rFonts w:ascii="宋体" w:hAnsi="宋体" w:cs="宋体" w:hint="eastAsia"/>
          <w:dstrike/>
          <w:kern w:val="0"/>
          <w:sz w:val="28"/>
          <w:szCs w:val="28"/>
        </w:rPr>
        <w:t>、</w:t>
      </w:r>
      <w:r>
        <w:rPr>
          <w:rFonts w:ascii="宋体" w:hAnsi="宋体" w:cs="宋体"/>
          <w:dstrike/>
          <w:kern w:val="0"/>
          <w:sz w:val="28"/>
          <w:szCs w:val="28"/>
        </w:rPr>
        <w:t>纯碱和短纤</w:t>
      </w:r>
      <w:r>
        <w:rPr>
          <w:rFonts w:ascii="宋体" w:hAnsi="宋体" w:cs="宋体" w:hint="eastAsia"/>
          <w:dstrike/>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E06512" w:rsidTr="00A75CC6">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品种</w:t>
            </w:r>
          </w:p>
        </w:tc>
        <w:tc>
          <w:tcPr>
            <w:tcW w:w="2058"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非期货公司会员及客户最大单边持仓</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E06512" w:rsidTr="00A75CC6">
        <w:trPr>
          <w:trHeight w:val="285"/>
          <w:jc w:val="center"/>
        </w:trPr>
        <w:tc>
          <w:tcPr>
            <w:tcW w:w="765" w:type="pct"/>
            <w:vMerge/>
            <w:tcBorders>
              <w:top w:val="nil"/>
              <w:left w:val="single" w:sz="4" w:space="0" w:color="auto"/>
              <w:bottom w:val="single" w:sz="4" w:space="0" w:color="000000"/>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E06512" w:rsidTr="00A75CC6">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30000</w:t>
            </w:r>
          </w:p>
        </w:tc>
      </w:tr>
      <w:tr w:rsidR="00E06512" w:rsidTr="00A75CC6">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E06512" w:rsidTr="00A75CC6">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E06512" w:rsidTr="00A75CC6">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r w:rsidR="00E06512" w:rsidTr="00A75CC6">
        <w:trPr>
          <w:trHeight w:val="285"/>
          <w:jc w:val="center"/>
        </w:trPr>
        <w:tc>
          <w:tcPr>
            <w:tcW w:w="765" w:type="pct"/>
            <w:vMerge w:val="restart"/>
            <w:tcBorders>
              <w:top w:val="single" w:sz="4" w:space="0" w:color="auto"/>
              <w:left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E06512" w:rsidTr="00A75CC6">
        <w:trPr>
          <w:trHeight w:val="285"/>
          <w:jc w:val="center"/>
        </w:trPr>
        <w:tc>
          <w:tcPr>
            <w:tcW w:w="765" w:type="pct"/>
            <w:vMerge/>
            <w:tcBorders>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单边持仓量×</w:t>
            </w:r>
            <w:r>
              <w:rPr>
                <w:rFonts w:ascii="宋体" w:hAnsi="宋体" w:cs="楷体_GB2312"/>
                <w:dstrike/>
                <w:color w:val="000000"/>
                <w:kern w:val="0"/>
                <w:sz w:val="24"/>
              </w:rPr>
              <w:t>10%</w:t>
            </w:r>
          </w:p>
        </w:tc>
      </w:tr>
    </w:tbl>
    <w:p w:rsidR="00E06512" w:rsidRDefault="00E06512" w:rsidP="00E06512">
      <w:pPr>
        <w:snapToGrid w:val="0"/>
        <w:spacing w:line="520" w:lineRule="exact"/>
        <w:rPr>
          <w:rFonts w:ascii="宋体" w:hAnsi="宋体" w:cs="楷体_GB2312"/>
          <w:dstrike/>
          <w:color w:val="000000"/>
          <w:kern w:val="0"/>
          <w:szCs w:val="21"/>
        </w:rPr>
      </w:pPr>
      <w:r>
        <w:rPr>
          <w:rFonts w:ascii="宋体" w:hAnsi="宋体" w:cs="楷体_GB2312" w:hint="eastAsia"/>
          <w:dstrike/>
          <w:color w:val="000000"/>
          <w:kern w:val="0"/>
          <w:szCs w:val="21"/>
        </w:rPr>
        <w:t>注：单位，手。</w:t>
      </w:r>
    </w:p>
    <w:p w:rsidR="00E06512" w:rsidRDefault="00E06512" w:rsidP="00E06512">
      <w:pPr>
        <w:ind w:firstLineChars="200" w:firstLine="560"/>
        <w:rPr>
          <w:rFonts w:ascii="宋体" w:hAnsi="宋体"/>
          <w:dstrike/>
          <w:sz w:val="28"/>
          <w:szCs w:val="28"/>
        </w:rPr>
      </w:pPr>
      <w:r>
        <w:rPr>
          <w:rFonts w:ascii="宋体" w:hAnsi="宋体" w:hint="eastAsia"/>
          <w:dstrike/>
          <w:sz w:val="28"/>
          <w:szCs w:val="28"/>
        </w:rPr>
        <w:lastRenderedPageBreak/>
        <w:t>普麦、强麦、早籼稻、菜籽、粳稻、晚籼稻、棉纱、苹果和花生期货合约自合约挂牌至交割月前一个月第</w:t>
      </w:r>
      <w:r>
        <w:rPr>
          <w:rFonts w:ascii="宋体" w:hAnsi="宋体"/>
          <w:dstrike/>
          <w:sz w:val="28"/>
          <w:szCs w:val="28"/>
        </w:rPr>
        <w:t>15个日历日期间的交易日限仓标准见下表：</w:t>
      </w:r>
    </w:p>
    <w:tbl>
      <w:tblPr>
        <w:tblW w:w="5000" w:type="pct"/>
        <w:jc w:val="center"/>
        <w:tblLook w:val="04A0"/>
      </w:tblPr>
      <w:tblGrid>
        <w:gridCol w:w="3361"/>
        <w:gridCol w:w="5161"/>
      </w:tblGrid>
      <w:tr w:rsidR="00E06512" w:rsidTr="00A75CC6">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宋体"/>
                <w:dstrike/>
                <w:color w:val="000000"/>
                <w:kern w:val="0"/>
                <w:sz w:val="24"/>
              </w:rPr>
            </w:pPr>
            <w:r>
              <w:rPr>
                <w:rFonts w:ascii="宋体" w:hAnsi="宋体" w:cs="楷体_GB2312" w:hint="eastAsia"/>
                <w:dstrike/>
                <w:color w:val="000000"/>
                <w:kern w:val="0"/>
                <w:sz w:val="24"/>
              </w:rPr>
              <w:t>品种</w:t>
            </w:r>
          </w:p>
        </w:tc>
        <w:tc>
          <w:tcPr>
            <w:tcW w:w="3028" w:type="pct"/>
            <w:tcBorders>
              <w:top w:val="single" w:sz="4" w:space="0" w:color="auto"/>
              <w:left w:val="nil"/>
              <w:bottom w:val="single" w:sz="4" w:space="0" w:color="auto"/>
              <w:right w:val="single" w:sz="4" w:space="0" w:color="auto"/>
            </w:tcBorders>
            <w:shd w:val="clear" w:color="auto" w:fill="auto"/>
            <w:noWrap/>
            <w:vAlign w:val="center"/>
          </w:tcPr>
          <w:p w:rsidR="00E06512" w:rsidRDefault="00E06512" w:rsidP="00A75CC6">
            <w:pPr>
              <w:jc w:val="center"/>
              <w:rPr>
                <w:rFonts w:ascii="宋体" w:hAnsi="宋体" w:cs="宋体"/>
                <w:dstrike/>
                <w:color w:val="000000"/>
                <w:kern w:val="0"/>
                <w:sz w:val="22"/>
              </w:rPr>
            </w:pPr>
            <w:r>
              <w:rPr>
                <w:rFonts w:ascii="宋体" w:hAnsi="宋体" w:cs="楷体_GB2312" w:hint="eastAsia"/>
                <w:dstrike/>
                <w:color w:val="000000"/>
                <w:kern w:val="0"/>
                <w:sz w:val="24"/>
              </w:rPr>
              <w:t>非期货公司会员及客户最大单边持仓（手）</w:t>
            </w:r>
          </w:p>
        </w:tc>
      </w:tr>
      <w:tr w:rsidR="00E06512" w:rsidTr="00A75CC6">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w:t>
            </w:r>
          </w:p>
        </w:tc>
      </w:tr>
      <w:tr w:rsidR="00E06512" w:rsidTr="00A75CC6">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7500</w:t>
            </w:r>
          </w:p>
        </w:tc>
      </w:tr>
      <w:tr w:rsidR="00E06512" w:rsidTr="00A75CC6">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r>
      <w:tr w:rsidR="00E06512" w:rsidTr="00A75CC6">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E06512" w:rsidTr="00A75CC6">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20000</w:t>
            </w:r>
          </w:p>
        </w:tc>
      </w:tr>
      <w:tr w:rsidR="00E06512" w:rsidTr="00A75CC6">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5000</w:t>
            </w:r>
          </w:p>
        </w:tc>
      </w:tr>
      <w:tr w:rsidR="00E06512" w:rsidTr="00A75CC6">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花生</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w:t>
            </w:r>
          </w:p>
        </w:tc>
      </w:tr>
    </w:tbl>
    <w:p w:rsidR="00E06512" w:rsidRDefault="00E06512" w:rsidP="00E06512">
      <w:pPr>
        <w:ind w:firstLineChars="200" w:firstLine="560"/>
        <w:rPr>
          <w:rFonts w:ascii="宋体" w:hAnsi="宋体"/>
          <w:dstrike/>
          <w:sz w:val="28"/>
          <w:szCs w:val="28"/>
        </w:rPr>
      </w:pPr>
      <w:r>
        <w:rPr>
          <w:rFonts w:ascii="宋体" w:hAnsi="宋体" w:hint="eastAsia"/>
          <w:dstrike/>
          <w:sz w:val="28"/>
          <w:szCs w:val="28"/>
        </w:rPr>
        <w:t>动力煤、红枣期货合约自合约挂牌至交割月前一个月第15个日历日期间的交易日限仓标准见下表：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3494"/>
        <w:gridCol w:w="3431"/>
      </w:tblGrid>
      <w:tr w:rsidR="00E06512" w:rsidTr="00A75CC6">
        <w:trPr>
          <w:jc w:val="center"/>
        </w:trPr>
        <w:tc>
          <w:tcPr>
            <w:tcW w:w="937" w:type="pct"/>
            <w:vMerge w:val="restar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品种</w:t>
            </w:r>
          </w:p>
        </w:tc>
        <w:tc>
          <w:tcPr>
            <w:tcW w:w="4063" w:type="pct"/>
            <w:gridSpan w:val="2"/>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非期货公司会员及客户最大单边持仓（手）</w:t>
            </w:r>
          </w:p>
        </w:tc>
      </w:tr>
      <w:tr w:rsidR="00E06512" w:rsidTr="00A75CC6">
        <w:trPr>
          <w:jc w:val="center"/>
        </w:trPr>
        <w:tc>
          <w:tcPr>
            <w:tcW w:w="937" w:type="pct"/>
            <w:vMerge/>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p>
        </w:tc>
        <w:tc>
          <w:tcPr>
            <w:tcW w:w="2050"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自挂牌至交割月前二个月最后一个日历日期间的交易日</w:t>
            </w:r>
          </w:p>
        </w:tc>
        <w:tc>
          <w:tcPr>
            <w:tcW w:w="2012"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自交割月前一个月第一个日历日至交割月前一个月第15个日历日期间的交易日</w:t>
            </w:r>
          </w:p>
        </w:tc>
      </w:tr>
      <w:tr w:rsidR="00E06512" w:rsidTr="00A75CC6">
        <w:trPr>
          <w:jc w:val="center"/>
        </w:trPr>
        <w:tc>
          <w:tcPr>
            <w:tcW w:w="937"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kern w:val="0"/>
                <w:sz w:val="24"/>
                <w:szCs w:val="21"/>
              </w:rPr>
            </w:pPr>
            <w:r>
              <w:rPr>
                <w:rFonts w:ascii="宋体" w:hAnsi="宋体" w:cs="楷体_GB2312" w:hint="eastAsia"/>
                <w:dstrike/>
                <w:kern w:val="0"/>
                <w:sz w:val="24"/>
                <w:szCs w:val="21"/>
              </w:rPr>
              <w:t>动力煤</w:t>
            </w:r>
          </w:p>
        </w:tc>
        <w:tc>
          <w:tcPr>
            <w:tcW w:w="2050"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kern w:val="0"/>
                <w:sz w:val="24"/>
                <w:szCs w:val="21"/>
              </w:rPr>
            </w:pPr>
            <w:r>
              <w:rPr>
                <w:rFonts w:ascii="宋体" w:hAnsi="宋体" w:cs="楷体_GB2312" w:hint="eastAsia"/>
                <w:dstrike/>
                <w:kern w:val="0"/>
                <w:sz w:val="24"/>
                <w:szCs w:val="21"/>
              </w:rPr>
              <w:t>10000</w:t>
            </w:r>
          </w:p>
        </w:tc>
        <w:tc>
          <w:tcPr>
            <w:tcW w:w="2012"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kern w:val="0"/>
                <w:sz w:val="24"/>
                <w:szCs w:val="21"/>
              </w:rPr>
            </w:pPr>
            <w:r>
              <w:rPr>
                <w:rFonts w:ascii="宋体" w:hAnsi="宋体" w:cs="楷体_GB2312" w:hint="eastAsia"/>
                <w:dstrike/>
                <w:kern w:val="0"/>
                <w:sz w:val="24"/>
                <w:szCs w:val="21"/>
              </w:rPr>
              <w:t>3000</w:t>
            </w:r>
          </w:p>
        </w:tc>
      </w:tr>
      <w:tr w:rsidR="00E06512" w:rsidTr="00A75CC6">
        <w:trPr>
          <w:jc w:val="center"/>
        </w:trPr>
        <w:tc>
          <w:tcPr>
            <w:tcW w:w="937"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kern w:val="0"/>
                <w:sz w:val="24"/>
                <w:szCs w:val="21"/>
              </w:rPr>
            </w:pPr>
            <w:r>
              <w:rPr>
                <w:rFonts w:ascii="宋体" w:hAnsi="宋体" w:cs="楷体_GB2312" w:hint="eastAsia"/>
                <w:dstrike/>
                <w:kern w:val="0"/>
                <w:sz w:val="24"/>
                <w:szCs w:val="21"/>
              </w:rPr>
              <w:t>红枣</w:t>
            </w:r>
          </w:p>
        </w:tc>
        <w:tc>
          <w:tcPr>
            <w:tcW w:w="2050"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kern w:val="0"/>
                <w:sz w:val="24"/>
                <w:szCs w:val="21"/>
              </w:rPr>
            </w:pPr>
            <w:r>
              <w:rPr>
                <w:rFonts w:ascii="宋体" w:hAnsi="宋体" w:cs="楷体_GB2312" w:hint="eastAsia"/>
                <w:dstrike/>
                <w:color w:val="000000"/>
                <w:kern w:val="0"/>
                <w:sz w:val="24"/>
                <w:szCs w:val="21"/>
              </w:rPr>
              <w:t>600</w:t>
            </w:r>
          </w:p>
        </w:tc>
        <w:tc>
          <w:tcPr>
            <w:tcW w:w="2012" w:type="pct"/>
            <w:tcBorders>
              <w:top w:val="single" w:sz="4" w:space="0" w:color="auto"/>
              <w:left w:val="single" w:sz="4" w:space="0" w:color="auto"/>
              <w:bottom w:val="single" w:sz="4" w:space="0" w:color="auto"/>
              <w:right w:val="single" w:sz="4" w:space="0" w:color="auto"/>
            </w:tcBorders>
            <w:vAlign w:val="center"/>
          </w:tcPr>
          <w:p w:rsidR="00E06512" w:rsidRDefault="00E06512" w:rsidP="00A75CC6">
            <w:pPr>
              <w:jc w:val="center"/>
              <w:rPr>
                <w:rFonts w:ascii="宋体" w:hAnsi="宋体" w:cs="楷体_GB2312"/>
                <w:dstrike/>
                <w:kern w:val="0"/>
                <w:sz w:val="24"/>
                <w:szCs w:val="21"/>
              </w:rPr>
            </w:pPr>
            <w:r>
              <w:rPr>
                <w:rFonts w:ascii="宋体" w:hAnsi="宋体" w:cs="楷体_GB2312" w:hint="eastAsia"/>
                <w:dstrike/>
                <w:color w:val="000000"/>
                <w:kern w:val="0"/>
                <w:sz w:val="24"/>
                <w:szCs w:val="21"/>
              </w:rPr>
              <w:t>200</w:t>
            </w:r>
          </w:p>
        </w:tc>
      </w:tr>
    </w:tbl>
    <w:p w:rsidR="00E06512" w:rsidRDefault="00E06512" w:rsidP="00E06512">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2"/>
        <w:gridCol w:w="3451"/>
      </w:tblGrid>
      <w:tr w:rsidR="00E06512" w:rsidTr="00A75CC6">
        <w:trPr>
          <w:trHeight w:val="285"/>
        </w:trPr>
        <w:tc>
          <w:tcPr>
            <w:tcW w:w="1061" w:type="pct"/>
            <w:vMerge w:val="restar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品种</w:t>
            </w:r>
          </w:p>
        </w:tc>
        <w:tc>
          <w:tcPr>
            <w:tcW w:w="3939" w:type="pct"/>
            <w:gridSpan w:val="2"/>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非期货公司会员及客户最大单边持仓（手）</w:t>
            </w:r>
          </w:p>
        </w:tc>
      </w:tr>
      <w:tr w:rsidR="00E06512" w:rsidTr="00A75CC6">
        <w:trPr>
          <w:trHeight w:val="285"/>
        </w:trPr>
        <w:tc>
          <w:tcPr>
            <w:tcW w:w="1061" w:type="pct"/>
            <w:vMerge/>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1914" w:type="pct"/>
            <w:vMerge w:val="restar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交割月前一个月第</w:t>
            </w:r>
            <w:r>
              <w:rPr>
                <w:rFonts w:ascii="宋体" w:hAnsi="宋体" w:cs="楷体_GB2312"/>
                <w:dstrike/>
                <w:color w:val="000000"/>
                <w:kern w:val="0"/>
                <w:sz w:val="24"/>
              </w:rPr>
              <w:t>16个日历日至交割月前一个月最后一个日历日期间的交易日</w:t>
            </w:r>
          </w:p>
        </w:tc>
        <w:tc>
          <w:tcPr>
            <w:tcW w:w="2025" w:type="pct"/>
            <w:tcBorders>
              <w:bottom w:val="nil"/>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交割月份</w:t>
            </w:r>
          </w:p>
        </w:tc>
      </w:tr>
      <w:tr w:rsidR="00E06512" w:rsidTr="00A75CC6">
        <w:trPr>
          <w:trHeight w:val="300"/>
        </w:trPr>
        <w:tc>
          <w:tcPr>
            <w:tcW w:w="1061" w:type="pct"/>
            <w:vMerge/>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1914" w:type="pct"/>
            <w:vMerge/>
            <w:vAlign w:val="center"/>
          </w:tcPr>
          <w:p w:rsidR="00E06512" w:rsidRDefault="00E06512" w:rsidP="00A75CC6">
            <w:pPr>
              <w:keepNext/>
              <w:keepLines/>
              <w:spacing w:before="340" w:after="330" w:line="578" w:lineRule="auto"/>
              <w:ind w:firstLineChars="95" w:firstLine="228"/>
              <w:jc w:val="center"/>
              <w:rPr>
                <w:rFonts w:ascii="宋体" w:hAnsi="宋体" w:cs="楷体_GB2312"/>
                <w:dstrike/>
                <w:color w:val="000000"/>
                <w:kern w:val="0"/>
                <w:sz w:val="24"/>
              </w:rPr>
            </w:pPr>
          </w:p>
        </w:tc>
        <w:tc>
          <w:tcPr>
            <w:tcW w:w="2025" w:type="pct"/>
            <w:tcBorders>
              <w:top w:val="nil"/>
            </w:tcBorders>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（自然人客户限仓为</w:t>
            </w:r>
            <w:r>
              <w:rPr>
                <w:rFonts w:ascii="宋体" w:hAnsi="宋体" w:cs="楷体_GB2312"/>
                <w:dstrike/>
                <w:color w:val="000000"/>
                <w:kern w:val="0"/>
                <w:sz w:val="24"/>
              </w:rPr>
              <w:t>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普麦</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600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强麦</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棉花</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4000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800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白糖</w:t>
            </w:r>
          </w:p>
        </w:tc>
        <w:tc>
          <w:tcPr>
            <w:tcW w:w="1914" w:type="pct"/>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6000</w:t>
            </w:r>
          </w:p>
        </w:tc>
        <w:tc>
          <w:tcPr>
            <w:tcW w:w="2025" w:type="pct"/>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PTA</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菜油</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早籼稻</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400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甲醇</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玻璃</w:t>
            </w:r>
          </w:p>
        </w:tc>
        <w:tc>
          <w:tcPr>
            <w:tcW w:w="1914" w:type="pct"/>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5000</w:t>
            </w:r>
          </w:p>
        </w:tc>
        <w:tc>
          <w:tcPr>
            <w:tcW w:w="2025" w:type="pct"/>
            <w:shd w:val="clear" w:color="auto" w:fill="auto"/>
            <w:noWrap/>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lastRenderedPageBreak/>
              <w:t>菜籽</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菜粕</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动力煤</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1000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400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粳稻</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晚籼稻</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3000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硅铁</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锰硅</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棉纱</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500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100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苹果</w:t>
            </w:r>
          </w:p>
        </w:tc>
        <w:tc>
          <w:tcPr>
            <w:tcW w:w="1914"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200</w:t>
            </w:r>
          </w:p>
        </w:tc>
        <w:tc>
          <w:tcPr>
            <w:tcW w:w="2025"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dstrike/>
                <w:color w:val="000000"/>
                <w:kern w:val="0"/>
                <w:sz w:val="24"/>
              </w:rPr>
              <w:t>20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红枣</w:t>
            </w:r>
          </w:p>
        </w:tc>
        <w:tc>
          <w:tcPr>
            <w:tcW w:w="1914" w:type="pct"/>
            <w:shd w:val="clear" w:color="auto" w:fill="auto"/>
            <w:vAlign w:val="center"/>
          </w:tcPr>
          <w:p w:rsidR="00E06512" w:rsidRDefault="00E06512" w:rsidP="00A75CC6">
            <w:pPr>
              <w:jc w:val="center"/>
              <w:rPr>
                <w:rFonts w:ascii="宋体" w:hAnsi="宋体" w:cs="楷体_GB2312"/>
                <w:dstrike/>
                <w:kern w:val="0"/>
                <w:sz w:val="24"/>
              </w:rPr>
            </w:pPr>
            <w:r>
              <w:rPr>
                <w:rFonts w:ascii="宋体" w:hAnsi="宋体" w:cs="楷体_GB2312"/>
                <w:dstrike/>
                <w:kern w:val="0"/>
                <w:sz w:val="24"/>
              </w:rPr>
              <w:t>40</w:t>
            </w:r>
          </w:p>
        </w:tc>
        <w:tc>
          <w:tcPr>
            <w:tcW w:w="2025" w:type="pct"/>
            <w:shd w:val="clear" w:color="auto" w:fill="auto"/>
            <w:vAlign w:val="center"/>
          </w:tcPr>
          <w:p w:rsidR="00E06512" w:rsidRDefault="00E06512" w:rsidP="00A75CC6">
            <w:pPr>
              <w:jc w:val="center"/>
              <w:rPr>
                <w:rFonts w:ascii="宋体" w:hAnsi="宋体" w:cs="楷体_GB2312"/>
                <w:dstrike/>
                <w:kern w:val="0"/>
                <w:sz w:val="24"/>
              </w:rPr>
            </w:pPr>
            <w:r>
              <w:rPr>
                <w:rFonts w:ascii="宋体" w:hAnsi="宋体" w:cs="楷体_GB2312"/>
                <w:dstrike/>
                <w:kern w:val="0"/>
                <w:sz w:val="24"/>
              </w:rPr>
              <w:t>10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尿素</w:t>
            </w:r>
          </w:p>
        </w:tc>
        <w:tc>
          <w:tcPr>
            <w:tcW w:w="1914" w:type="pct"/>
            <w:shd w:val="clear" w:color="auto" w:fill="auto"/>
            <w:vAlign w:val="center"/>
          </w:tcPr>
          <w:p w:rsidR="00E06512" w:rsidRDefault="00E06512" w:rsidP="00A75CC6">
            <w:pPr>
              <w:jc w:val="center"/>
              <w:rPr>
                <w:rFonts w:ascii="宋体" w:hAnsi="宋体" w:cs="楷体_GB2312"/>
                <w:dstrike/>
                <w:kern w:val="0"/>
                <w:sz w:val="24"/>
              </w:rPr>
            </w:pPr>
            <w:r>
              <w:rPr>
                <w:rFonts w:ascii="宋体" w:hAnsi="宋体" w:cs="楷体_GB2312"/>
                <w:dstrike/>
                <w:kern w:val="0"/>
                <w:sz w:val="24"/>
              </w:rPr>
              <w:t>3000</w:t>
            </w:r>
          </w:p>
        </w:tc>
        <w:tc>
          <w:tcPr>
            <w:tcW w:w="2025" w:type="pct"/>
            <w:shd w:val="clear" w:color="auto" w:fill="auto"/>
            <w:vAlign w:val="center"/>
          </w:tcPr>
          <w:p w:rsidR="00E06512" w:rsidRDefault="00E06512" w:rsidP="00A75CC6">
            <w:pPr>
              <w:jc w:val="center"/>
              <w:rPr>
                <w:rFonts w:ascii="宋体" w:hAnsi="宋体" w:cs="楷体_GB2312"/>
                <w:dstrike/>
                <w:kern w:val="0"/>
                <w:sz w:val="24"/>
              </w:rPr>
            </w:pPr>
            <w:r>
              <w:rPr>
                <w:rFonts w:ascii="宋体" w:hAnsi="宋体" w:cs="楷体_GB2312"/>
                <w:dstrike/>
                <w:kern w:val="0"/>
                <w:sz w:val="24"/>
              </w:rPr>
              <w:t>1000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纯碱</w:t>
            </w:r>
          </w:p>
        </w:tc>
        <w:tc>
          <w:tcPr>
            <w:tcW w:w="1914" w:type="pct"/>
            <w:shd w:val="clear" w:color="auto" w:fill="auto"/>
            <w:vAlign w:val="center"/>
          </w:tcPr>
          <w:p w:rsidR="00E06512" w:rsidRDefault="00E06512" w:rsidP="00A75CC6">
            <w:pPr>
              <w:jc w:val="center"/>
              <w:rPr>
                <w:rFonts w:ascii="宋体" w:hAnsi="宋体" w:cs="楷体_GB2312"/>
                <w:dstrike/>
                <w:kern w:val="0"/>
                <w:sz w:val="24"/>
              </w:rPr>
            </w:pPr>
            <w:r>
              <w:rPr>
                <w:rFonts w:ascii="宋体" w:hAnsi="宋体" w:cs="楷体_GB2312"/>
                <w:dstrike/>
                <w:kern w:val="0"/>
                <w:sz w:val="24"/>
              </w:rPr>
              <w:t>4000</w:t>
            </w:r>
          </w:p>
        </w:tc>
        <w:tc>
          <w:tcPr>
            <w:tcW w:w="2025" w:type="pct"/>
            <w:shd w:val="clear" w:color="auto" w:fill="auto"/>
            <w:vAlign w:val="center"/>
          </w:tcPr>
          <w:p w:rsidR="00E06512" w:rsidRDefault="00E06512" w:rsidP="00A75CC6">
            <w:pPr>
              <w:jc w:val="center"/>
              <w:rPr>
                <w:rFonts w:ascii="宋体" w:hAnsi="宋体" w:cs="楷体_GB2312"/>
                <w:dstrike/>
                <w:kern w:val="0"/>
                <w:sz w:val="24"/>
              </w:rPr>
            </w:pPr>
            <w:r>
              <w:rPr>
                <w:rFonts w:ascii="宋体" w:hAnsi="宋体" w:cs="楷体_GB2312"/>
                <w:dstrike/>
                <w:kern w:val="0"/>
                <w:sz w:val="24"/>
              </w:rPr>
              <w:t>800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短纤</w:t>
            </w:r>
          </w:p>
        </w:tc>
        <w:tc>
          <w:tcPr>
            <w:tcW w:w="1914" w:type="pct"/>
            <w:shd w:val="clear" w:color="auto" w:fill="auto"/>
            <w:vAlign w:val="center"/>
          </w:tcPr>
          <w:p w:rsidR="00E06512" w:rsidRDefault="00E06512" w:rsidP="00A75CC6">
            <w:pPr>
              <w:snapToGrid w:val="0"/>
              <w:jc w:val="center"/>
              <w:rPr>
                <w:rFonts w:ascii="宋体" w:hAnsi="宋体" w:cs="楷体_GB2312"/>
                <w:dstrike/>
                <w:color w:val="000000"/>
                <w:kern w:val="0"/>
                <w:sz w:val="24"/>
              </w:rPr>
            </w:pPr>
            <w:r>
              <w:rPr>
                <w:rFonts w:ascii="宋体" w:hAnsi="宋体" w:cs="楷体_GB2312"/>
                <w:dstrike/>
                <w:color w:val="000000"/>
                <w:kern w:val="0"/>
                <w:sz w:val="24"/>
              </w:rPr>
              <w:t>1500</w:t>
            </w:r>
          </w:p>
        </w:tc>
        <w:tc>
          <w:tcPr>
            <w:tcW w:w="2025" w:type="pct"/>
            <w:shd w:val="clear" w:color="auto" w:fill="auto"/>
            <w:vAlign w:val="center"/>
          </w:tcPr>
          <w:p w:rsidR="00E06512" w:rsidRDefault="00E06512" w:rsidP="00A75CC6">
            <w:pPr>
              <w:snapToGrid w:val="0"/>
              <w:jc w:val="center"/>
              <w:rPr>
                <w:rFonts w:ascii="宋体" w:hAnsi="宋体" w:cs="楷体_GB2312"/>
                <w:dstrike/>
                <w:color w:val="000000"/>
                <w:kern w:val="0"/>
                <w:sz w:val="24"/>
              </w:rPr>
            </w:pPr>
            <w:r>
              <w:rPr>
                <w:rFonts w:ascii="宋体" w:hAnsi="宋体" w:cs="楷体_GB2312"/>
                <w:dstrike/>
                <w:color w:val="000000"/>
                <w:kern w:val="0"/>
                <w:sz w:val="24"/>
              </w:rPr>
              <w:t>300</w:t>
            </w:r>
          </w:p>
        </w:tc>
      </w:tr>
      <w:tr w:rsidR="00E06512" w:rsidTr="00A75CC6">
        <w:trPr>
          <w:trHeight w:val="300"/>
        </w:trPr>
        <w:tc>
          <w:tcPr>
            <w:tcW w:w="1061" w:type="pct"/>
            <w:shd w:val="clear" w:color="auto" w:fill="auto"/>
            <w:vAlign w:val="center"/>
          </w:tcPr>
          <w:p w:rsidR="00E06512" w:rsidRDefault="00E06512" w:rsidP="00A75CC6">
            <w:pPr>
              <w:jc w:val="center"/>
              <w:rPr>
                <w:rFonts w:ascii="宋体" w:hAnsi="宋体" w:cs="楷体_GB2312"/>
                <w:dstrike/>
                <w:color w:val="000000"/>
                <w:kern w:val="0"/>
                <w:sz w:val="24"/>
              </w:rPr>
            </w:pPr>
            <w:r>
              <w:rPr>
                <w:rFonts w:ascii="宋体" w:hAnsi="宋体" w:cs="楷体_GB2312" w:hint="eastAsia"/>
                <w:dstrike/>
                <w:color w:val="000000"/>
                <w:kern w:val="0"/>
                <w:sz w:val="24"/>
              </w:rPr>
              <w:t>花生</w:t>
            </w:r>
          </w:p>
        </w:tc>
        <w:tc>
          <w:tcPr>
            <w:tcW w:w="1914" w:type="pct"/>
            <w:shd w:val="clear" w:color="auto" w:fill="auto"/>
            <w:vAlign w:val="center"/>
          </w:tcPr>
          <w:p w:rsidR="00E06512" w:rsidRDefault="00E06512" w:rsidP="00A75CC6">
            <w:pPr>
              <w:snapToGrid w:val="0"/>
              <w:jc w:val="center"/>
              <w:rPr>
                <w:rFonts w:ascii="宋体" w:hAnsi="宋体" w:cs="楷体_GB2312"/>
                <w:dstrike/>
                <w:color w:val="000000"/>
                <w:kern w:val="0"/>
                <w:sz w:val="24"/>
              </w:rPr>
            </w:pPr>
            <w:r>
              <w:rPr>
                <w:rFonts w:ascii="宋体" w:hAnsi="宋体" w:cs="楷体_GB2312"/>
                <w:dstrike/>
                <w:color w:val="000000"/>
                <w:kern w:val="0"/>
                <w:sz w:val="24"/>
              </w:rPr>
              <w:t>500</w:t>
            </w:r>
          </w:p>
        </w:tc>
        <w:tc>
          <w:tcPr>
            <w:tcW w:w="2025" w:type="pct"/>
            <w:shd w:val="clear" w:color="auto" w:fill="auto"/>
            <w:vAlign w:val="center"/>
          </w:tcPr>
          <w:p w:rsidR="00E06512" w:rsidRDefault="00E06512" w:rsidP="00A75CC6">
            <w:pPr>
              <w:snapToGrid w:val="0"/>
              <w:jc w:val="center"/>
              <w:rPr>
                <w:rFonts w:ascii="宋体" w:hAnsi="宋体" w:cs="楷体_GB2312"/>
                <w:dstrike/>
                <w:color w:val="000000"/>
                <w:kern w:val="0"/>
                <w:sz w:val="24"/>
              </w:rPr>
            </w:pPr>
            <w:r>
              <w:rPr>
                <w:rFonts w:ascii="宋体" w:hAnsi="宋体" w:cs="楷体_GB2312"/>
                <w:dstrike/>
                <w:color w:val="000000"/>
                <w:kern w:val="0"/>
                <w:sz w:val="24"/>
              </w:rPr>
              <w:t>100</w:t>
            </w:r>
          </w:p>
        </w:tc>
      </w:tr>
    </w:tbl>
    <w:p w:rsidR="00E06512" w:rsidRDefault="00E06512" w:rsidP="00E06512">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不得交割的客户具体见《郑州商品交易所期货交割细则》相关规定。</w:t>
      </w:r>
    </w:p>
    <w:p w:rsidR="00E06512" w:rsidRDefault="00E06512" w:rsidP="00E06512">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t>……</w:t>
      </w:r>
    </w:p>
    <w:p w:rsidR="00E06512" w:rsidRDefault="00E06512" w:rsidP="00E06512">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第三十八</w:t>
      </w:r>
      <w:r>
        <w:rPr>
          <w:rFonts w:ascii="宋体" w:eastAsia="黑体" w:hAnsi="宋体" w:cs="宋体" w:hint="eastAsia"/>
          <w:dstrike/>
          <w:kern w:val="0"/>
          <w:sz w:val="28"/>
          <w:szCs w:val="28"/>
        </w:rPr>
        <w:t>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交易所实施强行平仓，应当通知会员，会员应当通知客户。</w:t>
      </w:r>
    </w:p>
    <w:p w:rsidR="00E06512" w:rsidRDefault="00E06512" w:rsidP="00E06512">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属第三十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条第（一）、（二）、（三）项情况的，以交易所提供的结算结果为通知依据；属第三十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条第（四）、（五）、（六）项情况的，交易所向有关会员下达《强行平仓通知书》。</w:t>
      </w:r>
    </w:p>
    <w:p w:rsidR="00E06512" w:rsidRDefault="00E06512" w:rsidP="00E06512">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第三十九</w:t>
      </w:r>
      <w:r>
        <w:rPr>
          <w:rFonts w:ascii="宋体" w:eastAsia="黑体" w:hAnsi="宋体" w:cs="宋体" w:hint="eastAsia"/>
          <w:dstrike/>
          <w:kern w:val="0"/>
          <w:sz w:val="28"/>
          <w:szCs w:val="28"/>
        </w:rPr>
        <w:t>四十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会员未在规定时间内自行平仓完毕的，剩余部分由交易所按第三十</w:t>
      </w:r>
      <w:r>
        <w:rPr>
          <w:rFonts w:ascii="宋体" w:hAnsi="宋体" w:cs="宋体" w:hint="eastAsia"/>
          <w:b/>
          <w:kern w:val="0"/>
          <w:sz w:val="28"/>
          <w:szCs w:val="28"/>
        </w:rPr>
        <w:t>七</w:t>
      </w:r>
      <w:r>
        <w:rPr>
          <w:rFonts w:ascii="宋体" w:hAnsi="宋体" w:cs="宋体" w:hint="eastAsia"/>
          <w:dstrike/>
          <w:kern w:val="0"/>
          <w:sz w:val="28"/>
          <w:szCs w:val="28"/>
        </w:rPr>
        <w:t>八</w:t>
      </w:r>
      <w:r>
        <w:rPr>
          <w:rFonts w:ascii="宋体" w:hAnsi="宋体" w:cs="宋体" w:hint="eastAsia"/>
          <w:kern w:val="0"/>
          <w:sz w:val="28"/>
          <w:szCs w:val="28"/>
        </w:rPr>
        <w:t>条所确定的原则以市场价对会员直接执行强行平仓。</w:t>
      </w:r>
    </w:p>
    <w:p w:rsidR="00E06512" w:rsidRDefault="00E06512" w:rsidP="00E06512">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交易所强行平仓完毕后，应当将强行平仓结果随当日成交记录向会员发送，并将强行平仓记录予以存档。</w:t>
      </w:r>
    </w:p>
    <w:p w:rsidR="00E06512" w:rsidRDefault="00E06512" w:rsidP="00E06512">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强行平仓的价格通过市场交易形成。</w:t>
      </w:r>
    </w:p>
    <w:p w:rsidR="00E06512" w:rsidRDefault="00E06512" w:rsidP="00E06512">
      <w:pPr>
        <w:snapToGrid w:val="0"/>
        <w:spacing w:before="240" w:line="360" w:lineRule="auto"/>
        <w:ind w:firstLineChars="200" w:firstLine="560"/>
        <w:rPr>
          <w:rFonts w:ascii="宋体" w:eastAsia="黑体" w:hAnsi="宋体" w:cs="宋体"/>
          <w:kern w:val="0"/>
          <w:sz w:val="28"/>
          <w:szCs w:val="28"/>
        </w:rPr>
      </w:pPr>
      <w:r>
        <w:rPr>
          <w:rFonts w:ascii="宋体" w:eastAsia="黑体" w:hAnsi="宋体" w:cs="宋体"/>
          <w:kern w:val="0"/>
          <w:sz w:val="28"/>
          <w:szCs w:val="28"/>
        </w:rPr>
        <w:lastRenderedPageBreak/>
        <w:t>……</w:t>
      </w:r>
    </w:p>
    <w:p w:rsidR="00E06512" w:rsidRDefault="00E06512" w:rsidP="00E06512">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第四十二</w:t>
      </w:r>
      <w:r>
        <w:rPr>
          <w:rFonts w:ascii="宋体" w:eastAsia="黑体" w:hAnsi="宋体" w:cs="宋体" w:hint="eastAsia"/>
          <w:dstrike/>
          <w:kern w:val="0"/>
          <w:sz w:val="28"/>
          <w:szCs w:val="28"/>
        </w:rPr>
        <w:t>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除第三十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E06512" w:rsidRDefault="00E06512" w:rsidP="00E06512">
      <w:pPr>
        <w:spacing w:line="360" w:lineRule="auto"/>
        <w:ind w:firstLineChars="200" w:firstLine="560"/>
        <w:rPr>
          <w:rFonts w:ascii="宋体" w:eastAsia="黑体" w:hAnsi="宋体" w:cs="宋体"/>
          <w:kern w:val="0"/>
          <w:sz w:val="32"/>
          <w:szCs w:val="28"/>
        </w:rPr>
      </w:pPr>
      <w:r>
        <w:rPr>
          <w:rFonts w:ascii="宋体" w:hAnsi="宋体" w:cs="宋体" w:hint="eastAsia"/>
          <w:kern w:val="0"/>
          <w:sz w:val="28"/>
          <w:szCs w:val="28"/>
        </w:rPr>
        <w:t>本办法第三十</w:t>
      </w:r>
      <w:r>
        <w:rPr>
          <w:rFonts w:ascii="宋体" w:hAnsi="宋体" w:cs="宋体" w:hint="eastAsia"/>
          <w:b/>
          <w:kern w:val="0"/>
          <w:sz w:val="28"/>
          <w:szCs w:val="28"/>
        </w:rPr>
        <w:t>六</w:t>
      </w:r>
      <w:r>
        <w:rPr>
          <w:rFonts w:ascii="宋体" w:hAnsi="宋体" w:cs="宋体" w:hint="eastAsia"/>
          <w:dstrike/>
          <w:kern w:val="0"/>
          <w:sz w:val="28"/>
          <w:szCs w:val="28"/>
        </w:rPr>
        <w:t>七</w:t>
      </w:r>
      <w:r>
        <w:rPr>
          <w:rFonts w:ascii="宋体" w:hAnsi="宋体" w:cs="宋体" w:hint="eastAsia"/>
          <w:kern w:val="0"/>
          <w:sz w:val="28"/>
          <w:szCs w:val="28"/>
        </w:rPr>
        <w:t>条第（四）项实施的强行平仓，亏损由持仓人承担，盈利按国家有关规定执行。</w:t>
      </w:r>
    </w:p>
    <w:p w:rsidR="00E06512" w:rsidRPr="006D10AB" w:rsidRDefault="00E06512" w:rsidP="00E06512">
      <w:pPr>
        <w:snapToGrid w:val="0"/>
        <w:spacing w:before="240" w:line="360" w:lineRule="auto"/>
        <w:ind w:firstLineChars="200" w:firstLine="560"/>
        <w:rPr>
          <w:rFonts w:ascii="宋体" w:hAnsi="宋体" w:cs="宋体"/>
          <w:kern w:val="0"/>
          <w:sz w:val="28"/>
          <w:szCs w:val="28"/>
        </w:rPr>
      </w:pPr>
      <w:r>
        <w:rPr>
          <w:rFonts w:ascii="宋体" w:eastAsia="黑体" w:hAnsi="宋体" w:cs="宋体"/>
          <w:kern w:val="0"/>
          <w:sz w:val="28"/>
          <w:szCs w:val="28"/>
        </w:rPr>
        <w:t>……</w:t>
      </w:r>
    </w:p>
    <w:p w:rsidR="00E06512" w:rsidRDefault="00E06512" w:rsidP="00E06512">
      <w:pPr>
        <w:adjustRightInd w:val="0"/>
        <w:snapToGrid w:val="0"/>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第五十二条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有关夜盘交易相关的风险控制业务，《郑州商品交易所夜盘交易细则》有特殊规定的，从其规定。</w:t>
      </w:r>
    </w:p>
    <w:p w:rsidR="00E06512" w:rsidRPr="00BC71CB" w:rsidRDefault="00E06512" w:rsidP="00E06512"/>
    <w:p w:rsidR="00E06512" w:rsidRPr="000E43AD" w:rsidRDefault="00E06512" w:rsidP="00E06512">
      <w:pPr>
        <w:rPr>
          <w:rFonts w:ascii="黑体" w:eastAsia="黑体" w:hAnsi="黑体"/>
          <w:sz w:val="32"/>
          <w:szCs w:val="32"/>
        </w:rPr>
        <w:sectPr w:rsidR="00E06512" w:rsidRPr="000E43AD">
          <w:pgSz w:w="11906" w:h="16838"/>
          <w:pgMar w:top="1440" w:right="1800" w:bottom="1440" w:left="1800" w:header="851" w:footer="992" w:gutter="0"/>
          <w:cols w:space="425"/>
          <w:docGrid w:type="lines" w:linePitch="312"/>
        </w:sectPr>
      </w:pPr>
    </w:p>
    <w:p w:rsidR="00E06512" w:rsidRDefault="00E06512" w:rsidP="00E06512">
      <w:pPr>
        <w:rPr>
          <w:b/>
          <w:kern w:val="44"/>
          <w:sz w:val="44"/>
          <w:szCs w:val="44"/>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3</w:t>
      </w:r>
    </w:p>
    <w:p w:rsidR="00E06512" w:rsidRDefault="00E06512" w:rsidP="00E06512">
      <w:pPr>
        <w:jc w:val="center"/>
        <w:rPr>
          <w:rFonts w:ascii="Calibri" w:hAnsi="Calibri"/>
          <w:b/>
          <w:kern w:val="44"/>
          <w:sz w:val="44"/>
          <w:szCs w:val="44"/>
        </w:rPr>
      </w:pPr>
      <w:r>
        <w:rPr>
          <w:rFonts w:hint="eastAsia"/>
          <w:b/>
          <w:kern w:val="44"/>
          <w:sz w:val="44"/>
          <w:szCs w:val="44"/>
        </w:rPr>
        <w:t>郑州商品交易所指定商品交割仓库管理办法（优化草案）</w:t>
      </w:r>
    </w:p>
    <w:p w:rsidR="00E06512" w:rsidRDefault="00E06512" w:rsidP="00E06512">
      <w:pPr>
        <w:snapToGrid w:val="0"/>
        <w:spacing w:line="360" w:lineRule="auto"/>
        <w:ind w:firstLineChars="200" w:firstLine="640"/>
        <w:jc w:val="left"/>
        <w:rPr>
          <w:rFonts w:ascii="黑体" w:eastAsia="黑体" w:hAnsi="黑体"/>
          <w:sz w:val="32"/>
          <w:szCs w:val="32"/>
        </w:rPr>
      </w:pP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申请成为交割仓库应当具备以下条件：</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（一）依法持有企业法人营业执照或事业单位法人登记证书,营业范围应当载明“仓储”或“储运”等业务；</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（二）净资产、注册资本及注册资本实缴金额应当达到交易所要求的数额；</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（三）财务状况良好，具有较强的抗风险能力；</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（四）具有良好的商业信誉，完善的仓储管理规章制度，近期未发现严重违法违规行为、严重失信行为、重大安全事故、被取消交割仓库资格的记录；</w:t>
      </w:r>
    </w:p>
    <w:p w:rsidR="00E06512" w:rsidRPr="00917558" w:rsidRDefault="00E06512" w:rsidP="00E06512">
      <w:pPr>
        <w:snapToGrid w:val="0"/>
        <w:spacing w:line="360" w:lineRule="auto"/>
        <w:ind w:firstLineChars="200" w:firstLine="544"/>
        <w:rPr>
          <w:rFonts w:ascii="宋体" w:hAnsi="宋体" w:cs="Arial"/>
          <w:color w:val="000000"/>
          <w:spacing w:val="-4"/>
          <w:sz w:val="28"/>
          <w:szCs w:val="32"/>
        </w:rPr>
      </w:pPr>
      <w:r w:rsidRPr="00917558">
        <w:rPr>
          <w:rFonts w:ascii="宋体" w:hAnsi="宋体" w:cs="Arial" w:hint="eastAsia"/>
          <w:color w:val="000000"/>
          <w:spacing w:val="-4"/>
          <w:sz w:val="28"/>
          <w:szCs w:val="32"/>
        </w:rPr>
        <w:t>（五）承认并遵守</w:t>
      </w:r>
      <w:r w:rsidRPr="00286EA3">
        <w:rPr>
          <w:rFonts w:ascii="宋体" w:hAnsi="宋体" w:cs="Arial" w:hint="eastAsia"/>
          <w:color w:val="000000"/>
          <w:spacing w:val="-4"/>
          <w:sz w:val="28"/>
          <w:szCs w:val="32"/>
        </w:rPr>
        <w:t>交易所的</w:t>
      </w:r>
      <w:r>
        <w:rPr>
          <w:rFonts w:ascii="宋体" w:hAnsi="宋体" w:cs="Arial" w:hint="eastAsia"/>
          <w:color w:val="000000"/>
          <w:spacing w:val="-4"/>
          <w:sz w:val="28"/>
          <w:szCs w:val="32"/>
        </w:rPr>
        <w:t>交易规则</w:t>
      </w:r>
      <w:r w:rsidRPr="00286EA3">
        <w:rPr>
          <w:rFonts w:ascii="宋体" w:hAnsi="宋体" w:cs="Arial" w:hint="eastAsia"/>
          <w:color w:val="000000"/>
          <w:spacing w:val="-4"/>
          <w:sz w:val="28"/>
          <w:szCs w:val="32"/>
        </w:rPr>
        <w:t>、</w:t>
      </w:r>
      <w:r w:rsidRPr="00917558">
        <w:rPr>
          <w:rFonts w:ascii="宋体" w:hAnsi="宋体" w:cs="Arial" w:hint="eastAsia"/>
          <w:color w:val="000000"/>
          <w:spacing w:val="-4"/>
          <w:sz w:val="28"/>
          <w:szCs w:val="32"/>
        </w:rPr>
        <w:t>《郑州商品交易所期货交割</w:t>
      </w:r>
      <w:r w:rsidRPr="00454D49">
        <w:rPr>
          <w:rFonts w:ascii="宋体" w:hAnsi="宋体" w:cs="Arial" w:hint="eastAsia"/>
          <w:b/>
          <w:color w:val="000000"/>
          <w:spacing w:val="-4"/>
          <w:sz w:val="28"/>
          <w:szCs w:val="32"/>
        </w:rPr>
        <w:t>管理办法</w:t>
      </w:r>
      <w:r w:rsidRPr="00454D49">
        <w:rPr>
          <w:rFonts w:ascii="宋体" w:hAnsi="宋体" w:cs="Arial" w:hint="eastAsia"/>
          <w:dstrike/>
          <w:color w:val="000000"/>
          <w:spacing w:val="-4"/>
          <w:sz w:val="28"/>
          <w:szCs w:val="32"/>
        </w:rPr>
        <w:t>细则</w:t>
      </w:r>
      <w:r w:rsidRPr="00917558">
        <w:rPr>
          <w:rFonts w:ascii="宋体" w:hAnsi="宋体" w:cs="Arial" w:hint="eastAsia"/>
          <w:color w:val="000000"/>
          <w:spacing w:val="-4"/>
          <w:sz w:val="28"/>
          <w:szCs w:val="32"/>
        </w:rPr>
        <w:t>》（以下简称交割</w:t>
      </w:r>
      <w:r w:rsidRPr="00454D49">
        <w:rPr>
          <w:rFonts w:ascii="宋体" w:hAnsi="宋体" w:cs="Arial" w:hint="eastAsia"/>
          <w:b/>
          <w:color w:val="000000"/>
          <w:spacing w:val="-4"/>
          <w:sz w:val="28"/>
          <w:szCs w:val="32"/>
        </w:rPr>
        <w:t>管理办法</w:t>
      </w:r>
      <w:r w:rsidRPr="00454D49">
        <w:rPr>
          <w:rFonts w:ascii="宋体" w:hAnsi="宋体" w:cs="Arial" w:hint="eastAsia"/>
          <w:dstrike/>
          <w:color w:val="000000"/>
          <w:spacing w:val="-4"/>
          <w:sz w:val="28"/>
          <w:szCs w:val="32"/>
        </w:rPr>
        <w:t>细则</w:t>
      </w:r>
      <w:r w:rsidRPr="00917558">
        <w:rPr>
          <w:rFonts w:ascii="宋体" w:hAnsi="宋体" w:cs="Arial" w:hint="eastAsia"/>
          <w:color w:val="000000"/>
          <w:spacing w:val="-4"/>
          <w:sz w:val="28"/>
          <w:szCs w:val="32"/>
        </w:rPr>
        <w:t>）</w:t>
      </w:r>
      <w:r w:rsidRPr="00EC1E8C">
        <w:rPr>
          <w:rFonts w:ascii="宋体" w:hAnsi="宋体" w:cs="Arial" w:hint="eastAsia"/>
          <w:dstrike/>
          <w:color w:val="000000"/>
          <w:spacing w:val="-4"/>
          <w:sz w:val="28"/>
          <w:szCs w:val="32"/>
        </w:rPr>
        <w:t>、</w:t>
      </w:r>
      <w:r w:rsidRPr="00917558">
        <w:rPr>
          <w:rFonts w:ascii="宋体" w:hAnsi="宋体" w:cs="Arial" w:hint="eastAsia"/>
          <w:color w:val="000000"/>
          <w:spacing w:val="-4"/>
          <w:sz w:val="28"/>
          <w:szCs w:val="32"/>
        </w:rPr>
        <w:t>《郑州商品交易所标准仓单管理办法》（以下简称标准仓单管理办法）</w:t>
      </w:r>
      <w:r w:rsidRPr="00197F0F">
        <w:rPr>
          <w:rFonts w:ascii="宋体" w:hAnsi="宋体" w:cs="Arial" w:hint="eastAsia"/>
          <w:b/>
          <w:color w:val="000000"/>
          <w:spacing w:val="-4"/>
          <w:sz w:val="28"/>
          <w:szCs w:val="32"/>
        </w:rPr>
        <w:t>及各品种期货业务细则</w:t>
      </w:r>
      <w:r w:rsidRPr="00917558">
        <w:rPr>
          <w:rFonts w:ascii="宋体" w:hAnsi="宋体" w:cs="Arial" w:hint="eastAsia"/>
          <w:color w:val="000000"/>
          <w:spacing w:val="-4"/>
          <w:sz w:val="28"/>
          <w:szCs w:val="32"/>
        </w:rPr>
        <w:t>等规定；</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（六）仓库主要管理人员应具有相应交割商品的仓储管理经验；</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（七）有储存相应交割商品的条件，库容有一定规模，仓储、计量设备、设施完好、齐全，符合规定要求；</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（八）有严格、完善的交割商品出入库、储存、管理、检化验等制度；</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（九）交通便利，具有较强的中转、进出装卸能力；</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（十）申请期货保税交割业务的，其开展期货保税交割业务及所涉及的海关特殊监管区域或保税监管场所应当经海关批准；</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lastRenderedPageBreak/>
        <w:t>（十一）满足交易所规定的视频监控、仓储管理等相关系统及其它设施和设备要求；</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（十二）具备符合交割商品仓储保管要求的消防设备、设施和人员等；</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（十三）交易所规定的其他条件。</w:t>
      </w:r>
    </w:p>
    <w:p w:rsidR="00E06512" w:rsidRDefault="00E06512" w:rsidP="00E06512">
      <w:pPr>
        <w:snapToGrid w:val="0"/>
        <w:spacing w:before="240" w:after="240" w:line="360" w:lineRule="auto"/>
        <w:ind w:firstLineChars="200" w:firstLine="544"/>
        <w:jc w:val="left"/>
        <w:rPr>
          <w:rFonts w:ascii="黑体" w:eastAsia="黑体" w:hAnsi="黑体" w:cs="Arial"/>
          <w:color w:val="000000"/>
          <w:spacing w:val="-4"/>
          <w:sz w:val="28"/>
          <w:szCs w:val="32"/>
        </w:rPr>
      </w:pPr>
      <w:r>
        <w:rPr>
          <w:rFonts w:ascii="黑体" w:eastAsia="黑体" w:hAnsi="黑体" w:cs="Arial"/>
          <w:color w:val="000000"/>
          <w:spacing w:val="-4"/>
          <w:sz w:val="28"/>
          <w:szCs w:val="32"/>
        </w:rPr>
        <w:t>……</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第十一条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交割仓库的权利：</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（一）按交易所规定享有向交易所申请标准仓单注册权；</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（二）按交易所审定的收费项目、标准和方法收取有关费用；</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（三）对交易所制定的有关实物交割的规定享有建议权；</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（四）经交易所核准，可以租用库房或场地，存储交割商品；</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w:t>
      </w:r>
      <w:r w:rsidRPr="00840B1E">
        <w:rPr>
          <w:rFonts w:ascii="宋体" w:hAnsi="宋体" w:cs="Arial" w:hint="eastAsia"/>
          <w:color w:val="000000"/>
          <w:spacing w:val="-4"/>
          <w:sz w:val="28"/>
          <w:szCs w:val="32"/>
        </w:rPr>
        <w:t>交易所</w:t>
      </w:r>
      <w:r w:rsidRPr="00917558">
        <w:rPr>
          <w:rFonts w:ascii="宋体" w:hAnsi="宋体" w:cs="Arial" w:hint="eastAsia"/>
          <w:color w:val="000000"/>
          <w:spacing w:val="-4"/>
          <w:sz w:val="28"/>
          <w:szCs w:val="32"/>
        </w:rPr>
        <w:t>交割</w:t>
      </w:r>
      <w:r w:rsidRPr="00454D49">
        <w:rPr>
          <w:rFonts w:ascii="宋体" w:hAnsi="宋体" w:cs="Arial" w:hint="eastAsia"/>
          <w:b/>
          <w:color w:val="000000"/>
          <w:spacing w:val="-4"/>
          <w:sz w:val="28"/>
          <w:szCs w:val="32"/>
        </w:rPr>
        <w:t>管理办法</w:t>
      </w:r>
      <w:r w:rsidRPr="00454D49">
        <w:rPr>
          <w:rFonts w:ascii="宋体" w:hAnsi="宋体" w:cs="Arial" w:hint="eastAsia"/>
          <w:dstrike/>
          <w:color w:val="000000"/>
          <w:spacing w:val="-4"/>
          <w:sz w:val="28"/>
          <w:szCs w:val="32"/>
        </w:rPr>
        <w:t>细则</w:t>
      </w:r>
      <w:r w:rsidRPr="00286EA3">
        <w:rPr>
          <w:rFonts w:ascii="宋体" w:hAnsi="宋体" w:cs="Arial" w:hint="eastAsia"/>
          <w:color w:val="000000"/>
          <w:spacing w:val="-4"/>
          <w:sz w:val="28"/>
          <w:szCs w:val="32"/>
        </w:rPr>
        <w:t>、</w:t>
      </w:r>
      <w:r w:rsidRPr="00917558">
        <w:rPr>
          <w:rFonts w:ascii="宋体" w:hAnsi="宋体" w:cs="Arial" w:hint="eastAsia"/>
          <w:color w:val="000000"/>
          <w:spacing w:val="-4"/>
          <w:sz w:val="28"/>
          <w:szCs w:val="32"/>
        </w:rPr>
        <w:t>标准仓单管理办法</w:t>
      </w:r>
      <w:r>
        <w:rPr>
          <w:rFonts w:ascii="宋体" w:hAnsi="宋体" w:cs="Arial" w:hint="eastAsia"/>
          <w:b/>
          <w:color w:val="000000"/>
          <w:spacing w:val="-4"/>
          <w:sz w:val="28"/>
          <w:szCs w:val="32"/>
        </w:rPr>
        <w:t>、各品种期货业务细则</w:t>
      </w:r>
      <w:r w:rsidRPr="00917558">
        <w:rPr>
          <w:rFonts w:ascii="宋体" w:hAnsi="宋体" w:cs="Arial" w:hint="eastAsia"/>
          <w:color w:val="000000"/>
          <w:spacing w:val="-4"/>
          <w:sz w:val="28"/>
          <w:szCs w:val="32"/>
        </w:rPr>
        <w:t>和交割仓库协议书等规定的其他权利。</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交割仓库的义务：</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（一）遵守</w:t>
      </w:r>
      <w:r w:rsidRPr="00840B1E">
        <w:rPr>
          <w:rFonts w:ascii="宋体" w:hAnsi="宋体" w:cs="Arial" w:hint="eastAsia"/>
          <w:color w:val="000000"/>
          <w:spacing w:val="-4"/>
          <w:sz w:val="28"/>
          <w:szCs w:val="32"/>
        </w:rPr>
        <w:t>交易所</w:t>
      </w:r>
      <w:r w:rsidRPr="00917558">
        <w:rPr>
          <w:rFonts w:ascii="宋体" w:hAnsi="宋体" w:cs="Arial" w:hint="eastAsia"/>
          <w:color w:val="000000"/>
          <w:spacing w:val="-4"/>
          <w:sz w:val="28"/>
          <w:szCs w:val="32"/>
        </w:rPr>
        <w:t>交割</w:t>
      </w:r>
      <w:r w:rsidRPr="00454D49">
        <w:rPr>
          <w:rFonts w:ascii="宋体" w:hAnsi="宋体" w:cs="Arial" w:hint="eastAsia"/>
          <w:dstrike/>
          <w:color w:val="000000"/>
          <w:spacing w:val="-4"/>
          <w:sz w:val="28"/>
          <w:szCs w:val="32"/>
        </w:rPr>
        <w:t>细则</w:t>
      </w:r>
      <w:r w:rsidRPr="00454D49">
        <w:rPr>
          <w:rFonts w:ascii="宋体" w:hAnsi="宋体" w:cs="Arial" w:hint="eastAsia"/>
          <w:b/>
          <w:color w:val="000000"/>
          <w:spacing w:val="-4"/>
          <w:sz w:val="28"/>
          <w:szCs w:val="32"/>
        </w:rPr>
        <w:t>管理办法</w:t>
      </w:r>
      <w:r>
        <w:rPr>
          <w:rFonts w:ascii="宋体" w:hAnsi="宋体" w:cs="Arial" w:hint="eastAsia"/>
          <w:b/>
          <w:color w:val="000000"/>
          <w:spacing w:val="-4"/>
          <w:sz w:val="28"/>
          <w:szCs w:val="32"/>
        </w:rPr>
        <w:t>、标准仓单管理办法、各品种期货业务细则</w:t>
      </w:r>
      <w:r w:rsidRPr="00917558">
        <w:rPr>
          <w:rFonts w:ascii="宋体" w:hAnsi="宋体" w:cs="Arial" w:hint="eastAsia"/>
          <w:color w:val="000000"/>
          <w:spacing w:val="-4"/>
          <w:sz w:val="28"/>
          <w:szCs w:val="32"/>
        </w:rPr>
        <w:t>及其他有关规定，接受交易所的监管，及时向交易所提供有关情况；</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（二）按规定保管好交割商品，确保安全；</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（三）应当对库存交割商品全额投保财产险一切险等相关险种或按照交易所要求进行投保；</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（四）根据交易所要求及时完成商品视频监控、消防安全等设施和设备的改造和升级；</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（五）根据交易所有关业务规则，办理期货交割商品的验收入库，建立电子台账等相关系统；</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（六）按标准仓单要求及交易所的业务规则提供交割商品，协助货</w:t>
      </w:r>
      <w:r w:rsidRPr="00917558">
        <w:rPr>
          <w:rFonts w:ascii="宋体" w:hAnsi="宋体" w:cs="Arial" w:hint="eastAsia"/>
          <w:color w:val="000000"/>
          <w:spacing w:val="-4"/>
          <w:sz w:val="28"/>
          <w:szCs w:val="32"/>
        </w:rPr>
        <w:lastRenderedPageBreak/>
        <w:t>主安排出库；</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（七）保守与商品交割有关的商业秘密；</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（八）参加交易所组织的年审；</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（九）缴纳交割担保金；</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（十）配合指定质检机构取样及现场检验等工作；</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一）变更单位名称、法定代表人或主要负责人、注册资本、注册资本实缴金额、股东或股权结构、仓储场地、经营场所等，出现可能危及交割商品安全、法律诉讼、仲裁、纠纷等问题，或者发生交割仓库土地或房产抵押、对外担保等事项，及时向交易所通报；</w:t>
      </w:r>
    </w:p>
    <w:p w:rsidR="00E06512" w:rsidRPr="00917558" w:rsidRDefault="00E06512" w:rsidP="00E06512">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（十二）</w:t>
      </w:r>
      <w:r w:rsidRPr="00840B1E">
        <w:rPr>
          <w:rFonts w:ascii="宋体" w:hAnsi="宋体" w:cs="Arial" w:hint="eastAsia"/>
          <w:color w:val="000000"/>
          <w:spacing w:val="-4"/>
          <w:sz w:val="28"/>
          <w:szCs w:val="32"/>
        </w:rPr>
        <w:t>交易所</w:t>
      </w:r>
      <w:r w:rsidRPr="00917558">
        <w:rPr>
          <w:rFonts w:ascii="宋体" w:hAnsi="宋体" w:cs="Arial" w:hint="eastAsia"/>
          <w:color w:val="000000"/>
          <w:spacing w:val="-4"/>
          <w:sz w:val="28"/>
          <w:szCs w:val="32"/>
        </w:rPr>
        <w:t>交割</w:t>
      </w:r>
      <w:r w:rsidRPr="00454D49">
        <w:rPr>
          <w:rFonts w:ascii="宋体" w:hAnsi="宋体" w:cs="Arial" w:hint="eastAsia"/>
          <w:b/>
          <w:color w:val="000000"/>
          <w:spacing w:val="-4"/>
          <w:sz w:val="28"/>
          <w:szCs w:val="32"/>
        </w:rPr>
        <w:t>管理办法</w:t>
      </w:r>
      <w:r w:rsidRPr="00454D49">
        <w:rPr>
          <w:rFonts w:ascii="宋体" w:hAnsi="宋体" w:cs="Arial" w:hint="eastAsia"/>
          <w:dstrike/>
          <w:color w:val="000000"/>
          <w:spacing w:val="-4"/>
          <w:sz w:val="28"/>
          <w:szCs w:val="32"/>
        </w:rPr>
        <w:t>细则</w:t>
      </w:r>
      <w:r w:rsidRPr="009313FC">
        <w:rPr>
          <w:rFonts w:ascii="宋体" w:hAnsi="宋体" w:cs="Arial" w:hint="eastAsia"/>
          <w:color w:val="000000"/>
          <w:spacing w:val="-4"/>
          <w:sz w:val="28"/>
          <w:szCs w:val="32"/>
        </w:rPr>
        <w:t>、</w:t>
      </w:r>
      <w:r w:rsidRPr="00917558">
        <w:rPr>
          <w:rFonts w:ascii="宋体" w:hAnsi="宋体" w:cs="Arial" w:hint="eastAsia"/>
          <w:color w:val="000000"/>
          <w:spacing w:val="-4"/>
          <w:sz w:val="28"/>
          <w:szCs w:val="32"/>
        </w:rPr>
        <w:t>标准仓单管理办法</w:t>
      </w:r>
      <w:r>
        <w:rPr>
          <w:rFonts w:ascii="宋体" w:hAnsi="宋体" w:cs="Arial" w:hint="eastAsia"/>
          <w:b/>
          <w:color w:val="000000"/>
          <w:spacing w:val="-4"/>
          <w:sz w:val="28"/>
          <w:szCs w:val="32"/>
        </w:rPr>
        <w:t>、各品种期货细则</w:t>
      </w:r>
      <w:r w:rsidRPr="00917558">
        <w:rPr>
          <w:rFonts w:ascii="宋体" w:hAnsi="宋体" w:cs="Arial" w:hint="eastAsia"/>
          <w:color w:val="000000"/>
          <w:spacing w:val="-4"/>
          <w:sz w:val="28"/>
          <w:szCs w:val="32"/>
        </w:rPr>
        <w:t>和交割仓库协议书等规定的其他义务。</w:t>
      </w:r>
    </w:p>
    <w:p w:rsidR="00E06512" w:rsidRPr="00840B1E" w:rsidRDefault="00E06512" w:rsidP="00E06512">
      <w:pPr>
        <w:rPr>
          <w:rFonts w:ascii="黑体" w:eastAsia="黑体" w:hAnsi="黑体"/>
          <w:sz w:val="32"/>
          <w:szCs w:val="32"/>
        </w:rPr>
        <w:sectPr w:rsidR="00E06512" w:rsidRPr="00840B1E">
          <w:pgSz w:w="11906" w:h="16838"/>
          <w:pgMar w:top="1440" w:right="1800" w:bottom="1440" w:left="1800" w:header="851" w:footer="992" w:gutter="0"/>
          <w:cols w:space="425"/>
          <w:docGrid w:type="lines" w:linePitch="312"/>
        </w:sectPr>
      </w:pP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4</w:t>
      </w:r>
    </w:p>
    <w:p w:rsidR="00E06512" w:rsidRPr="007C0702" w:rsidRDefault="00E06512" w:rsidP="00E06512">
      <w:pPr>
        <w:jc w:val="center"/>
        <w:rPr>
          <w:rFonts w:asciiTheme="majorEastAsia" w:eastAsiaTheme="majorEastAsia" w:hAnsiTheme="majorEastAsia"/>
          <w:b/>
          <w:sz w:val="44"/>
          <w:szCs w:val="44"/>
        </w:rPr>
      </w:pPr>
      <w:r w:rsidRPr="007C0702">
        <w:rPr>
          <w:rFonts w:asciiTheme="majorEastAsia" w:eastAsiaTheme="majorEastAsia" w:hAnsiTheme="majorEastAsia" w:hint="eastAsia"/>
          <w:b/>
          <w:sz w:val="44"/>
          <w:szCs w:val="44"/>
        </w:rPr>
        <w:t>郑州商品交易所指定商品交割厂库管理办法（优化草案）</w:t>
      </w:r>
    </w:p>
    <w:p w:rsidR="00E06512" w:rsidRDefault="00E06512" w:rsidP="00E06512">
      <w:pPr>
        <w:rPr>
          <w:sz w:val="24"/>
        </w:rPr>
      </w:pPr>
    </w:p>
    <w:p w:rsidR="00E06512" w:rsidRDefault="00E06512" w:rsidP="00E06512">
      <w:pPr>
        <w:pStyle w:val="a6"/>
        <w:spacing w:line="420" w:lineRule="exact"/>
        <w:ind w:left="1080" w:firstLineChars="0" w:firstLine="0"/>
        <w:rPr>
          <w:rFonts w:ascii="黑体" w:eastAsia="黑体" w:hAnsi="黑体" w:cstheme="minorBidi"/>
          <w:sz w:val="28"/>
          <w:szCs w:val="28"/>
        </w:rPr>
      </w:pPr>
      <w:r>
        <w:rPr>
          <w:rFonts w:ascii="黑体" w:eastAsia="黑体" w:hAnsi="黑体" w:cstheme="minorBidi" w:hint="eastAsia"/>
          <w:sz w:val="28"/>
          <w:szCs w:val="28"/>
        </w:rPr>
        <w:t xml:space="preserve">              </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黑体" w:eastAsia="黑体" w:hAnsi="黑体" w:hint="eastAsia"/>
          <w:sz w:val="28"/>
          <w:szCs w:val="28"/>
        </w:rPr>
        <w:t>第四条</w:t>
      </w:r>
      <w:r w:rsidRPr="00D7590C">
        <w:rPr>
          <w:rFonts w:asciiTheme="minorEastAsia" w:hAnsiTheme="minorEastAsia" w:hint="eastAsia"/>
          <w:sz w:val="28"/>
          <w:szCs w:val="28"/>
        </w:rPr>
        <w:t xml:space="preserve"> 申请厂库应当具备以下条件：</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（一） 国家工商行政管理部门颁发的营业执照应载明相关商品生产或贸易业务；</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（二）净资产和注册资本应当达到交易所要求的数额；</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（三）生产量或贸易量应当达到交易所要求的数量；</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（四）财务状况良好，具有较强的抗风险能力；</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（五）具有良好的商业信誉，完善的规章制度，未发现严重违法行为记录；</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（六）承认并遵守交易所的章程、交易规则、</w:t>
      </w:r>
      <w:r w:rsidRPr="00D7590C">
        <w:rPr>
          <w:rFonts w:asciiTheme="minorEastAsia" w:hAnsiTheme="minorEastAsia" w:hint="eastAsia"/>
          <w:b/>
          <w:sz w:val="28"/>
          <w:szCs w:val="28"/>
        </w:rPr>
        <w:t>《</w:t>
      </w:r>
      <w:r w:rsidRPr="00D7590C">
        <w:rPr>
          <w:rFonts w:asciiTheme="minorEastAsia" w:hAnsiTheme="minorEastAsia" w:cs="Arial" w:hint="eastAsia"/>
          <w:b/>
          <w:color w:val="000000"/>
          <w:spacing w:val="-4"/>
          <w:sz w:val="28"/>
          <w:szCs w:val="32"/>
        </w:rPr>
        <w:t>郑州商品交易所期货交割管理办法》（以下简称交割管理办法）《郑州商品交易所标准仓单管理办法》（以下简称标准仓单管理办法）及各品种期货业务细则</w:t>
      </w:r>
      <w:r w:rsidRPr="00D7590C">
        <w:rPr>
          <w:rFonts w:asciiTheme="minorEastAsia" w:hAnsiTheme="minorEastAsia" w:hint="eastAsia"/>
          <w:dstrike/>
          <w:sz w:val="28"/>
          <w:szCs w:val="28"/>
        </w:rPr>
        <w:t>交割细则</w:t>
      </w:r>
      <w:r w:rsidRPr="00D7590C">
        <w:rPr>
          <w:rFonts w:asciiTheme="minorEastAsia" w:hAnsiTheme="minorEastAsia" w:hint="eastAsia"/>
          <w:sz w:val="28"/>
          <w:szCs w:val="28"/>
        </w:rPr>
        <w:t>等规定；</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（七）有保管相应交割商品的条件，设备完好、计量符合规定要求；</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（八）有相应交割商品所需要的管理、检化验等制度；</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（九）交通便利，具有较强的装卸发货能力；</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（十）交易所规定的其他材料。</w:t>
      </w:r>
    </w:p>
    <w:p w:rsidR="00E06512" w:rsidRPr="00D7590C" w:rsidRDefault="00E06512" w:rsidP="00E06512">
      <w:pPr>
        <w:spacing w:before="240" w:after="240" w:line="360" w:lineRule="auto"/>
        <w:ind w:firstLineChars="200" w:firstLine="562"/>
        <w:jc w:val="left"/>
        <w:rPr>
          <w:rFonts w:asciiTheme="minorEastAsia" w:hAnsiTheme="minorEastAsia"/>
          <w:b/>
          <w:sz w:val="28"/>
          <w:szCs w:val="28"/>
        </w:rPr>
      </w:pPr>
      <w:r w:rsidRPr="00D7590C">
        <w:rPr>
          <w:rFonts w:asciiTheme="minorEastAsia" w:hAnsiTheme="minorEastAsia"/>
          <w:b/>
          <w:sz w:val="28"/>
          <w:szCs w:val="28"/>
        </w:rPr>
        <w:t>……</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黑体" w:eastAsia="黑体" w:hAnsi="黑体" w:hint="eastAsia"/>
          <w:sz w:val="28"/>
          <w:szCs w:val="28"/>
        </w:rPr>
        <w:lastRenderedPageBreak/>
        <w:t>第十一条</w:t>
      </w:r>
      <w:r w:rsidRPr="00D7590C">
        <w:rPr>
          <w:rFonts w:asciiTheme="minorEastAsia" w:hAnsiTheme="minorEastAsia" w:hint="eastAsia"/>
          <w:b/>
          <w:sz w:val="28"/>
          <w:szCs w:val="28"/>
        </w:rPr>
        <w:t xml:space="preserve"> </w:t>
      </w:r>
      <w:r w:rsidRPr="00D7590C">
        <w:rPr>
          <w:rFonts w:asciiTheme="minorEastAsia" w:hAnsiTheme="minorEastAsia" w:hint="eastAsia"/>
          <w:sz w:val="28"/>
          <w:szCs w:val="28"/>
        </w:rPr>
        <w:t>厂库的权利：</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（一）按交易所规定享有向交易所申请标准仓单注册权；</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（二）按交易所审定的收费项目、标准和方法收取有关费用；</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（三）对交易所制定的有关实物交割的规定享有建议权；</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（四）经交易所批准，指定提货点；</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（五）交易所</w:t>
      </w:r>
      <w:r w:rsidRPr="00D7590C">
        <w:rPr>
          <w:rFonts w:asciiTheme="minorEastAsia" w:hAnsiTheme="minorEastAsia" w:hint="eastAsia"/>
          <w:dstrike/>
          <w:sz w:val="28"/>
          <w:szCs w:val="28"/>
        </w:rPr>
        <w:t>期货</w:t>
      </w:r>
      <w:r w:rsidRPr="00D7590C">
        <w:rPr>
          <w:rFonts w:asciiTheme="minorEastAsia" w:hAnsiTheme="minorEastAsia" w:hint="eastAsia"/>
          <w:sz w:val="28"/>
          <w:szCs w:val="28"/>
        </w:rPr>
        <w:t>交割</w:t>
      </w:r>
      <w:r w:rsidRPr="00D7590C">
        <w:rPr>
          <w:rFonts w:asciiTheme="minorEastAsia" w:hAnsiTheme="minorEastAsia" w:hint="eastAsia"/>
          <w:dstrike/>
          <w:sz w:val="28"/>
          <w:szCs w:val="28"/>
        </w:rPr>
        <w:t>细则</w:t>
      </w:r>
      <w:r w:rsidRPr="00D7590C">
        <w:rPr>
          <w:rFonts w:asciiTheme="minorEastAsia" w:hAnsiTheme="minorEastAsia" w:hint="eastAsia"/>
          <w:b/>
          <w:sz w:val="28"/>
          <w:szCs w:val="28"/>
        </w:rPr>
        <w:t>管理办法、标准仓单管理办法、各品种期货业务细则</w:t>
      </w:r>
      <w:r w:rsidRPr="00D7590C">
        <w:rPr>
          <w:rFonts w:asciiTheme="minorEastAsia" w:hAnsiTheme="minorEastAsia" w:hint="eastAsia"/>
          <w:sz w:val="28"/>
          <w:szCs w:val="28"/>
        </w:rPr>
        <w:t>和厂库协议书约定的其他权利。</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黑体" w:eastAsia="黑体" w:hAnsi="黑体" w:hint="eastAsia"/>
          <w:sz w:val="28"/>
          <w:szCs w:val="28"/>
        </w:rPr>
        <w:t>第十二条</w:t>
      </w:r>
      <w:r w:rsidRPr="00D7590C">
        <w:rPr>
          <w:rFonts w:asciiTheme="minorEastAsia" w:hAnsiTheme="minorEastAsia" w:hint="eastAsia"/>
          <w:sz w:val="28"/>
          <w:szCs w:val="28"/>
        </w:rPr>
        <w:t xml:space="preserve"> 厂库的义务：</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（一）遵守交易所</w:t>
      </w:r>
      <w:r w:rsidRPr="00D7590C">
        <w:rPr>
          <w:rFonts w:asciiTheme="minorEastAsia" w:hAnsiTheme="minorEastAsia" w:hint="eastAsia"/>
          <w:dstrike/>
          <w:sz w:val="28"/>
          <w:szCs w:val="28"/>
        </w:rPr>
        <w:t>期货</w:t>
      </w:r>
      <w:r w:rsidRPr="00D7590C">
        <w:rPr>
          <w:rFonts w:asciiTheme="minorEastAsia" w:hAnsiTheme="minorEastAsia" w:hint="eastAsia"/>
          <w:sz w:val="28"/>
          <w:szCs w:val="28"/>
        </w:rPr>
        <w:t>交割</w:t>
      </w:r>
      <w:r w:rsidRPr="00D7590C">
        <w:rPr>
          <w:rFonts w:asciiTheme="minorEastAsia" w:hAnsiTheme="minorEastAsia" w:hint="eastAsia"/>
          <w:b/>
          <w:sz w:val="28"/>
          <w:szCs w:val="28"/>
        </w:rPr>
        <w:t>管理办法、</w:t>
      </w:r>
      <w:r w:rsidRPr="00D7590C">
        <w:rPr>
          <w:rFonts w:asciiTheme="minorEastAsia" w:hAnsiTheme="minorEastAsia" w:hint="eastAsia"/>
          <w:dstrike/>
          <w:sz w:val="28"/>
          <w:szCs w:val="28"/>
        </w:rPr>
        <w:t>细则和</w:t>
      </w:r>
      <w:r w:rsidRPr="00D7590C">
        <w:rPr>
          <w:rFonts w:asciiTheme="minorEastAsia" w:hAnsiTheme="minorEastAsia" w:hint="eastAsia"/>
          <w:sz w:val="28"/>
          <w:szCs w:val="28"/>
        </w:rPr>
        <w:t>标准仓单管理办法</w:t>
      </w:r>
      <w:r w:rsidRPr="00D7590C">
        <w:rPr>
          <w:rFonts w:asciiTheme="minorEastAsia" w:hAnsiTheme="minorEastAsia" w:hint="eastAsia"/>
          <w:b/>
          <w:sz w:val="28"/>
          <w:szCs w:val="28"/>
        </w:rPr>
        <w:t>、各品种期货业务细则</w:t>
      </w:r>
      <w:r w:rsidRPr="00D7590C">
        <w:rPr>
          <w:rFonts w:asciiTheme="minorEastAsia" w:hAnsiTheme="minorEastAsia" w:hint="eastAsia"/>
          <w:sz w:val="28"/>
          <w:szCs w:val="28"/>
        </w:rPr>
        <w:t>及其他有关规定，接受交易所的监管，及时向交易所提供有关情况；</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（二）按标准仓单要求及交易所的业务规则提供交割商品，并积极协助货主安排出库；</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（三）对货物质量和数量承担全部责任；</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（四）保守与商品交割有关的商业秘密；</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（五）接受交易所组织的年审；</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（六）缴纳交割担保金；</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（七）配合并监督指定质检机构取样；</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（八）监督管理提货点交割业务，并对指定提货点的交割行为负全部责任；</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（九）厂库应当保证用于期货交割的商品优先办理出库；</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（十）变更单位名称、法定代表人、注册资本、股东或股权结构、</w:t>
      </w:r>
      <w:r w:rsidRPr="00D7590C">
        <w:rPr>
          <w:rFonts w:asciiTheme="minorEastAsia" w:hAnsiTheme="minorEastAsia" w:hint="eastAsia"/>
          <w:sz w:val="28"/>
          <w:szCs w:val="28"/>
        </w:rPr>
        <w:lastRenderedPageBreak/>
        <w:t>仓储场地等，出现可能危及交割商品安全、法律诉讼等问题，以及生产线调整，及时向交易所通报；发生厂库土地或房产质押、对外担保等重大事项，事先向交易所通报；</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（十一）按照交易所要求，及时向交易所提供企业相关商品价格、产能、产量、库存量等信息；</w:t>
      </w:r>
    </w:p>
    <w:p w:rsidR="00E06512" w:rsidRPr="00D7590C" w:rsidRDefault="00E06512" w:rsidP="00E06512">
      <w:pPr>
        <w:spacing w:line="360" w:lineRule="auto"/>
        <w:ind w:firstLineChars="200" w:firstLine="560"/>
        <w:jc w:val="left"/>
        <w:rPr>
          <w:rFonts w:asciiTheme="minorEastAsia" w:hAnsiTheme="minorEastAsia"/>
          <w:sz w:val="28"/>
          <w:szCs w:val="28"/>
        </w:rPr>
      </w:pPr>
      <w:r w:rsidRPr="00D7590C">
        <w:rPr>
          <w:rFonts w:asciiTheme="minorEastAsia" w:hAnsiTheme="minorEastAsia" w:hint="eastAsia"/>
          <w:sz w:val="28"/>
          <w:szCs w:val="28"/>
        </w:rPr>
        <w:t>（十二）交易所</w:t>
      </w:r>
      <w:r w:rsidRPr="00D7590C">
        <w:rPr>
          <w:rFonts w:asciiTheme="minorEastAsia" w:hAnsiTheme="minorEastAsia" w:hint="eastAsia"/>
          <w:dstrike/>
          <w:sz w:val="28"/>
          <w:szCs w:val="28"/>
        </w:rPr>
        <w:t>期货</w:t>
      </w:r>
      <w:r w:rsidRPr="00D7590C">
        <w:rPr>
          <w:rFonts w:asciiTheme="minorEastAsia" w:hAnsiTheme="minorEastAsia" w:hint="eastAsia"/>
          <w:sz w:val="28"/>
          <w:szCs w:val="28"/>
        </w:rPr>
        <w:t>交割</w:t>
      </w:r>
      <w:r w:rsidRPr="00D7590C">
        <w:rPr>
          <w:rFonts w:asciiTheme="minorEastAsia" w:hAnsiTheme="minorEastAsia" w:hint="eastAsia"/>
          <w:b/>
          <w:sz w:val="28"/>
          <w:szCs w:val="28"/>
        </w:rPr>
        <w:t>管理办法</w:t>
      </w:r>
      <w:r w:rsidRPr="00D7590C">
        <w:rPr>
          <w:rFonts w:asciiTheme="minorEastAsia" w:hAnsiTheme="minorEastAsia" w:hint="eastAsia"/>
          <w:dstrike/>
          <w:sz w:val="28"/>
          <w:szCs w:val="28"/>
        </w:rPr>
        <w:t>细则</w:t>
      </w:r>
      <w:r w:rsidRPr="00D7590C">
        <w:rPr>
          <w:rFonts w:asciiTheme="minorEastAsia" w:hAnsiTheme="minorEastAsia" w:hint="eastAsia"/>
          <w:sz w:val="28"/>
          <w:szCs w:val="28"/>
        </w:rPr>
        <w:t>、标准仓单管理办法</w:t>
      </w:r>
      <w:r w:rsidRPr="00D7590C">
        <w:rPr>
          <w:rFonts w:asciiTheme="minorEastAsia" w:hAnsiTheme="minorEastAsia" w:hint="eastAsia"/>
          <w:b/>
          <w:sz w:val="28"/>
          <w:szCs w:val="28"/>
        </w:rPr>
        <w:t>、各品种期货业务细则</w:t>
      </w:r>
      <w:r w:rsidRPr="00D7590C">
        <w:rPr>
          <w:rFonts w:asciiTheme="minorEastAsia" w:hAnsiTheme="minorEastAsia" w:hint="eastAsia"/>
          <w:sz w:val="28"/>
          <w:szCs w:val="28"/>
        </w:rPr>
        <w:t>和厂库协议书等规定或约定的其他义务。</w:t>
      </w:r>
    </w:p>
    <w:p w:rsidR="00E06512" w:rsidRPr="00C943AF" w:rsidRDefault="00E06512" w:rsidP="00E06512">
      <w:pPr>
        <w:spacing w:line="420" w:lineRule="exact"/>
        <w:rPr>
          <w:rFonts w:ascii="仿宋" w:eastAsia="仿宋" w:hAnsi="仿宋"/>
          <w:sz w:val="28"/>
          <w:szCs w:val="28"/>
        </w:rPr>
      </w:pPr>
      <w:r>
        <w:rPr>
          <w:rFonts w:ascii="黑体" w:eastAsia="黑体" w:hAnsi="黑体" w:hint="eastAsia"/>
          <w:sz w:val="28"/>
          <w:szCs w:val="28"/>
        </w:rPr>
        <w:t xml:space="preserve">                    </w:t>
      </w:r>
    </w:p>
    <w:p w:rsidR="00E06512" w:rsidRPr="00C943AF" w:rsidRDefault="00E06512" w:rsidP="00E06512">
      <w:pPr>
        <w:spacing w:line="420" w:lineRule="exact"/>
        <w:ind w:firstLineChars="200" w:firstLine="560"/>
        <w:jc w:val="left"/>
        <w:rPr>
          <w:rFonts w:ascii="仿宋" w:eastAsia="仿宋" w:hAnsi="仿宋"/>
          <w:sz w:val="28"/>
          <w:szCs w:val="28"/>
        </w:rPr>
      </w:pPr>
    </w:p>
    <w:p w:rsidR="00E06512" w:rsidRPr="000E43AD" w:rsidRDefault="00E06512" w:rsidP="00E06512">
      <w:pPr>
        <w:rPr>
          <w:rFonts w:ascii="黑体" w:eastAsia="黑体" w:hAnsi="黑体"/>
          <w:sz w:val="32"/>
          <w:szCs w:val="32"/>
        </w:rPr>
      </w:pPr>
    </w:p>
    <w:p w:rsidR="00E06512" w:rsidRDefault="00E06512" w:rsidP="00E06512">
      <w:pPr>
        <w:rPr>
          <w:rFonts w:ascii="黑体" w:eastAsia="黑体" w:hAnsi="黑体"/>
          <w:sz w:val="32"/>
          <w:szCs w:val="32"/>
        </w:rPr>
        <w:sectPr w:rsidR="00E06512">
          <w:pgSz w:w="11906" w:h="16838"/>
          <w:pgMar w:top="1440" w:right="1800" w:bottom="1440" w:left="1800" w:header="851" w:footer="992" w:gutter="0"/>
          <w:cols w:space="425"/>
          <w:docGrid w:type="lines" w:linePitch="312"/>
        </w:sectPr>
      </w:pP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5</w:t>
      </w:r>
    </w:p>
    <w:p w:rsidR="00E06512" w:rsidRPr="0031228A" w:rsidRDefault="00E06512" w:rsidP="00D36E6A">
      <w:pPr>
        <w:spacing w:afterLines="50" w:line="360" w:lineRule="auto"/>
        <w:jc w:val="center"/>
        <w:rPr>
          <w:rFonts w:asciiTheme="minorEastAsia" w:hAnsiTheme="minorEastAsia" w:cs="黑体"/>
          <w:b/>
          <w:color w:val="000000"/>
          <w:kern w:val="0"/>
          <w:sz w:val="44"/>
          <w:szCs w:val="44"/>
        </w:rPr>
      </w:pPr>
      <w:r w:rsidRPr="0031228A">
        <w:rPr>
          <w:rFonts w:asciiTheme="minorEastAsia" w:hAnsiTheme="minorEastAsia" w:cs="黑体" w:hint="eastAsia"/>
          <w:b/>
          <w:color w:val="000000"/>
          <w:kern w:val="0"/>
          <w:sz w:val="44"/>
          <w:szCs w:val="44"/>
        </w:rPr>
        <w:t>郑州商品交易所指定存管银行管理办法</w:t>
      </w:r>
    </w:p>
    <w:p w:rsidR="00E06512" w:rsidRPr="0031228A" w:rsidRDefault="00E06512" w:rsidP="00D36E6A">
      <w:pPr>
        <w:spacing w:afterLines="50" w:line="360" w:lineRule="auto"/>
        <w:jc w:val="center"/>
        <w:rPr>
          <w:rFonts w:asciiTheme="minorEastAsia" w:hAnsiTheme="minorEastAsia" w:cs="黑体"/>
          <w:b/>
          <w:color w:val="000000"/>
          <w:kern w:val="0"/>
          <w:sz w:val="44"/>
          <w:szCs w:val="44"/>
        </w:rPr>
      </w:pPr>
      <w:r w:rsidRPr="0031228A">
        <w:rPr>
          <w:rFonts w:asciiTheme="minorEastAsia" w:hAnsiTheme="minorEastAsia" w:cs="黑体" w:hint="eastAsia"/>
          <w:b/>
          <w:color w:val="000000"/>
          <w:kern w:val="0"/>
          <w:sz w:val="44"/>
          <w:szCs w:val="44"/>
        </w:rPr>
        <w:t>（优化草案）</w:t>
      </w:r>
    </w:p>
    <w:p w:rsidR="00E06512" w:rsidRDefault="00E06512" w:rsidP="00D36E6A">
      <w:pPr>
        <w:spacing w:afterLines="50" w:line="360" w:lineRule="auto"/>
        <w:ind w:firstLineChars="200" w:firstLine="640"/>
        <w:rPr>
          <w:rFonts w:ascii="黑体" w:eastAsia="黑体" w:hAnsi="黑体"/>
          <w:sz w:val="32"/>
          <w:szCs w:val="32"/>
        </w:rPr>
      </w:pPr>
    </w:p>
    <w:p w:rsidR="00E06512" w:rsidRDefault="00E06512" w:rsidP="00D36E6A">
      <w:pPr>
        <w:spacing w:afterLines="50" w:line="360" w:lineRule="auto"/>
        <w:ind w:firstLineChars="200" w:firstLine="560"/>
        <w:rPr>
          <w:rFonts w:ascii="宋体" w:hAnsi="宋体"/>
          <w:sz w:val="28"/>
          <w:szCs w:val="28"/>
        </w:rPr>
      </w:pPr>
      <w:r w:rsidRPr="00D7590C">
        <w:rPr>
          <w:rFonts w:ascii="黑体" w:eastAsia="黑体" w:hAnsi="黑体" w:hint="eastAsia"/>
          <w:sz w:val="28"/>
          <w:szCs w:val="28"/>
        </w:rPr>
        <w:t>第一条</w:t>
      </w:r>
      <w:r>
        <w:rPr>
          <w:rFonts w:ascii="宋体" w:hAnsi="宋体" w:hint="eastAsia"/>
          <w:sz w:val="28"/>
          <w:szCs w:val="28"/>
        </w:rPr>
        <w:t xml:space="preserve"> 为规范郑州商品交易所（以下简称交易所）期货保证金存管业务，确保期货保证金存管安全和期货交易的平稳运行，促进期货市场健康发展，根据国家有关期货市场发展的法规、政策以及《郑州商品交易所交易规则》和《郑州商品交易所</w:t>
      </w:r>
      <w:r w:rsidRPr="006140DF">
        <w:rPr>
          <w:rFonts w:ascii="宋体" w:hAnsi="宋体" w:hint="eastAsia"/>
          <w:b/>
          <w:sz w:val="28"/>
          <w:szCs w:val="28"/>
        </w:rPr>
        <w:t>期货</w:t>
      </w:r>
      <w:r>
        <w:rPr>
          <w:rFonts w:ascii="宋体" w:hAnsi="宋体" w:hint="eastAsia"/>
          <w:sz w:val="28"/>
          <w:szCs w:val="28"/>
        </w:rPr>
        <w:t>结算</w:t>
      </w:r>
      <w:r w:rsidRPr="00522514">
        <w:rPr>
          <w:rFonts w:ascii="宋体" w:hAnsi="宋体" w:hint="eastAsia"/>
          <w:b/>
          <w:sz w:val="28"/>
          <w:szCs w:val="28"/>
        </w:rPr>
        <w:t>管理办法</w:t>
      </w:r>
      <w:r w:rsidRPr="008E2873">
        <w:rPr>
          <w:rFonts w:ascii="宋体" w:hAnsi="宋体" w:hint="eastAsia"/>
          <w:dstrike/>
          <w:sz w:val="28"/>
          <w:szCs w:val="28"/>
        </w:rPr>
        <w:t>细则</w:t>
      </w:r>
      <w:r>
        <w:rPr>
          <w:rFonts w:ascii="宋体" w:hAnsi="宋体" w:hint="eastAsia"/>
          <w:sz w:val="28"/>
          <w:szCs w:val="28"/>
        </w:rPr>
        <w:t>》等规定，结合交易所期货交易活动的实际需要，制定本办法。</w:t>
      </w:r>
    </w:p>
    <w:p w:rsidR="00E06512" w:rsidRPr="00691586" w:rsidRDefault="00E06512" w:rsidP="00D36E6A">
      <w:pPr>
        <w:spacing w:afterLines="50" w:line="360" w:lineRule="auto"/>
        <w:ind w:firstLineChars="200" w:firstLine="560"/>
        <w:rPr>
          <w:rFonts w:ascii="宋体" w:hAnsi="宋体"/>
          <w:sz w:val="28"/>
          <w:szCs w:val="28"/>
        </w:rPr>
      </w:pPr>
      <w:r>
        <w:rPr>
          <w:rFonts w:ascii="宋体" w:hAnsi="宋体"/>
          <w:sz w:val="28"/>
          <w:szCs w:val="28"/>
        </w:rPr>
        <w:t>……</w:t>
      </w:r>
    </w:p>
    <w:p w:rsidR="00E06512" w:rsidRDefault="00E06512" w:rsidP="00E06512">
      <w:pPr>
        <w:rPr>
          <w:rFonts w:ascii="黑体" w:eastAsia="黑体" w:hAnsi="黑体"/>
          <w:sz w:val="32"/>
          <w:szCs w:val="32"/>
        </w:rPr>
        <w:sectPr w:rsidR="00E06512">
          <w:pgSz w:w="11906" w:h="16838"/>
          <w:pgMar w:top="1440" w:right="1800" w:bottom="1440" w:left="1800" w:header="851" w:footer="992" w:gutter="0"/>
          <w:cols w:space="425"/>
          <w:docGrid w:type="lines" w:linePitch="312"/>
        </w:sectPr>
      </w:pP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6</w:t>
      </w:r>
    </w:p>
    <w:p w:rsidR="00E06512" w:rsidRPr="0031228A" w:rsidRDefault="00E06512" w:rsidP="00E06512">
      <w:pPr>
        <w:pStyle w:val="a7"/>
        <w:shd w:val="clear" w:color="auto" w:fill="FFFFFF"/>
        <w:adjustRightInd w:val="0"/>
        <w:spacing w:before="0" w:beforeAutospacing="0" w:after="0" w:afterAutospacing="0" w:line="360" w:lineRule="auto"/>
        <w:ind w:left="420"/>
        <w:jc w:val="center"/>
        <w:rPr>
          <w:rFonts w:asciiTheme="minorEastAsia" w:eastAsiaTheme="minorEastAsia" w:hAnsiTheme="minorEastAsia"/>
          <w:b/>
          <w:sz w:val="44"/>
          <w:szCs w:val="44"/>
        </w:rPr>
      </w:pPr>
      <w:r w:rsidRPr="0031228A">
        <w:rPr>
          <w:rFonts w:asciiTheme="minorEastAsia" w:eastAsiaTheme="minorEastAsia" w:hAnsiTheme="minorEastAsia" w:hint="eastAsia"/>
          <w:b/>
          <w:sz w:val="44"/>
          <w:szCs w:val="44"/>
        </w:rPr>
        <w:t>郑州商品交易所违规处理办法</w:t>
      </w:r>
    </w:p>
    <w:p w:rsidR="00E06512" w:rsidRPr="0031228A" w:rsidRDefault="00E06512" w:rsidP="00E06512">
      <w:pPr>
        <w:pStyle w:val="a7"/>
        <w:shd w:val="clear" w:color="auto" w:fill="FFFFFF"/>
        <w:adjustRightInd w:val="0"/>
        <w:spacing w:before="0" w:beforeAutospacing="0" w:after="0" w:afterAutospacing="0" w:line="360" w:lineRule="auto"/>
        <w:ind w:left="420"/>
        <w:jc w:val="center"/>
        <w:rPr>
          <w:rFonts w:asciiTheme="minorEastAsia" w:eastAsiaTheme="minorEastAsia" w:hAnsiTheme="minorEastAsia"/>
          <w:b/>
          <w:sz w:val="44"/>
          <w:szCs w:val="44"/>
        </w:rPr>
      </w:pPr>
      <w:r w:rsidRPr="0031228A">
        <w:rPr>
          <w:rFonts w:asciiTheme="minorEastAsia" w:eastAsiaTheme="minorEastAsia" w:hAnsiTheme="minorEastAsia" w:hint="eastAsia"/>
          <w:b/>
          <w:sz w:val="44"/>
          <w:szCs w:val="44"/>
        </w:rPr>
        <w:t>（优化草案）</w:t>
      </w:r>
    </w:p>
    <w:p w:rsidR="00E06512" w:rsidRDefault="00E06512" w:rsidP="00E06512">
      <w:pPr>
        <w:spacing w:line="360" w:lineRule="auto"/>
        <w:ind w:firstLineChars="200" w:firstLine="562"/>
        <w:rPr>
          <w:rFonts w:asciiTheme="minorEastAsia" w:hAnsiTheme="minorEastAsia"/>
          <w:b/>
          <w:sz w:val="28"/>
          <w:szCs w:val="28"/>
        </w:rPr>
      </w:pPr>
    </w:p>
    <w:p w:rsidR="00E06512" w:rsidRPr="00D7590C" w:rsidRDefault="00E06512" w:rsidP="00E06512">
      <w:pPr>
        <w:spacing w:line="360" w:lineRule="auto"/>
        <w:ind w:firstLineChars="200" w:firstLine="560"/>
        <w:rPr>
          <w:rFonts w:asciiTheme="minorEastAsia" w:hAnsiTheme="minorEastAsia"/>
          <w:sz w:val="28"/>
          <w:szCs w:val="28"/>
        </w:rPr>
      </w:pPr>
      <w:r w:rsidRPr="00D7590C">
        <w:rPr>
          <w:rFonts w:ascii="黑体" w:eastAsia="黑体" w:hAnsi="黑体" w:hint="eastAsia"/>
          <w:sz w:val="28"/>
          <w:szCs w:val="28"/>
        </w:rPr>
        <w:t>第三十八条</w:t>
      </w:r>
      <w:r w:rsidRPr="00D7590C">
        <w:rPr>
          <w:rFonts w:asciiTheme="minorEastAsia" w:hAnsiTheme="minorEastAsia" w:hint="eastAsia"/>
          <w:sz w:val="28"/>
          <w:szCs w:val="28"/>
        </w:rPr>
        <w:t xml:space="preserve"> 存管银行未履行《郑州商品交易所期货结算</w:t>
      </w:r>
      <w:r w:rsidRPr="00D7590C">
        <w:rPr>
          <w:rFonts w:asciiTheme="minorEastAsia" w:hAnsiTheme="minorEastAsia" w:hint="eastAsia"/>
          <w:b/>
          <w:sz w:val="28"/>
          <w:szCs w:val="28"/>
        </w:rPr>
        <w:t>管理办法</w:t>
      </w:r>
      <w:r w:rsidRPr="00D7590C">
        <w:rPr>
          <w:rFonts w:asciiTheme="minorEastAsia" w:hAnsiTheme="minorEastAsia" w:hint="eastAsia"/>
          <w:dstrike/>
          <w:sz w:val="28"/>
          <w:szCs w:val="28"/>
        </w:rPr>
        <w:t>细则</w:t>
      </w:r>
      <w:r w:rsidRPr="00D7590C">
        <w:rPr>
          <w:rFonts w:asciiTheme="minorEastAsia" w:hAnsiTheme="minorEastAsia" w:hint="eastAsia"/>
          <w:sz w:val="28"/>
          <w:szCs w:val="28"/>
        </w:rPr>
        <w:t>》《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E06512" w:rsidRPr="00D7590C" w:rsidRDefault="00E06512" w:rsidP="00E06512">
      <w:pPr>
        <w:spacing w:line="360" w:lineRule="auto"/>
        <w:ind w:firstLineChars="200" w:firstLine="560"/>
        <w:rPr>
          <w:rFonts w:asciiTheme="minorEastAsia" w:hAnsiTheme="minorEastAsia"/>
          <w:sz w:val="28"/>
          <w:szCs w:val="28"/>
        </w:rPr>
      </w:pPr>
      <w:r w:rsidRPr="00D7590C">
        <w:rPr>
          <w:rFonts w:asciiTheme="minorEastAsia" w:hAnsiTheme="minorEastAsia"/>
          <w:sz w:val="28"/>
          <w:szCs w:val="28"/>
        </w:rPr>
        <w:t>……</w:t>
      </w:r>
    </w:p>
    <w:p w:rsidR="00E06512" w:rsidRPr="00E76A8F" w:rsidRDefault="00E06512" w:rsidP="00E06512">
      <w:pPr>
        <w:ind w:firstLineChars="200" w:firstLine="420"/>
      </w:pPr>
    </w:p>
    <w:p w:rsidR="00E06512" w:rsidRDefault="00E06512" w:rsidP="00E06512">
      <w:pPr>
        <w:rPr>
          <w:rFonts w:ascii="黑体" w:eastAsia="黑体" w:hAnsi="黑体"/>
          <w:sz w:val="32"/>
          <w:szCs w:val="32"/>
        </w:rPr>
        <w:sectPr w:rsidR="00E06512">
          <w:pgSz w:w="11906" w:h="16838"/>
          <w:pgMar w:top="1440" w:right="1800" w:bottom="1440" w:left="1800" w:header="851" w:footer="992" w:gutter="0"/>
          <w:cols w:space="425"/>
          <w:docGrid w:type="lines" w:linePitch="312"/>
        </w:sectPr>
      </w:pP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7</w:t>
      </w:r>
    </w:p>
    <w:p w:rsidR="00E06512" w:rsidRDefault="00E06512" w:rsidP="00E06512">
      <w:pPr>
        <w:widowControl/>
        <w:ind w:left="1988" w:hangingChars="450" w:hanging="1988"/>
        <w:jc w:val="center"/>
        <w:rPr>
          <w:rFonts w:ascii="宋体" w:hAnsi="宋体"/>
          <w:b/>
          <w:sz w:val="44"/>
          <w:szCs w:val="44"/>
        </w:rPr>
      </w:pPr>
      <w:r w:rsidRPr="00EA5DBC">
        <w:rPr>
          <w:rFonts w:ascii="宋体" w:hAnsi="宋体" w:hint="eastAsia"/>
          <w:b/>
          <w:sz w:val="44"/>
          <w:szCs w:val="44"/>
        </w:rPr>
        <w:t>郑州商品交易所综合业务平台管理办法</w:t>
      </w:r>
    </w:p>
    <w:p w:rsidR="00E06512" w:rsidRPr="005311A7" w:rsidRDefault="00E06512" w:rsidP="00E06512">
      <w:pPr>
        <w:widowControl/>
        <w:ind w:left="1988" w:hangingChars="450" w:hanging="1988"/>
        <w:jc w:val="center"/>
        <w:rPr>
          <w:rFonts w:ascii="宋体" w:hAnsi="宋体"/>
          <w:b/>
          <w:sz w:val="44"/>
          <w:szCs w:val="44"/>
        </w:rPr>
      </w:pPr>
      <w:r>
        <w:rPr>
          <w:rFonts w:ascii="宋体" w:hAnsi="宋体" w:hint="eastAsia"/>
          <w:b/>
          <w:sz w:val="44"/>
          <w:szCs w:val="44"/>
        </w:rPr>
        <w:t>（优化草案）</w:t>
      </w:r>
    </w:p>
    <w:p w:rsidR="00E06512" w:rsidRPr="00D812F1" w:rsidRDefault="00E06512" w:rsidP="00E06512">
      <w:bookmarkStart w:id="1" w:name="_Toc499133648"/>
      <w:bookmarkStart w:id="2" w:name="_Toc499134519"/>
      <w:bookmarkStart w:id="3" w:name="_Toc499133646"/>
    </w:p>
    <w:bookmarkEnd w:id="1"/>
    <w:bookmarkEnd w:id="2"/>
    <w:p w:rsidR="00E06512" w:rsidRPr="00D7590C" w:rsidRDefault="00E06512" w:rsidP="00E06512">
      <w:pPr>
        <w:pStyle w:val="1"/>
        <w:tabs>
          <w:tab w:val="left" w:pos="1620"/>
          <w:tab w:val="left" w:pos="1800"/>
        </w:tabs>
        <w:spacing w:line="360" w:lineRule="auto"/>
        <w:ind w:firstLineChars="230" w:firstLine="644"/>
        <w:rPr>
          <w:rFonts w:asciiTheme="minorEastAsia" w:eastAsiaTheme="minorEastAsia" w:hAnsiTheme="minorEastAsia"/>
          <w:sz w:val="28"/>
          <w:szCs w:val="28"/>
        </w:rPr>
      </w:pPr>
      <w:r w:rsidRPr="00D7590C">
        <w:rPr>
          <w:rFonts w:ascii="黑体" w:eastAsia="黑体" w:hAnsi="黑体" w:hint="eastAsia"/>
          <w:sz w:val="28"/>
          <w:szCs w:val="28"/>
        </w:rPr>
        <w:t>第三十条</w:t>
      </w:r>
      <w:r w:rsidRPr="00D7590C">
        <w:rPr>
          <w:rFonts w:asciiTheme="minorEastAsia" w:eastAsiaTheme="minorEastAsia" w:hAnsiTheme="minorEastAsia" w:hint="eastAsia"/>
          <w:sz w:val="28"/>
          <w:szCs w:val="28"/>
        </w:rPr>
        <w:t xml:space="preserve"> 采用仓单交收的，卖方应在仓单过户后</w:t>
      </w:r>
      <w:r w:rsidRPr="00D7590C">
        <w:rPr>
          <w:rFonts w:asciiTheme="minorEastAsia" w:eastAsiaTheme="minorEastAsia" w:hAnsiTheme="minorEastAsia"/>
          <w:sz w:val="28"/>
          <w:szCs w:val="28"/>
        </w:rPr>
        <w:t>7</w:t>
      </w:r>
      <w:r w:rsidRPr="00D7590C">
        <w:rPr>
          <w:rFonts w:asciiTheme="minorEastAsia" w:eastAsiaTheme="minorEastAsia" w:hAnsiTheme="minorEastAsia" w:hint="eastAsia"/>
          <w:sz w:val="28"/>
          <w:szCs w:val="28"/>
        </w:rPr>
        <w:t>个交易日内（不含当日），提交发票。延迟</w:t>
      </w:r>
      <w:r w:rsidRPr="00D7590C">
        <w:rPr>
          <w:rFonts w:asciiTheme="minorEastAsia" w:eastAsiaTheme="minorEastAsia" w:hAnsiTheme="minorEastAsia"/>
          <w:sz w:val="28"/>
          <w:szCs w:val="28"/>
        </w:rPr>
        <w:t>1至10日</w:t>
      </w:r>
      <w:r w:rsidRPr="00D7590C">
        <w:rPr>
          <w:rFonts w:asciiTheme="minorEastAsia" w:eastAsiaTheme="minorEastAsia" w:hAnsiTheme="minorEastAsia" w:hint="eastAsia"/>
          <w:sz w:val="28"/>
          <w:szCs w:val="28"/>
        </w:rPr>
        <w:t>（公历日）的，卖方应当每天支付货款金额千分之三的滞纳金；超过</w:t>
      </w:r>
      <w:r w:rsidRPr="00D7590C">
        <w:rPr>
          <w:rFonts w:asciiTheme="minorEastAsia" w:eastAsiaTheme="minorEastAsia" w:hAnsiTheme="minorEastAsia"/>
          <w:sz w:val="28"/>
          <w:szCs w:val="28"/>
        </w:rPr>
        <w:t>10</w:t>
      </w:r>
      <w:r w:rsidRPr="00D7590C">
        <w:rPr>
          <w:rFonts w:asciiTheme="minorEastAsia" w:eastAsiaTheme="minorEastAsia" w:hAnsiTheme="minorEastAsia" w:hint="eastAsia"/>
          <w:sz w:val="28"/>
          <w:szCs w:val="28"/>
        </w:rPr>
        <w:t>日（公历日）仍未提交发票的，视为拒绝提供，卖方应当向买方支付违约金。滞纳金和违约金从货款金额中扣除，剩余货款属于卖方。</w:t>
      </w:r>
    </w:p>
    <w:p w:rsidR="00E06512" w:rsidRPr="00D7590C" w:rsidRDefault="00E06512" w:rsidP="00E06512">
      <w:pPr>
        <w:pStyle w:val="1"/>
        <w:tabs>
          <w:tab w:val="left" w:pos="1620"/>
          <w:tab w:val="left" w:pos="1800"/>
        </w:tabs>
        <w:spacing w:line="360" w:lineRule="auto"/>
        <w:ind w:firstLine="560"/>
        <w:rPr>
          <w:rFonts w:asciiTheme="minorEastAsia" w:eastAsiaTheme="minorEastAsia" w:hAnsiTheme="minorEastAsia"/>
          <w:sz w:val="28"/>
          <w:szCs w:val="28"/>
        </w:rPr>
      </w:pPr>
      <w:r w:rsidRPr="00D7590C">
        <w:rPr>
          <w:rFonts w:asciiTheme="minorEastAsia" w:eastAsiaTheme="minorEastAsia" w:hAnsiTheme="minorEastAsia" w:hint="eastAsia"/>
          <w:sz w:val="28"/>
          <w:szCs w:val="28"/>
        </w:rPr>
        <w:t>违约金比例比照《郑州商品交易所期货交割</w:t>
      </w:r>
      <w:r w:rsidRPr="00D7590C">
        <w:rPr>
          <w:rFonts w:asciiTheme="minorEastAsia" w:eastAsiaTheme="minorEastAsia" w:hAnsiTheme="minorEastAsia" w:hint="eastAsia"/>
          <w:dstrike/>
          <w:sz w:val="28"/>
          <w:szCs w:val="28"/>
        </w:rPr>
        <w:t>细则</w:t>
      </w:r>
      <w:r w:rsidRPr="00D7590C">
        <w:rPr>
          <w:rFonts w:asciiTheme="minorEastAsia" w:eastAsiaTheme="minorEastAsia" w:hAnsiTheme="minorEastAsia" w:hint="eastAsia"/>
          <w:b/>
          <w:sz w:val="28"/>
          <w:szCs w:val="28"/>
        </w:rPr>
        <w:t>管理办法</w:t>
      </w:r>
      <w:r w:rsidRPr="00D7590C">
        <w:rPr>
          <w:rFonts w:asciiTheme="minorEastAsia" w:eastAsiaTheme="minorEastAsia" w:hAnsiTheme="minorEastAsia" w:hint="eastAsia"/>
          <w:sz w:val="28"/>
          <w:szCs w:val="28"/>
        </w:rPr>
        <w:t>》有关规定执行。</w:t>
      </w:r>
    </w:p>
    <w:p w:rsidR="00E06512" w:rsidRPr="00D7590C" w:rsidRDefault="00E06512" w:rsidP="00E06512">
      <w:pPr>
        <w:pStyle w:val="1"/>
        <w:tabs>
          <w:tab w:val="left" w:pos="1620"/>
          <w:tab w:val="left" w:pos="1800"/>
        </w:tabs>
        <w:spacing w:line="360" w:lineRule="auto"/>
        <w:ind w:firstLine="560"/>
        <w:rPr>
          <w:rFonts w:asciiTheme="minorEastAsia" w:eastAsiaTheme="minorEastAsia" w:hAnsiTheme="minorEastAsia"/>
          <w:sz w:val="28"/>
          <w:szCs w:val="28"/>
        </w:rPr>
      </w:pPr>
      <w:r w:rsidRPr="00D7590C">
        <w:rPr>
          <w:rFonts w:asciiTheme="minorEastAsia" w:eastAsiaTheme="minorEastAsia" w:hAnsiTheme="minorEastAsia"/>
          <w:sz w:val="28"/>
          <w:szCs w:val="28"/>
        </w:rPr>
        <w:t>……</w:t>
      </w:r>
    </w:p>
    <w:bookmarkEnd w:id="3"/>
    <w:p w:rsidR="00E06512" w:rsidRPr="00055379" w:rsidRDefault="00E06512" w:rsidP="00E06512"/>
    <w:p w:rsidR="00E06512" w:rsidRDefault="00E06512" w:rsidP="00E06512">
      <w:pPr>
        <w:rPr>
          <w:rFonts w:ascii="黑体" w:eastAsia="黑体" w:hAnsi="黑体"/>
          <w:sz w:val="32"/>
          <w:szCs w:val="32"/>
        </w:rPr>
        <w:sectPr w:rsidR="00E06512">
          <w:pgSz w:w="11906" w:h="16838"/>
          <w:pgMar w:top="1440" w:right="1800" w:bottom="1440" w:left="1800" w:header="851" w:footer="992" w:gutter="0"/>
          <w:cols w:space="425"/>
          <w:docGrid w:type="lines" w:linePitch="312"/>
        </w:sectPr>
      </w:pP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8</w:t>
      </w:r>
    </w:p>
    <w:p w:rsidR="00E06512" w:rsidRPr="0031228A" w:rsidRDefault="00E06512" w:rsidP="00E06512">
      <w:pPr>
        <w:widowControl/>
        <w:jc w:val="center"/>
        <w:rPr>
          <w:rFonts w:asciiTheme="minorEastAsia" w:hAnsiTheme="minorEastAsia" w:cs="宋体"/>
          <w:b/>
          <w:color w:val="000000"/>
          <w:kern w:val="0"/>
          <w:sz w:val="44"/>
          <w:szCs w:val="44"/>
        </w:rPr>
      </w:pPr>
      <w:r w:rsidRPr="0031228A">
        <w:rPr>
          <w:rFonts w:asciiTheme="minorEastAsia" w:hAnsiTheme="minorEastAsia" w:cs="宋体" w:hint="eastAsia"/>
          <w:b/>
          <w:color w:val="000000"/>
          <w:kern w:val="0"/>
          <w:sz w:val="44"/>
          <w:szCs w:val="44"/>
        </w:rPr>
        <w:t>郑州商品交易所期权交易管理办法</w:t>
      </w:r>
    </w:p>
    <w:p w:rsidR="00E06512" w:rsidRPr="0031228A" w:rsidRDefault="00E06512" w:rsidP="00E06512">
      <w:pPr>
        <w:widowControl/>
        <w:jc w:val="center"/>
        <w:rPr>
          <w:rFonts w:asciiTheme="minorEastAsia" w:hAnsiTheme="minorEastAsia" w:cs="宋体"/>
          <w:b/>
          <w:color w:val="000000"/>
          <w:kern w:val="0"/>
          <w:sz w:val="44"/>
          <w:szCs w:val="44"/>
        </w:rPr>
      </w:pPr>
      <w:r>
        <w:rPr>
          <w:rFonts w:asciiTheme="minorEastAsia" w:hAnsiTheme="minorEastAsia" w:cs="宋体" w:hint="eastAsia"/>
          <w:b/>
          <w:color w:val="000000"/>
          <w:kern w:val="0"/>
          <w:sz w:val="44"/>
          <w:szCs w:val="44"/>
        </w:rPr>
        <w:t>（优化</w:t>
      </w:r>
      <w:r w:rsidRPr="0031228A">
        <w:rPr>
          <w:rFonts w:asciiTheme="minorEastAsia" w:hAnsiTheme="minorEastAsia" w:cs="宋体" w:hint="eastAsia"/>
          <w:b/>
          <w:color w:val="000000"/>
          <w:kern w:val="0"/>
          <w:sz w:val="44"/>
          <w:szCs w:val="44"/>
        </w:rPr>
        <w:t>草案）</w:t>
      </w:r>
    </w:p>
    <w:p w:rsidR="00E06512" w:rsidRDefault="00E06512" w:rsidP="00E06512">
      <w:pPr>
        <w:pStyle w:val="1"/>
        <w:tabs>
          <w:tab w:val="left" w:pos="1620"/>
          <w:tab w:val="left" w:pos="1800"/>
        </w:tabs>
        <w:spacing w:line="360" w:lineRule="auto"/>
        <w:ind w:firstLine="560"/>
        <w:rPr>
          <w:rFonts w:ascii="黑体" w:eastAsia="黑体" w:hAnsi="黑体"/>
          <w:sz w:val="28"/>
          <w:szCs w:val="28"/>
        </w:rPr>
      </w:pPr>
    </w:p>
    <w:p w:rsidR="00E06512" w:rsidRPr="00B0673F" w:rsidRDefault="00E06512" w:rsidP="00E06512">
      <w:pPr>
        <w:pStyle w:val="1"/>
        <w:tabs>
          <w:tab w:val="left" w:pos="1620"/>
          <w:tab w:val="left" w:pos="1800"/>
        </w:tabs>
        <w:spacing w:line="360" w:lineRule="auto"/>
        <w:ind w:firstLine="560"/>
        <w:rPr>
          <w:rFonts w:asciiTheme="minorEastAsia" w:eastAsiaTheme="minorEastAsia" w:hAnsiTheme="minorEastAsia"/>
          <w:sz w:val="28"/>
          <w:szCs w:val="28"/>
        </w:rPr>
      </w:pPr>
      <w:r w:rsidRPr="00B0673F">
        <w:rPr>
          <w:rFonts w:ascii="黑体" w:eastAsia="黑体" w:hAnsi="黑体" w:hint="eastAsia"/>
          <w:sz w:val="28"/>
          <w:szCs w:val="28"/>
        </w:rPr>
        <w:t>第六十五条</w:t>
      </w:r>
      <w:r w:rsidRPr="00B0673F">
        <w:rPr>
          <w:rFonts w:asciiTheme="minorEastAsia" w:eastAsiaTheme="minorEastAsia" w:hAnsiTheme="minorEastAsia" w:hint="eastAsia"/>
          <w:sz w:val="28"/>
          <w:szCs w:val="28"/>
        </w:rPr>
        <w:t xml:space="preserve"> </w:t>
      </w:r>
      <w:r w:rsidRPr="00B0673F">
        <w:rPr>
          <w:rFonts w:asciiTheme="minorEastAsia" w:eastAsiaTheme="minorEastAsia" w:hAnsiTheme="minorEastAsia"/>
          <w:sz w:val="28"/>
          <w:szCs w:val="28"/>
        </w:rPr>
        <w:t>每日期权交易信息在每个交易日结束后发布，主要内容有：</w:t>
      </w:r>
    </w:p>
    <w:p w:rsidR="00E06512" w:rsidRPr="00B0673F" w:rsidRDefault="00E06512" w:rsidP="00E06512">
      <w:pPr>
        <w:spacing w:line="360" w:lineRule="auto"/>
        <w:ind w:firstLineChars="200" w:firstLine="560"/>
        <w:rPr>
          <w:rFonts w:asciiTheme="minorEastAsia" w:hAnsiTheme="minorEastAsia"/>
          <w:sz w:val="28"/>
          <w:szCs w:val="28"/>
        </w:rPr>
      </w:pPr>
      <w:r w:rsidRPr="00B0673F">
        <w:rPr>
          <w:rFonts w:asciiTheme="minorEastAsia" w:hAnsiTheme="minorEastAsia"/>
          <w:sz w:val="28"/>
          <w:szCs w:val="28"/>
        </w:rPr>
        <w:t>（一）每日行情：交易代码、开盘价、最高价、最低价、收盘价、前结算价、结算价、涨跌、成交量、成交额、持仓量、持仓量变化、德尔塔（Delta）、隐含波动率和行权量；</w:t>
      </w:r>
    </w:p>
    <w:p w:rsidR="00E06512" w:rsidRPr="00B0673F" w:rsidRDefault="00E06512" w:rsidP="00E06512">
      <w:pPr>
        <w:spacing w:line="360" w:lineRule="auto"/>
        <w:ind w:firstLineChars="200" w:firstLine="560"/>
        <w:rPr>
          <w:rFonts w:asciiTheme="minorEastAsia" w:hAnsiTheme="minorEastAsia"/>
          <w:sz w:val="28"/>
          <w:szCs w:val="28"/>
        </w:rPr>
      </w:pPr>
      <w:r w:rsidRPr="00B0673F">
        <w:rPr>
          <w:rFonts w:asciiTheme="minorEastAsia" w:hAnsiTheme="minorEastAsia"/>
          <w:sz w:val="28"/>
          <w:szCs w:val="28"/>
        </w:rPr>
        <w:t>（二）最近月份及活跃月份前20名会员的成交量、买卖持仓量</w:t>
      </w:r>
      <w:r w:rsidRPr="00B0673F">
        <w:rPr>
          <w:rFonts w:asciiTheme="minorEastAsia" w:hAnsiTheme="minorEastAsia" w:hint="eastAsia"/>
          <w:dstrike/>
          <w:sz w:val="28"/>
          <w:szCs w:val="28"/>
        </w:rPr>
        <w:t>，</w:t>
      </w:r>
      <w:r w:rsidRPr="00B0673F">
        <w:rPr>
          <w:rFonts w:asciiTheme="minorEastAsia" w:hAnsiTheme="minorEastAsia"/>
          <w:dstrike/>
          <w:sz w:val="28"/>
          <w:szCs w:val="28"/>
        </w:rPr>
        <w:t>品种套期保值额度</w:t>
      </w:r>
      <w:r w:rsidRPr="00B0673F">
        <w:rPr>
          <w:rFonts w:asciiTheme="minorEastAsia" w:hAnsiTheme="minorEastAsia" w:hint="eastAsia"/>
          <w:dstrike/>
          <w:sz w:val="28"/>
          <w:szCs w:val="28"/>
        </w:rPr>
        <w:t>及</w:t>
      </w:r>
      <w:r w:rsidRPr="00B0673F">
        <w:rPr>
          <w:rFonts w:asciiTheme="minorEastAsia" w:hAnsiTheme="minorEastAsia"/>
          <w:dstrike/>
          <w:sz w:val="28"/>
          <w:szCs w:val="28"/>
        </w:rPr>
        <w:t>持仓量</w:t>
      </w:r>
      <w:r w:rsidRPr="00B0673F">
        <w:rPr>
          <w:rFonts w:asciiTheme="minorEastAsia" w:hAnsiTheme="minorEastAsia"/>
          <w:sz w:val="28"/>
          <w:szCs w:val="28"/>
        </w:rPr>
        <w:t>。</w:t>
      </w:r>
    </w:p>
    <w:p w:rsidR="00E06512" w:rsidRDefault="00E06512" w:rsidP="00E06512">
      <w:pPr>
        <w:spacing w:line="360" w:lineRule="auto"/>
        <w:ind w:firstLineChars="200" w:firstLine="560"/>
        <w:rPr>
          <w:rFonts w:asciiTheme="minorEastAsia" w:hAnsiTheme="minorEastAsia"/>
          <w:sz w:val="28"/>
          <w:szCs w:val="28"/>
        </w:rPr>
      </w:pPr>
      <w:r w:rsidRPr="00B0673F">
        <w:rPr>
          <w:rFonts w:asciiTheme="minorEastAsia" w:hAnsiTheme="minorEastAsia" w:hint="eastAsia"/>
          <w:sz w:val="28"/>
          <w:szCs w:val="28"/>
        </w:rPr>
        <w:t>本条第一款第（一）项所称</w:t>
      </w:r>
      <w:r w:rsidRPr="00B0673F">
        <w:rPr>
          <w:rFonts w:asciiTheme="minorEastAsia" w:hAnsiTheme="minorEastAsia"/>
          <w:sz w:val="28"/>
          <w:szCs w:val="28"/>
        </w:rPr>
        <w:t>德尔塔（Delta）</w:t>
      </w:r>
      <w:r w:rsidRPr="00B0673F">
        <w:rPr>
          <w:rFonts w:asciiTheme="minorEastAsia" w:hAnsiTheme="minorEastAsia" w:hint="eastAsia"/>
          <w:sz w:val="28"/>
          <w:szCs w:val="28"/>
        </w:rPr>
        <w:t>是指期权价格的变动相对于其标的物价格变动的比率；行权量是指期权合约以行权为了结方式的数量。</w:t>
      </w:r>
    </w:p>
    <w:p w:rsidR="00E06512" w:rsidRPr="00B0673F" w:rsidRDefault="00E06512" w:rsidP="00E06512">
      <w:pPr>
        <w:spacing w:line="360" w:lineRule="auto"/>
        <w:ind w:firstLineChars="200" w:firstLine="560"/>
        <w:rPr>
          <w:rFonts w:asciiTheme="minorEastAsia" w:hAnsiTheme="minorEastAsia"/>
          <w:sz w:val="28"/>
          <w:szCs w:val="28"/>
        </w:rPr>
      </w:pPr>
      <w:r w:rsidRPr="00B0673F">
        <w:rPr>
          <w:rFonts w:asciiTheme="minorEastAsia" w:hAnsiTheme="minorEastAsia"/>
          <w:sz w:val="28"/>
          <w:szCs w:val="28"/>
        </w:rPr>
        <w:t>……</w:t>
      </w:r>
    </w:p>
    <w:p w:rsidR="00E06512" w:rsidRDefault="00E06512" w:rsidP="00E06512">
      <w:pPr>
        <w:rPr>
          <w:rFonts w:asciiTheme="minorEastAsia" w:hAnsiTheme="minorEastAsia"/>
          <w:sz w:val="28"/>
          <w:szCs w:val="28"/>
        </w:rPr>
        <w:sectPr w:rsidR="00E06512" w:rsidSect="00760A4A">
          <w:pgSz w:w="11906" w:h="16838"/>
          <w:pgMar w:top="1440" w:right="1800" w:bottom="1440" w:left="1800" w:header="851" w:footer="992" w:gutter="0"/>
          <w:cols w:space="425"/>
          <w:docGrid w:type="lines" w:linePitch="312"/>
        </w:sectPr>
      </w:pPr>
    </w:p>
    <w:p w:rsidR="00E06512" w:rsidRDefault="00E06512" w:rsidP="00E06512">
      <w:pPr>
        <w:rPr>
          <w:rFonts w:ascii="黑体" w:eastAsia="黑体" w:hAnsi="黑体"/>
          <w:sz w:val="32"/>
          <w:szCs w:val="32"/>
        </w:rPr>
      </w:pPr>
      <w:r w:rsidRPr="00EE4018">
        <w:rPr>
          <w:rFonts w:ascii="黑体" w:eastAsia="黑体" w:hAnsi="黑体"/>
          <w:sz w:val="32"/>
          <w:szCs w:val="32"/>
        </w:rPr>
        <w:lastRenderedPageBreak/>
        <w:t>附件</w:t>
      </w:r>
      <w:r>
        <w:rPr>
          <w:rFonts w:ascii="黑体" w:eastAsia="黑体" w:hAnsi="黑体" w:hint="eastAsia"/>
          <w:sz w:val="32"/>
          <w:szCs w:val="32"/>
        </w:rPr>
        <w:t>6</w:t>
      </w:r>
      <w:r w:rsidRPr="00EE4018">
        <w:rPr>
          <w:rFonts w:ascii="黑体" w:eastAsia="黑体" w:hAnsi="黑体" w:hint="eastAsia"/>
          <w:sz w:val="32"/>
          <w:szCs w:val="32"/>
        </w:rPr>
        <w:t>-</w:t>
      </w:r>
      <w:r>
        <w:rPr>
          <w:rFonts w:ascii="黑体" w:eastAsia="黑体" w:hAnsi="黑体" w:hint="eastAsia"/>
          <w:sz w:val="32"/>
          <w:szCs w:val="32"/>
        </w:rPr>
        <w:t>9</w:t>
      </w:r>
    </w:p>
    <w:p w:rsidR="00E06512" w:rsidRDefault="00E06512" w:rsidP="00E06512">
      <w:pPr>
        <w:jc w:val="center"/>
        <w:rPr>
          <w:rFonts w:asciiTheme="minorEastAsia" w:hAnsiTheme="minorEastAsia"/>
          <w:b/>
          <w:sz w:val="44"/>
          <w:szCs w:val="44"/>
        </w:rPr>
      </w:pPr>
      <w:r>
        <w:rPr>
          <w:rFonts w:asciiTheme="minorEastAsia" w:hAnsiTheme="minorEastAsia" w:hint="eastAsia"/>
          <w:b/>
          <w:sz w:val="44"/>
          <w:szCs w:val="44"/>
        </w:rPr>
        <w:t>各品种期货合约优化草案</w:t>
      </w:r>
    </w:p>
    <w:p w:rsidR="00E06512" w:rsidRDefault="00E06512" w:rsidP="00E06512">
      <w:pPr>
        <w:rPr>
          <w:rFonts w:ascii="仿宋" w:eastAsia="仿宋" w:hAnsi="仿宋"/>
          <w:sz w:val="30"/>
          <w:szCs w:val="30"/>
        </w:rPr>
      </w:pPr>
    </w:p>
    <w:p w:rsidR="00E06512" w:rsidRPr="00611314" w:rsidRDefault="00E06512" w:rsidP="00E06512">
      <w:pPr>
        <w:ind w:firstLineChars="200" w:firstLine="600"/>
        <w:rPr>
          <w:rFonts w:ascii="仿宋" w:eastAsia="仿宋" w:hAnsi="仿宋"/>
          <w:sz w:val="30"/>
          <w:szCs w:val="30"/>
        </w:rPr>
      </w:pPr>
      <w:r>
        <w:rPr>
          <w:rFonts w:ascii="仿宋" w:eastAsia="仿宋" w:hAnsi="仿宋"/>
          <w:sz w:val="30"/>
          <w:szCs w:val="30"/>
        </w:rPr>
        <w:t>一</w:t>
      </w:r>
      <w:r>
        <w:rPr>
          <w:rFonts w:ascii="仿宋" w:eastAsia="仿宋" w:hAnsi="仿宋" w:hint="eastAsia"/>
          <w:sz w:val="30"/>
          <w:szCs w:val="30"/>
        </w:rPr>
        <w:t>、将《郑州商品交易所普通小麦期货合约》《郑州商品交易所</w:t>
      </w:r>
      <w:r w:rsidRPr="00044E37">
        <w:rPr>
          <w:rFonts w:ascii="仿宋" w:eastAsia="仿宋" w:hAnsi="仿宋" w:hint="eastAsia"/>
          <w:sz w:val="30"/>
          <w:szCs w:val="30"/>
        </w:rPr>
        <w:t>优质强筋小麦</w:t>
      </w:r>
      <w:r>
        <w:rPr>
          <w:rFonts w:ascii="仿宋" w:eastAsia="仿宋" w:hAnsi="仿宋" w:hint="eastAsia"/>
          <w:sz w:val="30"/>
          <w:szCs w:val="30"/>
        </w:rPr>
        <w:t>期货合约》《郑州商品交易所白砂糖期货合约》《郑州商品交易所</w:t>
      </w:r>
      <w:r w:rsidRPr="005A1632">
        <w:rPr>
          <w:rFonts w:ascii="仿宋" w:eastAsia="仿宋" w:hAnsi="仿宋" w:hint="eastAsia"/>
          <w:sz w:val="28"/>
          <w:szCs w:val="28"/>
        </w:rPr>
        <w:t>油菜籽</w:t>
      </w:r>
      <w:r>
        <w:rPr>
          <w:rFonts w:ascii="仿宋" w:eastAsia="仿宋" w:hAnsi="仿宋" w:hint="eastAsia"/>
          <w:sz w:val="30"/>
          <w:szCs w:val="30"/>
        </w:rPr>
        <w:t>期货合约》《郑州商品交易所</w:t>
      </w:r>
      <w:r w:rsidRPr="005A1632">
        <w:rPr>
          <w:rFonts w:ascii="仿宋" w:eastAsia="仿宋" w:hAnsi="仿宋" w:hint="eastAsia"/>
          <w:sz w:val="28"/>
          <w:szCs w:val="28"/>
        </w:rPr>
        <w:t>菜籽</w:t>
      </w:r>
      <w:r>
        <w:rPr>
          <w:rFonts w:ascii="仿宋" w:eastAsia="仿宋" w:hAnsi="仿宋" w:hint="eastAsia"/>
          <w:sz w:val="28"/>
          <w:szCs w:val="28"/>
        </w:rPr>
        <w:t>油</w:t>
      </w:r>
      <w:r>
        <w:rPr>
          <w:rFonts w:ascii="仿宋" w:eastAsia="仿宋" w:hAnsi="仿宋" w:hint="eastAsia"/>
          <w:sz w:val="30"/>
          <w:szCs w:val="30"/>
        </w:rPr>
        <w:t>期货合约》《郑州商品交易所</w:t>
      </w:r>
      <w:r w:rsidRPr="005A1632">
        <w:rPr>
          <w:rFonts w:ascii="仿宋" w:eastAsia="仿宋" w:hAnsi="仿宋" w:hint="eastAsia"/>
          <w:sz w:val="28"/>
          <w:szCs w:val="28"/>
        </w:rPr>
        <w:t>菜籽</w:t>
      </w:r>
      <w:r>
        <w:rPr>
          <w:rFonts w:ascii="仿宋" w:eastAsia="仿宋" w:hAnsi="仿宋" w:hint="eastAsia"/>
          <w:sz w:val="28"/>
          <w:szCs w:val="28"/>
        </w:rPr>
        <w:t>粕</w:t>
      </w:r>
      <w:r>
        <w:rPr>
          <w:rFonts w:ascii="仿宋" w:eastAsia="仿宋" w:hAnsi="仿宋" w:hint="eastAsia"/>
          <w:sz w:val="30"/>
          <w:szCs w:val="30"/>
        </w:rPr>
        <w:t>期货合约》《郑州商品交易所</w:t>
      </w:r>
      <w:r>
        <w:rPr>
          <w:rFonts w:ascii="仿宋" w:eastAsia="仿宋" w:hAnsi="仿宋" w:hint="eastAsia"/>
          <w:sz w:val="28"/>
          <w:szCs w:val="28"/>
        </w:rPr>
        <w:t>早籼稻</w:t>
      </w:r>
      <w:r>
        <w:rPr>
          <w:rFonts w:ascii="仿宋" w:eastAsia="仿宋" w:hAnsi="仿宋" w:hint="eastAsia"/>
          <w:sz w:val="30"/>
          <w:szCs w:val="30"/>
        </w:rPr>
        <w:t>期货合约》《郑州商品交易所</w:t>
      </w:r>
      <w:r>
        <w:rPr>
          <w:rFonts w:ascii="仿宋" w:eastAsia="仿宋" w:hAnsi="仿宋" w:hint="eastAsia"/>
          <w:sz w:val="28"/>
          <w:szCs w:val="28"/>
        </w:rPr>
        <w:t>晚籼稻</w:t>
      </w:r>
      <w:r>
        <w:rPr>
          <w:rFonts w:ascii="仿宋" w:eastAsia="仿宋" w:hAnsi="仿宋" w:hint="eastAsia"/>
          <w:sz w:val="30"/>
          <w:szCs w:val="30"/>
        </w:rPr>
        <w:t>期货合约》《郑州商品交易</w:t>
      </w:r>
      <w:r w:rsidRPr="00611314">
        <w:rPr>
          <w:rFonts w:ascii="仿宋" w:eastAsia="仿宋" w:hAnsi="仿宋" w:hint="eastAsia"/>
          <w:sz w:val="30"/>
          <w:szCs w:val="30"/>
        </w:rPr>
        <w:t>所</w:t>
      </w:r>
      <w:r w:rsidRPr="00611314">
        <w:rPr>
          <w:rFonts w:ascii="仿宋" w:eastAsia="仿宋" w:hAnsi="仿宋" w:hint="eastAsia"/>
          <w:sz w:val="28"/>
          <w:szCs w:val="28"/>
        </w:rPr>
        <w:t>粳稻</w:t>
      </w:r>
      <w:r w:rsidR="004B569D" w:rsidRPr="00611314">
        <w:rPr>
          <w:rFonts w:ascii="仿宋" w:eastAsia="仿宋" w:hAnsi="仿宋" w:hint="eastAsia"/>
          <w:sz w:val="28"/>
          <w:szCs w:val="28"/>
        </w:rPr>
        <w:t>谷</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精对苯二甲酸</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甲醇</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玻璃</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动力煤</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硅铁</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锰硅</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棉纱</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鲜苹果</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干制红枣</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尿素</w:t>
      </w:r>
      <w:r w:rsidRPr="00611314">
        <w:rPr>
          <w:rFonts w:ascii="仿宋" w:eastAsia="仿宋" w:hAnsi="仿宋" w:hint="eastAsia"/>
          <w:sz w:val="30"/>
          <w:szCs w:val="30"/>
        </w:rPr>
        <w:t>期货合约》</w:t>
      </w:r>
      <w:r w:rsidR="004B569D" w:rsidRPr="00611314">
        <w:rPr>
          <w:rFonts w:ascii="仿宋" w:eastAsia="仿宋" w:hAnsi="仿宋" w:hint="eastAsia"/>
          <w:sz w:val="30"/>
          <w:szCs w:val="30"/>
        </w:rPr>
        <w:t>《郑州商品交易所</w:t>
      </w:r>
      <w:r w:rsidR="004B569D" w:rsidRPr="00611314">
        <w:rPr>
          <w:rFonts w:ascii="仿宋" w:eastAsia="仿宋" w:hAnsi="仿宋" w:hint="eastAsia"/>
          <w:sz w:val="28"/>
          <w:szCs w:val="28"/>
        </w:rPr>
        <w:t>纯碱</w:t>
      </w:r>
      <w:r w:rsidR="004B569D" w:rsidRPr="00611314">
        <w:rPr>
          <w:rFonts w:ascii="仿宋" w:eastAsia="仿宋" w:hAnsi="仿宋" w:hint="eastAsia"/>
          <w:sz w:val="30"/>
          <w:szCs w:val="30"/>
        </w:rPr>
        <w:t>期货合约》</w:t>
      </w:r>
      <w:r w:rsidRPr="00611314">
        <w:rPr>
          <w:rFonts w:ascii="仿宋" w:eastAsia="仿宋" w:hAnsi="仿宋" w:hint="eastAsia"/>
          <w:sz w:val="30"/>
          <w:szCs w:val="30"/>
        </w:rPr>
        <w:t>《郑州商品交易所</w:t>
      </w:r>
      <w:r w:rsidR="00D36E6A" w:rsidRPr="00611314">
        <w:rPr>
          <w:rFonts w:ascii="仿宋" w:eastAsia="仿宋" w:hAnsi="仿宋" w:hint="eastAsia"/>
          <w:sz w:val="30"/>
          <w:szCs w:val="30"/>
        </w:rPr>
        <w:t>涤纶</w:t>
      </w:r>
      <w:r w:rsidRPr="00611314">
        <w:rPr>
          <w:rFonts w:ascii="仿宋" w:eastAsia="仿宋" w:hAnsi="仿宋" w:hint="eastAsia"/>
          <w:sz w:val="28"/>
          <w:szCs w:val="28"/>
        </w:rPr>
        <w:t>短纤</w:t>
      </w:r>
      <w:r w:rsidRPr="00611314">
        <w:rPr>
          <w:rFonts w:ascii="仿宋" w:eastAsia="仿宋" w:hAnsi="仿宋" w:hint="eastAsia"/>
          <w:sz w:val="30"/>
          <w:szCs w:val="30"/>
        </w:rPr>
        <w:t>期货合约》《郑州商品交易所</w:t>
      </w:r>
      <w:r w:rsidRPr="00611314">
        <w:rPr>
          <w:rFonts w:ascii="仿宋" w:eastAsia="仿宋" w:hAnsi="仿宋" w:hint="eastAsia"/>
          <w:sz w:val="28"/>
          <w:szCs w:val="28"/>
        </w:rPr>
        <w:t>花生</w:t>
      </w:r>
      <w:r w:rsidR="004B569D" w:rsidRPr="00611314">
        <w:rPr>
          <w:rFonts w:ascii="仿宋" w:eastAsia="仿宋" w:hAnsi="仿宋" w:hint="eastAsia"/>
          <w:sz w:val="30"/>
          <w:szCs w:val="30"/>
        </w:rPr>
        <w:t>期货合约》中，“交割品级</w:t>
      </w:r>
      <w:r w:rsidRPr="00611314">
        <w:rPr>
          <w:rFonts w:ascii="仿宋" w:eastAsia="仿宋" w:hAnsi="仿宋" w:hint="eastAsia"/>
          <w:sz w:val="30"/>
          <w:szCs w:val="30"/>
        </w:rPr>
        <w:t>”中“《郑州商品交易所期货交割细则》”修改为“《郑州商品交易所期货交割管理办法》”。</w:t>
      </w:r>
    </w:p>
    <w:p w:rsidR="00E06512" w:rsidRPr="00B015F8" w:rsidRDefault="00E06512" w:rsidP="00E06512">
      <w:pPr>
        <w:ind w:firstLineChars="200" w:firstLine="600"/>
        <w:rPr>
          <w:rFonts w:ascii="仿宋" w:eastAsia="仿宋" w:hAnsi="仿宋"/>
          <w:sz w:val="30"/>
          <w:szCs w:val="30"/>
        </w:rPr>
      </w:pPr>
      <w:r w:rsidRPr="00611314">
        <w:rPr>
          <w:rFonts w:ascii="仿宋" w:eastAsia="仿宋" w:hAnsi="仿宋" w:hint="eastAsia"/>
          <w:sz w:val="30"/>
          <w:szCs w:val="30"/>
        </w:rPr>
        <w:t>二、将《郑州商品交易所晚籼稻期货合约》中“交易品种”，由“晚籼稻（简称‘晚稻</w:t>
      </w:r>
      <w:r w:rsidRPr="00611314">
        <w:rPr>
          <w:rFonts w:ascii="仿宋" w:eastAsia="仿宋" w:hAnsi="仿宋"/>
          <w:sz w:val="30"/>
          <w:szCs w:val="30"/>
        </w:rPr>
        <w:t>’</w:t>
      </w:r>
      <w:r w:rsidRPr="00611314">
        <w:rPr>
          <w:rFonts w:ascii="仿宋" w:eastAsia="仿宋" w:hAnsi="仿宋" w:hint="eastAsia"/>
          <w:sz w:val="30"/>
          <w:szCs w:val="30"/>
        </w:rPr>
        <w:t>）”修改为“晚籼稻”。</w:t>
      </w:r>
    </w:p>
    <w:p w:rsidR="00E06512" w:rsidRPr="00B015F8" w:rsidRDefault="00E06512" w:rsidP="00E06512">
      <w:pPr>
        <w:rPr>
          <w:rFonts w:asciiTheme="minorEastAsia" w:hAnsiTheme="minorEastAsia"/>
          <w:sz w:val="28"/>
          <w:szCs w:val="28"/>
        </w:rPr>
      </w:pPr>
    </w:p>
    <w:p w:rsidR="002B58FB" w:rsidRPr="00E06512" w:rsidRDefault="002B58FB"/>
    <w:sectPr w:rsidR="002B58FB" w:rsidRPr="00E06512" w:rsidSect="00760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5D" w:rsidRDefault="0071115D" w:rsidP="00E06512">
      <w:r>
        <w:separator/>
      </w:r>
    </w:p>
  </w:endnote>
  <w:endnote w:type="continuationSeparator" w:id="1">
    <w:p w:rsidR="0071115D" w:rsidRDefault="0071115D" w:rsidP="00E06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8547"/>
      <w:docPartObj>
        <w:docPartGallery w:val="Page Numbers (Bottom of Page)"/>
        <w:docPartUnique/>
      </w:docPartObj>
    </w:sdtPr>
    <w:sdtContent>
      <w:p w:rsidR="00E06512" w:rsidRDefault="003856E7">
        <w:pPr>
          <w:pStyle w:val="a3"/>
          <w:jc w:val="center"/>
        </w:pPr>
        <w:fldSimple w:instr=" PAGE   \* MERGEFORMAT ">
          <w:r w:rsidR="00557A8C" w:rsidRPr="00557A8C">
            <w:rPr>
              <w:noProof/>
              <w:lang w:val="zh-CN"/>
            </w:rPr>
            <w:t>21</w:t>
          </w:r>
        </w:fldSimple>
      </w:p>
    </w:sdtContent>
  </w:sdt>
  <w:p w:rsidR="00E06512" w:rsidRDefault="00E065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5D" w:rsidRDefault="0071115D" w:rsidP="00E06512">
      <w:r>
        <w:separator/>
      </w:r>
    </w:p>
  </w:footnote>
  <w:footnote w:type="continuationSeparator" w:id="1">
    <w:p w:rsidR="0071115D" w:rsidRDefault="0071115D" w:rsidP="00E06512">
      <w:r>
        <w:continuationSeparator/>
      </w:r>
    </w:p>
  </w:footnote>
  <w:footnote w:id="2">
    <w:p w:rsidR="00E06512" w:rsidRDefault="00E06512" w:rsidP="00E06512">
      <w:pPr>
        <w:pStyle w:val="a4"/>
      </w:pPr>
      <w:r>
        <w:rPr>
          <w:rStyle w:val="a5"/>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，干制红枣简称“红枣”，涤纶短纤简称“短纤”，花生仁简称“花生”。</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512"/>
    <w:rsid w:val="00001227"/>
    <w:rsid w:val="00001449"/>
    <w:rsid w:val="000206D1"/>
    <w:rsid w:val="00021206"/>
    <w:rsid w:val="000224D7"/>
    <w:rsid w:val="00022586"/>
    <w:rsid w:val="000232B3"/>
    <w:rsid w:val="000241A3"/>
    <w:rsid w:val="00024988"/>
    <w:rsid w:val="00024F60"/>
    <w:rsid w:val="0003183C"/>
    <w:rsid w:val="000349DC"/>
    <w:rsid w:val="0004329D"/>
    <w:rsid w:val="00044908"/>
    <w:rsid w:val="000461E0"/>
    <w:rsid w:val="00050FB4"/>
    <w:rsid w:val="00052270"/>
    <w:rsid w:val="00052873"/>
    <w:rsid w:val="000552B1"/>
    <w:rsid w:val="00056015"/>
    <w:rsid w:val="0005641E"/>
    <w:rsid w:val="00056DC7"/>
    <w:rsid w:val="0005796E"/>
    <w:rsid w:val="00060B7B"/>
    <w:rsid w:val="000614DF"/>
    <w:rsid w:val="00062757"/>
    <w:rsid w:val="000643A7"/>
    <w:rsid w:val="0006449F"/>
    <w:rsid w:val="00064A0D"/>
    <w:rsid w:val="0006555E"/>
    <w:rsid w:val="00065C95"/>
    <w:rsid w:val="00066714"/>
    <w:rsid w:val="00066E1A"/>
    <w:rsid w:val="00067E60"/>
    <w:rsid w:val="000702D0"/>
    <w:rsid w:val="00070A72"/>
    <w:rsid w:val="00070D45"/>
    <w:rsid w:val="0007263B"/>
    <w:rsid w:val="0007299E"/>
    <w:rsid w:val="00072F47"/>
    <w:rsid w:val="00073CC0"/>
    <w:rsid w:val="000748EA"/>
    <w:rsid w:val="00080BD5"/>
    <w:rsid w:val="00081B4B"/>
    <w:rsid w:val="000820CC"/>
    <w:rsid w:val="00082227"/>
    <w:rsid w:val="00083800"/>
    <w:rsid w:val="00085154"/>
    <w:rsid w:val="000869B9"/>
    <w:rsid w:val="00096223"/>
    <w:rsid w:val="000975D0"/>
    <w:rsid w:val="000A169A"/>
    <w:rsid w:val="000A1FA4"/>
    <w:rsid w:val="000A2CB2"/>
    <w:rsid w:val="000A2DBA"/>
    <w:rsid w:val="000A65CB"/>
    <w:rsid w:val="000A69E5"/>
    <w:rsid w:val="000A6DFE"/>
    <w:rsid w:val="000A75E9"/>
    <w:rsid w:val="000B129D"/>
    <w:rsid w:val="000B21CA"/>
    <w:rsid w:val="000B3E32"/>
    <w:rsid w:val="000C20BB"/>
    <w:rsid w:val="000C24FD"/>
    <w:rsid w:val="000C2B72"/>
    <w:rsid w:val="000C2D4E"/>
    <w:rsid w:val="000C3142"/>
    <w:rsid w:val="000C342F"/>
    <w:rsid w:val="000C3783"/>
    <w:rsid w:val="000C4452"/>
    <w:rsid w:val="000D23DB"/>
    <w:rsid w:val="000D3038"/>
    <w:rsid w:val="000D43AD"/>
    <w:rsid w:val="000D5F77"/>
    <w:rsid w:val="000D7009"/>
    <w:rsid w:val="000E0857"/>
    <w:rsid w:val="000E1984"/>
    <w:rsid w:val="000E3167"/>
    <w:rsid w:val="000E35D4"/>
    <w:rsid w:val="000E4554"/>
    <w:rsid w:val="000F34B6"/>
    <w:rsid w:val="000F7830"/>
    <w:rsid w:val="00100F50"/>
    <w:rsid w:val="00102AB0"/>
    <w:rsid w:val="00104390"/>
    <w:rsid w:val="001055B3"/>
    <w:rsid w:val="00105632"/>
    <w:rsid w:val="00111142"/>
    <w:rsid w:val="0011156F"/>
    <w:rsid w:val="0011195E"/>
    <w:rsid w:val="00111F60"/>
    <w:rsid w:val="001121CD"/>
    <w:rsid w:val="00121504"/>
    <w:rsid w:val="00121D2A"/>
    <w:rsid w:val="00122A90"/>
    <w:rsid w:val="00122C13"/>
    <w:rsid w:val="001233B8"/>
    <w:rsid w:val="0012443E"/>
    <w:rsid w:val="001248FC"/>
    <w:rsid w:val="00124ED4"/>
    <w:rsid w:val="00124F8F"/>
    <w:rsid w:val="0012581C"/>
    <w:rsid w:val="00133B9E"/>
    <w:rsid w:val="001344BA"/>
    <w:rsid w:val="00135A6E"/>
    <w:rsid w:val="00135B19"/>
    <w:rsid w:val="00135C6C"/>
    <w:rsid w:val="00141DFE"/>
    <w:rsid w:val="0014488D"/>
    <w:rsid w:val="00151664"/>
    <w:rsid w:val="00152D07"/>
    <w:rsid w:val="00152E6C"/>
    <w:rsid w:val="00153413"/>
    <w:rsid w:val="00153C7D"/>
    <w:rsid w:val="00155D5A"/>
    <w:rsid w:val="001640F3"/>
    <w:rsid w:val="00172E83"/>
    <w:rsid w:val="001730FB"/>
    <w:rsid w:val="00174C7D"/>
    <w:rsid w:val="00182FED"/>
    <w:rsid w:val="001850E9"/>
    <w:rsid w:val="00186EF6"/>
    <w:rsid w:val="00187615"/>
    <w:rsid w:val="00196C1E"/>
    <w:rsid w:val="00196DE6"/>
    <w:rsid w:val="0019736D"/>
    <w:rsid w:val="001A1835"/>
    <w:rsid w:val="001A24EC"/>
    <w:rsid w:val="001A3C36"/>
    <w:rsid w:val="001A4339"/>
    <w:rsid w:val="001A433F"/>
    <w:rsid w:val="001A5F8F"/>
    <w:rsid w:val="001A6084"/>
    <w:rsid w:val="001A618F"/>
    <w:rsid w:val="001A6DFA"/>
    <w:rsid w:val="001B1C30"/>
    <w:rsid w:val="001B1E99"/>
    <w:rsid w:val="001B6032"/>
    <w:rsid w:val="001B6124"/>
    <w:rsid w:val="001C17E9"/>
    <w:rsid w:val="001C4DE8"/>
    <w:rsid w:val="001C567D"/>
    <w:rsid w:val="001C67E6"/>
    <w:rsid w:val="001C77DB"/>
    <w:rsid w:val="001D00E7"/>
    <w:rsid w:val="001D2EA3"/>
    <w:rsid w:val="001D3A40"/>
    <w:rsid w:val="001E1091"/>
    <w:rsid w:val="001E218D"/>
    <w:rsid w:val="001E243B"/>
    <w:rsid w:val="001E284C"/>
    <w:rsid w:val="001E309B"/>
    <w:rsid w:val="001E4633"/>
    <w:rsid w:val="001E49D1"/>
    <w:rsid w:val="001E6077"/>
    <w:rsid w:val="001F0A27"/>
    <w:rsid w:val="001F20A5"/>
    <w:rsid w:val="001F2441"/>
    <w:rsid w:val="001F6D99"/>
    <w:rsid w:val="001F7105"/>
    <w:rsid w:val="001F73A2"/>
    <w:rsid w:val="0020080B"/>
    <w:rsid w:val="00211800"/>
    <w:rsid w:val="00212AB6"/>
    <w:rsid w:val="00213DED"/>
    <w:rsid w:val="00220568"/>
    <w:rsid w:val="00220EAB"/>
    <w:rsid w:val="00220FB8"/>
    <w:rsid w:val="0022221B"/>
    <w:rsid w:val="00222E21"/>
    <w:rsid w:val="00223DF9"/>
    <w:rsid w:val="002313BB"/>
    <w:rsid w:val="0023285A"/>
    <w:rsid w:val="00234807"/>
    <w:rsid w:val="00234B1A"/>
    <w:rsid w:val="00234DF2"/>
    <w:rsid w:val="00235A79"/>
    <w:rsid w:val="002409BD"/>
    <w:rsid w:val="002410A1"/>
    <w:rsid w:val="002443D1"/>
    <w:rsid w:val="0025050C"/>
    <w:rsid w:val="00252BCA"/>
    <w:rsid w:val="00252F19"/>
    <w:rsid w:val="0025423F"/>
    <w:rsid w:val="0025568A"/>
    <w:rsid w:val="00255A00"/>
    <w:rsid w:val="0026021A"/>
    <w:rsid w:val="00260353"/>
    <w:rsid w:val="002615D7"/>
    <w:rsid w:val="00261EF4"/>
    <w:rsid w:val="00266A71"/>
    <w:rsid w:val="002674F2"/>
    <w:rsid w:val="00270005"/>
    <w:rsid w:val="002702D3"/>
    <w:rsid w:val="002709C8"/>
    <w:rsid w:val="00271F4C"/>
    <w:rsid w:val="00273215"/>
    <w:rsid w:val="002736E1"/>
    <w:rsid w:val="00274898"/>
    <w:rsid w:val="00274FEF"/>
    <w:rsid w:val="0027593E"/>
    <w:rsid w:val="0027724F"/>
    <w:rsid w:val="00280BFD"/>
    <w:rsid w:val="00280C12"/>
    <w:rsid w:val="00281B2D"/>
    <w:rsid w:val="00282880"/>
    <w:rsid w:val="0028607C"/>
    <w:rsid w:val="00286ECA"/>
    <w:rsid w:val="00292684"/>
    <w:rsid w:val="002926BB"/>
    <w:rsid w:val="00294576"/>
    <w:rsid w:val="002A01E2"/>
    <w:rsid w:val="002A34C6"/>
    <w:rsid w:val="002A3FDD"/>
    <w:rsid w:val="002A489F"/>
    <w:rsid w:val="002A4B59"/>
    <w:rsid w:val="002A66C2"/>
    <w:rsid w:val="002A7679"/>
    <w:rsid w:val="002B09B7"/>
    <w:rsid w:val="002B58FB"/>
    <w:rsid w:val="002C7017"/>
    <w:rsid w:val="002C79B7"/>
    <w:rsid w:val="002D037A"/>
    <w:rsid w:val="002D2216"/>
    <w:rsid w:val="002D236D"/>
    <w:rsid w:val="002D3025"/>
    <w:rsid w:val="002D34F6"/>
    <w:rsid w:val="002D4715"/>
    <w:rsid w:val="002D7205"/>
    <w:rsid w:val="002E0EFD"/>
    <w:rsid w:val="002E194D"/>
    <w:rsid w:val="002E22E3"/>
    <w:rsid w:val="002E27B7"/>
    <w:rsid w:val="002E3F68"/>
    <w:rsid w:val="002E4F34"/>
    <w:rsid w:val="002E59C8"/>
    <w:rsid w:val="002E6C18"/>
    <w:rsid w:val="002E7ABD"/>
    <w:rsid w:val="002E7D5C"/>
    <w:rsid w:val="002F133C"/>
    <w:rsid w:val="002F22BE"/>
    <w:rsid w:val="002F588C"/>
    <w:rsid w:val="002F62A2"/>
    <w:rsid w:val="00304575"/>
    <w:rsid w:val="00304AB1"/>
    <w:rsid w:val="003053FB"/>
    <w:rsid w:val="003112A8"/>
    <w:rsid w:val="00311C96"/>
    <w:rsid w:val="0031253B"/>
    <w:rsid w:val="0032029E"/>
    <w:rsid w:val="00321244"/>
    <w:rsid w:val="003229DD"/>
    <w:rsid w:val="00324B1A"/>
    <w:rsid w:val="00325B58"/>
    <w:rsid w:val="00335C86"/>
    <w:rsid w:val="00336D7E"/>
    <w:rsid w:val="0034010D"/>
    <w:rsid w:val="00340FBA"/>
    <w:rsid w:val="0034237A"/>
    <w:rsid w:val="003479B1"/>
    <w:rsid w:val="00354A78"/>
    <w:rsid w:val="00356D13"/>
    <w:rsid w:val="00361571"/>
    <w:rsid w:val="0036659E"/>
    <w:rsid w:val="00370130"/>
    <w:rsid w:val="0037286C"/>
    <w:rsid w:val="003733FB"/>
    <w:rsid w:val="00374559"/>
    <w:rsid w:val="003763DF"/>
    <w:rsid w:val="0037754E"/>
    <w:rsid w:val="003856E7"/>
    <w:rsid w:val="00385FAC"/>
    <w:rsid w:val="00387B8E"/>
    <w:rsid w:val="00390E1D"/>
    <w:rsid w:val="003972AF"/>
    <w:rsid w:val="003A1DEC"/>
    <w:rsid w:val="003A5113"/>
    <w:rsid w:val="003A5BED"/>
    <w:rsid w:val="003B2C17"/>
    <w:rsid w:val="003B31B6"/>
    <w:rsid w:val="003B7CB3"/>
    <w:rsid w:val="003D11BC"/>
    <w:rsid w:val="003D2C17"/>
    <w:rsid w:val="003D4AFA"/>
    <w:rsid w:val="003D51E7"/>
    <w:rsid w:val="003D5A80"/>
    <w:rsid w:val="003D677C"/>
    <w:rsid w:val="003E1E9D"/>
    <w:rsid w:val="003E27B9"/>
    <w:rsid w:val="003E2A96"/>
    <w:rsid w:val="003E6A61"/>
    <w:rsid w:val="003F39DB"/>
    <w:rsid w:val="003F65EC"/>
    <w:rsid w:val="004012F7"/>
    <w:rsid w:val="004022D0"/>
    <w:rsid w:val="00405EFF"/>
    <w:rsid w:val="0040650F"/>
    <w:rsid w:val="004067C5"/>
    <w:rsid w:val="00406E44"/>
    <w:rsid w:val="0040731D"/>
    <w:rsid w:val="0041209B"/>
    <w:rsid w:val="004142E6"/>
    <w:rsid w:val="00414D07"/>
    <w:rsid w:val="00415385"/>
    <w:rsid w:val="0041627F"/>
    <w:rsid w:val="00420A13"/>
    <w:rsid w:val="004226CB"/>
    <w:rsid w:val="004227A1"/>
    <w:rsid w:val="00426CB7"/>
    <w:rsid w:val="004304B0"/>
    <w:rsid w:val="00431E69"/>
    <w:rsid w:val="004324F3"/>
    <w:rsid w:val="00434D6E"/>
    <w:rsid w:val="004373B4"/>
    <w:rsid w:val="00442EC1"/>
    <w:rsid w:val="00445F7D"/>
    <w:rsid w:val="0045031A"/>
    <w:rsid w:val="0045558D"/>
    <w:rsid w:val="0045647D"/>
    <w:rsid w:val="004568CA"/>
    <w:rsid w:val="004570CB"/>
    <w:rsid w:val="00460632"/>
    <w:rsid w:val="00460C4E"/>
    <w:rsid w:val="004634AC"/>
    <w:rsid w:val="00464824"/>
    <w:rsid w:val="0046768C"/>
    <w:rsid w:val="00467E44"/>
    <w:rsid w:val="00472747"/>
    <w:rsid w:val="004763CC"/>
    <w:rsid w:val="004772A4"/>
    <w:rsid w:val="004805EE"/>
    <w:rsid w:val="004834B0"/>
    <w:rsid w:val="0048461E"/>
    <w:rsid w:val="00484B8E"/>
    <w:rsid w:val="00497E12"/>
    <w:rsid w:val="00497FD2"/>
    <w:rsid w:val="004A04C7"/>
    <w:rsid w:val="004A1C65"/>
    <w:rsid w:val="004A30DB"/>
    <w:rsid w:val="004A3F20"/>
    <w:rsid w:val="004A511C"/>
    <w:rsid w:val="004A621A"/>
    <w:rsid w:val="004B2068"/>
    <w:rsid w:val="004B440A"/>
    <w:rsid w:val="004B4533"/>
    <w:rsid w:val="004B4B2A"/>
    <w:rsid w:val="004B569D"/>
    <w:rsid w:val="004B5C91"/>
    <w:rsid w:val="004C159A"/>
    <w:rsid w:val="004C3AFA"/>
    <w:rsid w:val="004C505C"/>
    <w:rsid w:val="004C546C"/>
    <w:rsid w:val="004D35A2"/>
    <w:rsid w:val="004D3B60"/>
    <w:rsid w:val="004D6348"/>
    <w:rsid w:val="004D6571"/>
    <w:rsid w:val="004D7FC1"/>
    <w:rsid w:val="004E3278"/>
    <w:rsid w:val="004E6435"/>
    <w:rsid w:val="004E75E9"/>
    <w:rsid w:val="004F0044"/>
    <w:rsid w:val="004F119F"/>
    <w:rsid w:val="004F4650"/>
    <w:rsid w:val="004F65E6"/>
    <w:rsid w:val="004F6FE4"/>
    <w:rsid w:val="00500F66"/>
    <w:rsid w:val="005021F1"/>
    <w:rsid w:val="00503ACE"/>
    <w:rsid w:val="00505D0B"/>
    <w:rsid w:val="00505E90"/>
    <w:rsid w:val="005067C8"/>
    <w:rsid w:val="00510C1A"/>
    <w:rsid w:val="005114DF"/>
    <w:rsid w:val="0051220A"/>
    <w:rsid w:val="00512557"/>
    <w:rsid w:val="00513174"/>
    <w:rsid w:val="00514BE4"/>
    <w:rsid w:val="005170E9"/>
    <w:rsid w:val="005172EA"/>
    <w:rsid w:val="005202B0"/>
    <w:rsid w:val="005217F3"/>
    <w:rsid w:val="00522CEF"/>
    <w:rsid w:val="00523176"/>
    <w:rsid w:val="0052560B"/>
    <w:rsid w:val="00525799"/>
    <w:rsid w:val="00525921"/>
    <w:rsid w:val="00526354"/>
    <w:rsid w:val="005268F9"/>
    <w:rsid w:val="00531E3D"/>
    <w:rsid w:val="00533764"/>
    <w:rsid w:val="00540453"/>
    <w:rsid w:val="00540695"/>
    <w:rsid w:val="00541061"/>
    <w:rsid w:val="00542257"/>
    <w:rsid w:val="005425FE"/>
    <w:rsid w:val="0054315A"/>
    <w:rsid w:val="005435B1"/>
    <w:rsid w:val="00543AB2"/>
    <w:rsid w:val="00544B13"/>
    <w:rsid w:val="005465D3"/>
    <w:rsid w:val="00554515"/>
    <w:rsid w:val="00557A8C"/>
    <w:rsid w:val="00561D64"/>
    <w:rsid w:val="0056334E"/>
    <w:rsid w:val="005638EE"/>
    <w:rsid w:val="00564131"/>
    <w:rsid w:val="0056437D"/>
    <w:rsid w:val="00564C5B"/>
    <w:rsid w:val="005661F8"/>
    <w:rsid w:val="00566598"/>
    <w:rsid w:val="00583BA6"/>
    <w:rsid w:val="00584F81"/>
    <w:rsid w:val="005967D9"/>
    <w:rsid w:val="005A02D2"/>
    <w:rsid w:val="005A0ABA"/>
    <w:rsid w:val="005A23CF"/>
    <w:rsid w:val="005B0BCC"/>
    <w:rsid w:val="005B140D"/>
    <w:rsid w:val="005B3B13"/>
    <w:rsid w:val="005D3C80"/>
    <w:rsid w:val="005D5DAC"/>
    <w:rsid w:val="005D66A8"/>
    <w:rsid w:val="005D70BD"/>
    <w:rsid w:val="005E18E8"/>
    <w:rsid w:val="005E5306"/>
    <w:rsid w:val="005E5847"/>
    <w:rsid w:val="005E64E8"/>
    <w:rsid w:val="005E6675"/>
    <w:rsid w:val="005E73A3"/>
    <w:rsid w:val="005F0E0C"/>
    <w:rsid w:val="005F1C1D"/>
    <w:rsid w:val="005F1DBD"/>
    <w:rsid w:val="005F1E6B"/>
    <w:rsid w:val="005F4FB5"/>
    <w:rsid w:val="005F5689"/>
    <w:rsid w:val="00600F61"/>
    <w:rsid w:val="0060254B"/>
    <w:rsid w:val="00603C09"/>
    <w:rsid w:val="00604178"/>
    <w:rsid w:val="006044A1"/>
    <w:rsid w:val="00606DA1"/>
    <w:rsid w:val="00611314"/>
    <w:rsid w:val="0061239B"/>
    <w:rsid w:val="006127B8"/>
    <w:rsid w:val="00614B14"/>
    <w:rsid w:val="006162AE"/>
    <w:rsid w:val="00621BE6"/>
    <w:rsid w:val="006222C1"/>
    <w:rsid w:val="006225EE"/>
    <w:rsid w:val="00623E40"/>
    <w:rsid w:val="00624B07"/>
    <w:rsid w:val="00626C3A"/>
    <w:rsid w:val="006317C9"/>
    <w:rsid w:val="006373CD"/>
    <w:rsid w:val="00641642"/>
    <w:rsid w:val="00643AAB"/>
    <w:rsid w:val="00644703"/>
    <w:rsid w:val="006505C1"/>
    <w:rsid w:val="00650B18"/>
    <w:rsid w:val="0065720D"/>
    <w:rsid w:val="0065733D"/>
    <w:rsid w:val="00662681"/>
    <w:rsid w:val="00663CA4"/>
    <w:rsid w:val="00664847"/>
    <w:rsid w:val="0066734D"/>
    <w:rsid w:val="00670D7D"/>
    <w:rsid w:val="0067203E"/>
    <w:rsid w:val="006731C8"/>
    <w:rsid w:val="00674133"/>
    <w:rsid w:val="006744A3"/>
    <w:rsid w:val="006801BD"/>
    <w:rsid w:val="006804E4"/>
    <w:rsid w:val="006811E9"/>
    <w:rsid w:val="00683CB1"/>
    <w:rsid w:val="00684C3C"/>
    <w:rsid w:val="006868F6"/>
    <w:rsid w:val="0068706D"/>
    <w:rsid w:val="0069237F"/>
    <w:rsid w:val="00692993"/>
    <w:rsid w:val="0069376F"/>
    <w:rsid w:val="00694569"/>
    <w:rsid w:val="006969AB"/>
    <w:rsid w:val="00696EE4"/>
    <w:rsid w:val="0069749E"/>
    <w:rsid w:val="00697CE4"/>
    <w:rsid w:val="00697EEB"/>
    <w:rsid w:val="006A158A"/>
    <w:rsid w:val="006A2FF6"/>
    <w:rsid w:val="006A35F8"/>
    <w:rsid w:val="006A5B1B"/>
    <w:rsid w:val="006A5EB1"/>
    <w:rsid w:val="006B0570"/>
    <w:rsid w:val="006B3187"/>
    <w:rsid w:val="006B4CD0"/>
    <w:rsid w:val="006B50E0"/>
    <w:rsid w:val="006B74C4"/>
    <w:rsid w:val="006C1CAB"/>
    <w:rsid w:val="006C5AA0"/>
    <w:rsid w:val="006D2788"/>
    <w:rsid w:val="006D2A51"/>
    <w:rsid w:val="006D3AF5"/>
    <w:rsid w:val="006D3B1C"/>
    <w:rsid w:val="006D55AF"/>
    <w:rsid w:val="006D563D"/>
    <w:rsid w:val="006D65BD"/>
    <w:rsid w:val="006E0125"/>
    <w:rsid w:val="006E0815"/>
    <w:rsid w:val="006E25EA"/>
    <w:rsid w:val="006E39C0"/>
    <w:rsid w:val="006E3F17"/>
    <w:rsid w:val="006F0CAF"/>
    <w:rsid w:val="006F457A"/>
    <w:rsid w:val="006F54D0"/>
    <w:rsid w:val="006F6B76"/>
    <w:rsid w:val="006F75C7"/>
    <w:rsid w:val="00700331"/>
    <w:rsid w:val="00702851"/>
    <w:rsid w:val="00704222"/>
    <w:rsid w:val="00704905"/>
    <w:rsid w:val="007052C2"/>
    <w:rsid w:val="007061D2"/>
    <w:rsid w:val="00707015"/>
    <w:rsid w:val="00710BBE"/>
    <w:rsid w:val="0071115D"/>
    <w:rsid w:val="0071140A"/>
    <w:rsid w:val="007134D8"/>
    <w:rsid w:val="007138DD"/>
    <w:rsid w:val="00716112"/>
    <w:rsid w:val="00716AE9"/>
    <w:rsid w:val="007172AD"/>
    <w:rsid w:val="007174E8"/>
    <w:rsid w:val="007238B9"/>
    <w:rsid w:val="00724313"/>
    <w:rsid w:val="00726804"/>
    <w:rsid w:val="007269D7"/>
    <w:rsid w:val="00727467"/>
    <w:rsid w:val="00727E25"/>
    <w:rsid w:val="00730174"/>
    <w:rsid w:val="00730DF9"/>
    <w:rsid w:val="00731679"/>
    <w:rsid w:val="00731E25"/>
    <w:rsid w:val="00737739"/>
    <w:rsid w:val="00744984"/>
    <w:rsid w:val="00746F12"/>
    <w:rsid w:val="00763326"/>
    <w:rsid w:val="00765FDC"/>
    <w:rsid w:val="007667BA"/>
    <w:rsid w:val="0077185F"/>
    <w:rsid w:val="007719A6"/>
    <w:rsid w:val="00772555"/>
    <w:rsid w:val="007760D3"/>
    <w:rsid w:val="0077658A"/>
    <w:rsid w:val="0077777E"/>
    <w:rsid w:val="00777BD2"/>
    <w:rsid w:val="00780E0B"/>
    <w:rsid w:val="0078289E"/>
    <w:rsid w:val="007867F0"/>
    <w:rsid w:val="00786A7F"/>
    <w:rsid w:val="00787B02"/>
    <w:rsid w:val="00791899"/>
    <w:rsid w:val="00792D95"/>
    <w:rsid w:val="00794582"/>
    <w:rsid w:val="00797677"/>
    <w:rsid w:val="007A4B95"/>
    <w:rsid w:val="007A598A"/>
    <w:rsid w:val="007A7A12"/>
    <w:rsid w:val="007B518E"/>
    <w:rsid w:val="007B5BDD"/>
    <w:rsid w:val="007B72FC"/>
    <w:rsid w:val="007B7A10"/>
    <w:rsid w:val="007C15DB"/>
    <w:rsid w:val="007C2578"/>
    <w:rsid w:val="007C33CA"/>
    <w:rsid w:val="007C5D8E"/>
    <w:rsid w:val="007C6AC5"/>
    <w:rsid w:val="007C7E3D"/>
    <w:rsid w:val="007C7EC2"/>
    <w:rsid w:val="007D0616"/>
    <w:rsid w:val="007D1922"/>
    <w:rsid w:val="007D5A28"/>
    <w:rsid w:val="007D6B8E"/>
    <w:rsid w:val="007D76F3"/>
    <w:rsid w:val="007D7B02"/>
    <w:rsid w:val="007E313C"/>
    <w:rsid w:val="007E602C"/>
    <w:rsid w:val="007E637E"/>
    <w:rsid w:val="007F1766"/>
    <w:rsid w:val="007F195F"/>
    <w:rsid w:val="007F3DD1"/>
    <w:rsid w:val="007F5338"/>
    <w:rsid w:val="007F6310"/>
    <w:rsid w:val="007F6B4C"/>
    <w:rsid w:val="0080077B"/>
    <w:rsid w:val="0080477E"/>
    <w:rsid w:val="00804822"/>
    <w:rsid w:val="00807700"/>
    <w:rsid w:val="008077A5"/>
    <w:rsid w:val="00807ED3"/>
    <w:rsid w:val="00811651"/>
    <w:rsid w:val="00812908"/>
    <w:rsid w:val="0081676B"/>
    <w:rsid w:val="00816C4C"/>
    <w:rsid w:val="00820749"/>
    <w:rsid w:val="00821D71"/>
    <w:rsid w:val="00824184"/>
    <w:rsid w:val="00825765"/>
    <w:rsid w:val="008264D1"/>
    <w:rsid w:val="008309D9"/>
    <w:rsid w:val="00832805"/>
    <w:rsid w:val="00833052"/>
    <w:rsid w:val="00841DE2"/>
    <w:rsid w:val="00842CEF"/>
    <w:rsid w:val="00842DA7"/>
    <w:rsid w:val="00853496"/>
    <w:rsid w:val="00855CCA"/>
    <w:rsid w:val="00856FA0"/>
    <w:rsid w:val="00860CBD"/>
    <w:rsid w:val="00860CD3"/>
    <w:rsid w:val="00867A81"/>
    <w:rsid w:val="0087018C"/>
    <w:rsid w:val="008715D1"/>
    <w:rsid w:val="0087198D"/>
    <w:rsid w:val="0087335D"/>
    <w:rsid w:val="0088301A"/>
    <w:rsid w:val="0088622A"/>
    <w:rsid w:val="00887775"/>
    <w:rsid w:val="00887AD3"/>
    <w:rsid w:val="008918A8"/>
    <w:rsid w:val="0089273C"/>
    <w:rsid w:val="0089470D"/>
    <w:rsid w:val="008959D7"/>
    <w:rsid w:val="00895BB9"/>
    <w:rsid w:val="00897759"/>
    <w:rsid w:val="008A08F5"/>
    <w:rsid w:val="008A5B42"/>
    <w:rsid w:val="008A6FF1"/>
    <w:rsid w:val="008A7B59"/>
    <w:rsid w:val="008B27AF"/>
    <w:rsid w:val="008B30FD"/>
    <w:rsid w:val="008B59AE"/>
    <w:rsid w:val="008B5CD2"/>
    <w:rsid w:val="008B7152"/>
    <w:rsid w:val="008C0F02"/>
    <w:rsid w:val="008C4BFE"/>
    <w:rsid w:val="008C785B"/>
    <w:rsid w:val="008D0EA2"/>
    <w:rsid w:val="008D1CE0"/>
    <w:rsid w:val="008D21DC"/>
    <w:rsid w:val="008D311B"/>
    <w:rsid w:val="008D49B1"/>
    <w:rsid w:val="008E67E3"/>
    <w:rsid w:val="008E6CF0"/>
    <w:rsid w:val="008E7344"/>
    <w:rsid w:val="008F2319"/>
    <w:rsid w:val="008F416E"/>
    <w:rsid w:val="008F7714"/>
    <w:rsid w:val="00900B0B"/>
    <w:rsid w:val="00901643"/>
    <w:rsid w:val="00902030"/>
    <w:rsid w:val="0090475E"/>
    <w:rsid w:val="009067AD"/>
    <w:rsid w:val="00907E73"/>
    <w:rsid w:val="0091225C"/>
    <w:rsid w:val="00914018"/>
    <w:rsid w:val="0091774A"/>
    <w:rsid w:val="009177A0"/>
    <w:rsid w:val="009206B5"/>
    <w:rsid w:val="00921E86"/>
    <w:rsid w:val="00923C9C"/>
    <w:rsid w:val="009249E3"/>
    <w:rsid w:val="009250F5"/>
    <w:rsid w:val="00927B29"/>
    <w:rsid w:val="009314DC"/>
    <w:rsid w:val="00931CEC"/>
    <w:rsid w:val="00932263"/>
    <w:rsid w:val="009323C5"/>
    <w:rsid w:val="0093355B"/>
    <w:rsid w:val="0093489D"/>
    <w:rsid w:val="009365D2"/>
    <w:rsid w:val="00940CDF"/>
    <w:rsid w:val="009436B4"/>
    <w:rsid w:val="00943B68"/>
    <w:rsid w:val="0095362C"/>
    <w:rsid w:val="00955AC9"/>
    <w:rsid w:val="00965435"/>
    <w:rsid w:val="00966E29"/>
    <w:rsid w:val="00970682"/>
    <w:rsid w:val="00970F3D"/>
    <w:rsid w:val="00971A77"/>
    <w:rsid w:val="00972990"/>
    <w:rsid w:val="00973EB2"/>
    <w:rsid w:val="00982548"/>
    <w:rsid w:val="00982D3A"/>
    <w:rsid w:val="0098361E"/>
    <w:rsid w:val="00987CA6"/>
    <w:rsid w:val="0099508B"/>
    <w:rsid w:val="00995E34"/>
    <w:rsid w:val="00996450"/>
    <w:rsid w:val="0099703B"/>
    <w:rsid w:val="00997C37"/>
    <w:rsid w:val="009A0D60"/>
    <w:rsid w:val="009A0DBD"/>
    <w:rsid w:val="009A0E73"/>
    <w:rsid w:val="009A0EC5"/>
    <w:rsid w:val="009A2820"/>
    <w:rsid w:val="009A3BF6"/>
    <w:rsid w:val="009A6F52"/>
    <w:rsid w:val="009B0994"/>
    <w:rsid w:val="009B4C22"/>
    <w:rsid w:val="009C0DC5"/>
    <w:rsid w:val="009C37CD"/>
    <w:rsid w:val="009C47D0"/>
    <w:rsid w:val="009D051C"/>
    <w:rsid w:val="009D3318"/>
    <w:rsid w:val="009D39D2"/>
    <w:rsid w:val="009E22EB"/>
    <w:rsid w:val="009E37DC"/>
    <w:rsid w:val="009F23A4"/>
    <w:rsid w:val="009F715A"/>
    <w:rsid w:val="009F72EE"/>
    <w:rsid w:val="00A01F14"/>
    <w:rsid w:val="00A0348F"/>
    <w:rsid w:val="00A048DF"/>
    <w:rsid w:val="00A0677D"/>
    <w:rsid w:val="00A067C0"/>
    <w:rsid w:val="00A10EAE"/>
    <w:rsid w:val="00A11478"/>
    <w:rsid w:val="00A13560"/>
    <w:rsid w:val="00A14A7B"/>
    <w:rsid w:val="00A15A3E"/>
    <w:rsid w:val="00A2137B"/>
    <w:rsid w:val="00A2145A"/>
    <w:rsid w:val="00A266DF"/>
    <w:rsid w:val="00A27187"/>
    <w:rsid w:val="00A274AD"/>
    <w:rsid w:val="00A3193B"/>
    <w:rsid w:val="00A3544C"/>
    <w:rsid w:val="00A377A6"/>
    <w:rsid w:val="00A379F2"/>
    <w:rsid w:val="00A40A5D"/>
    <w:rsid w:val="00A41259"/>
    <w:rsid w:val="00A43A99"/>
    <w:rsid w:val="00A47206"/>
    <w:rsid w:val="00A479EF"/>
    <w:rsid w:val="00A5353B"/>
    <w:rsid w:val="00A5471F"/>
    <w:rsid w:val="00A56148"/>
    <w:rsid w:val="00A57117"/>
    <w:rsid w:val="00A630AE"/>
    <w:rsid w:val="00A630C0"/>
    <w:rsid w:val="00A661F8"/>
    <w:rsid w:val="00A71AB5"/>
    <w:rsid w:val="00A735D4"/>
    <w:rsid w:val="00A7396C"/>
    <w:rsid w:val="00A752AA"/>
    <w:rsid w:val="00A76432"/>
    <w:rsid w:val="00A806AB"/>
    <w:rsid w:val="00A81240"/>
    <w:rsid w:val="00A816FA"/>
    <w:rsid w:val="00A8197B"/>
    <w:rsid w:val="00A81AA0"/>
    <w:rsid w:val="00A86B35"/>
    <w:rsid w:val="00A9050B"/>
    <w:rsid w:val="00A92852"/>
    <w:rsid w:val="00A9417C"/>
    <w:rsid w:val="00A96886"/>
    <w:rsid w:val="00A96FBB"/>
    <w:rsid w:val="00AA0145"/>
    <w:rsid w:val="00AA0F86"/>
    <w:rsid w:val="00AA2B7A"/>
    <w:rsid w:val="00AA37AC"/>
    <w:rsid w:val="00AA583C"/>
    <w:rsid w:val="00AA5E94"/>
    <w:rsid w:val="00AA78AC"/>
    <w:rsid w:val="00AB034C"/>
    <w:rsid w:val="00AB32A7"/>
    <w:rsid w:val="00AB36D6"/>
    <w:rsid w:val="00AC050B"/>
    <w:rsid w:val="00AC087A"/>
    <w:rsid w:val="00AC09AD"/>
    <w:rsid w:val="00AC193C"/>
    <w:rsid w:val="00AC238B"/>
    <w:rsid w:val="00AC3803"/>
    <w:rsid w:val="00AC3D7B"/>
    <w:rsid w:val="00AC7D1E"/>
    <w:rsid w:val="00AD0837"/>
    <w:rsid w:val="00AD0BAA"/>
    <w:rsid w:val="00AD1281"/>
    <w:rsid w:val="00AD2320"/>
    <w:rsid w:val="00AD3FA6"/>
    <w:rsid w:val="00AD5979"/>
    <w:rsid w:val="00AD6A32"/>
    <w:rsid w:val="00AD6AEB"/>
    <w:rsid w:val="00AD6C6A"/>
    <w:rsid w:val="00AD78FC"/>
    <w:rsid w:val="00AE06E2"/>
    <w:rsid w:val="00AE1164"/>
    <w:rsid w:val="00AE133B"/>
    <w:rsid w:val="00AE4E89"/>
    <w:rsid w:val="00AE64A3"/>
    <w:rsid w:val="00AE655D"/>
    <w:rsid w:val="00AE6E04"/>
    <w:rsid w:val="00AF0AAA"/>
    <w:rsid w:val="00AF24D1"/>
    <w:rsid w:val="00AF3261"/>
    <w:rsid w:val="00AF41A5"/>
    <w:rsid w:val="00AF4222"/>
    <w:rsid w:val="00AF42D2"/>
    <w:rsid w:val="00AF4C58"/>
    <w:rsid w:val="00AF5234"/>
    <w:rsid w:val="00AF543C"/>
    <w:rsid w:val="00B02189"/>
    <w:rsid w:val="00B03EE3"/>
    <w:rsid w:val="00B040FB"/>
    <w:rsid w:val="00B04535"/>
    <w:rsid w:val="00B0605F"/>
    <w:rsid w:val="00B07D96"/>
    <w:rsid w:val="00B106C6"/>
    <w:rsid w:val="00B121AC"/>
    <w:rsid w:val="00B13945"/>
    <w:rsid w:val="00B13F95"/>
    <w:rsid w:val="00B146DD"/>
    <w:rsid w:val="00B14A18"/>
    <w:rsid w:val="00B1696C"/>
    <w:rsid w:val="00B206D6"/>
    <w:rsid w:val="00B20BB8"/>
    <w:rsid w:val="00B216FD"/>
    <w:rsid w:val="00B22D6A"/>
    <w:rsid w:val="00B23BD0"/>
    <w:rsid w:val="00B30FFB"/>
    <w:rsid w:val="00B33ED0"/>
    <w:rsid w:val="00B34FA3"/>
    <w:rsid w:val="00B369E3"/>
    <w:rsid w:val="00B371A1"/>
    <w:rsid w:val="00B400B1"/>
    <w:rsid w:val="00B41D1D"/>
    <w:rsid w:val="00B41EA7"/>
    <w:rsid w:val="00B439E4"/>
    <w:rsid w:val="00B44978"/>
    <w:rsid w:val="00B4570F"/>
    <w:rsid w:val="00B51AFD"/>
    <w:rsid w:val="00B53262"/>
    <w:rsid w:val="00B62494"/>
    <w:rsid w:val="00B62A98"/>
    <w:rsid w:val="00B8089A"/>
    <w:rsid w:val="00B81236"/>
    <w:rsid w:val="00B83747"/>
    <w:rsid w:val="00B84BC3"/>
    <w:rsid w:val="00B85D35"/>
    <w:rsid w:val="00B87CCE"/>
    <w:rsid w:val="00B9141F"/>
    <w:rsid w:val="00B9215C"/>
    <w:rsid w:val="00B927B2"/>
    <w:rsid w:val="00B92ED9"/>
    <w:rsid w:val="00B945A0"/>
    <w:rsid w:val="00B963D2"/>
    <w:rsid w:val="00B965DB"/>
    <w:rsid w:val="00B977B0"/>
    <w:rsid w:val="00B977EA"/>
    <w:rsid w:val="00BA24EF"/>
    <w:rsid w:val="00BA2E1F"/>
    <w:rsid w:val="00BA634F"/>
    <w:rsid w:val="00BB253A"/>
    <w:rsid w:val="00BB25BD"/>
    <w:rsid w:val="00BB33DB"/>
    <w:rsid w:val="00BB4FF8"/>
    <w:rsid w:val="00BC0D42"/>
    <w:rsid w:val="00BC205D"/>
    <w:rsid w:val="00BC4ED8"/>
    <w:rsid w:val="00BC64CD"/>
    <w:rsid w:val="00BD0728"/>
    <w:rsid w:val="00BD2354"/>
    <w:rsid w:val="00BD38BD"/>
    <w:rsid w:val="00BD5241"/>
    <w:rsid w:val="00BD6337"/>
    <w:rsid w:val="00BD7F3F"/>
    <w:rsid w:val="00BE05F6"/>
    <w:rsid w:val="00BE0866"/>
    <w:rsid w:val="00BE1A43"/>
    <w:rsid w:val="00BE6E38"/>
    <w:rsid w:val="00BF256F"/>
    <w:rsid w:val="00BF388C"/>
    <w:rsid w:val="00C00098"/>
    <w:rsid w:val="00C00356"/>
    <w:rsid w:val="00C02AC3"/>
    <w:rsid w:val="00C06D4C"/>
    <w:rsid w:val="00C12458"/>
    <w:rsid w:val="00C1369A"/>
    <w:rsid w:val="00C1373A"/>
    <w:rsid w:val="00C205F5"/>
    <w:rsid w:val="00C20D0D"/>
    <w:rsid w:val="00C22909"/>
    <w:rsid w:val="00C2469C"/>
    <w:rsid w:val="00C259AC"/>
    <w:rsid w:val="00C26B7E"/>
    <w:rsid w:val="00C2775A"/>
    <w:rsid w:val="00C3051D"/>
    <w:rsid w:val="00C30680"/>
    <w:rsid w:val="00C32C37"/>
    <w:rsid w:val="00C34758"/>
    <w:rsid w:val="00C37E64"/>
    <w:rsid w:val="00C45DAF"/>
    <w:rsid w:val="00C4653C"/>
    <w:rsid w:val="00C47543"/>
    <w:rsid w:val="00C47C4D"/>
    <w:rsid w:val="00C47CB8"/>
    <w:rsid w:val="00C50F99"/>
    <w:rsid w:val="00C5144C"/>
    <w:rsid w:val="00C52AD2"/>
    <w:rsid w:val="00C54C38"/>
    <w:rsid w:val="00C55066"/>
    <w:rsid w:val="00C57A44"/>
    <w:rsid w:val="00C65147"/>
    <w:rsid w:val="00C7176D"/>
    <w:rsid w:val="00C744D7"/>
    <w:rsid w:val="00C77DD4"/>
    <w:rsid w:val="00C80A6A"/>
    <w:rsid w:val="00C875CB"/>
    <w:rsid w:val="00C877D8"/>
    <w:rsid w:val="00C87B99"/>
    <w:rsid w:val="00C90632"/>
    <w:rsid w:val="00C9264D"/>
    <w:rsid w:val="00C9342D"/>
    <w:rsid w:val="00C95F6D"/>
    <w:rsid w:val="00C97592"/>
    <w:rsid w:val="00CA051A"/>
    <w:rsid w:val="00CA1D14"/>
    <w:rsid w:val="00CA3EF3"/>
    <w:rsid w:val="00CA47E8"/>
    <w:rsid w:val="00CA5558"/>
    <w:rsid w:val="00CB1818"/>
    <w:rsid w:val="00CB3429"/>
    <w:rsid w:val="00CB44DD"/>
    <w:rsid w:val="00CB53E8"/>
    <w:rsid w:val="00CB6E6F"/>
    <w:rsid w:val="00CB767B"/>
    <w:rsid w:val="00CB7B95"/>
    <w:rsid w:val="00CC19BF"/>
    <w:rsid w:val="00CD20B4"/>
    <w:rsid w:val="00CD3D87"/>
    <w:rsid w:val="00CD67C5"/>
    <w:rsid w:val="00CD72F9"/>
    <w:rsid w:val="00CE12D1"/>
    <w:rsid w:val="00CE1368"/>
    <w:rsid w:val="00CE56FA"/>
    <w:rsid w:val="00CE5CC9"/>
    <w:rsid w:val="00CE79A8"/>
    <w:rsid w:val="00CF1AA2"/>
    <w:rsid w:val="00CF4B32"/>
    <w:rsid w:val="00CF6D2F"/>
    <w:rsid w:val="00CF7A91"/>
    <w:rsid w:val="00D00DC7"/>
    <w:rsid w:val="00D0238F"/>
    <w:rsid w:val="00D04F48"/>
    <w:rsid w:val="00D10EB7"/>
    <w:rsid w:val="00D13089"/>
    <w:rsid w:val="00D13E5B"/>
    <w:rsid w:val="00D16619"/>
    <w:rsid w:val="00D16B25"/>
    <w:rsid w:val="00D20EF7"/>
    <w:rsid w:val="00D21BA9"/>
    <w:rsid w:val="00D22B38"/>
    <w:rsid w:val="00D23024"/>
    <w:rsid w:val="00D243E6"/>
    <w:rsid w:val="00D2504E"/>
    <w:rsid w:val="00D268E9"/>
    <w:rsid w:val="00D30059"/>
    <w:rsid w:val="00D30799"/>
    <w:rsid w:val="00D314A4"/>
    <w:rsid w:val="00D3400B"/>
    <w:rsid w:val="00D36E6A"/>
    <w:rsid w:val="00D371E2"/>
    <w:rsid w:val="00D41AAB"/>
    <w:rsid w:val="00D4360F"/>
    <w:rsid w:val="00D458EE"/>
    <w:rsid w:val="00D47F1A"/>
    <w:rsid w:val="00D50390"/>
    <w:rsid w:val="00D50F92"/>
    <w:rsid w:val="00D51544"/>
    <w:rsid w:val="00D558FC"/>
    <w:rsid w:val="00D569A7"/>
    <w:rsid w:val="00D57BE1"/>
    <w:rsid w:val="00D57D69"/>
    <w:rsid w:val="00D617F1"/>
    <w:rsid w:val="00D62C00"/>
    <w:rsid w:val="00D6354F"/>
    <w:rsid w:val="00D66CBB"/>
    <w:rsid w:val="00D67934"/>
    <w:rsid w:val="00D67B09"/>
    <w:rsid w:val="00D7029E"/>
    <w:rsid w:val="00D77E67"/>
    <w:rsid w:val="00D8104E"/>
    <w:rsid w:val="00D8353E"/>
    <w:rsid w:val="00D83CDA"/>
    <w:rsid w:val="00D86866"/>
    <w:rsid w:val="00D86913"/>
    <w:rsid w:val="00D909E7"/>
    <w:rsid w:val="00D95218"/>
    <w:rsid w:val="00D9521B"/>
    <w:rsid w:val="00D95E4D"/>
    <w:rsid w:val="00D96D7E"/>
    <w:rsid w:val="00D9776D"/>
    <w:rsid w:val="00DA0EF7"/>
    <w:rsid w:val="00DA1ACB"/>
    <w:rsid w:val="00DA21B6"/>
    <w:rsid w:val="00DA4BAA"/>
    <w:rsid w:val="00DB30D8"/>
    <w:rsid w:val="00DB3EC5"/>
    <w:rsid w:val="00DB5A92"/>
    <w:rsid w:val="00DB6FE1"/>
    <w:rsid w:val="00DC1B61"/>
    <w:rsid w:val="00DC380A"/>
    <w:rsid w:val="00DC6FE4"/>
    <w:rsid w:val="00DD0500"/>
    <w:rsid w:val="00DD101B"/>
    <w:rsid w:val="00DD3D9F"/>
    <w:rsid w:val="00DD45CB"/>
    <w:rsid w:val="00DD5B7F"/>
    <w:rsid w:val="00DD6A40"/>
    <w:rsid w:val="00DD7216"/>
    <w:rsid w:val="00DE3091"/>
    <w:rsid w:val="00DE428E"/>
    <w:rsid w:val="00DE5490"/>
    <w:rsid w:val="00DE6B1E"/>
    <w:rsid w:val="00DF44A4"/>
    <w:rsid w:val="00DF56CA"/>
    <w:rsid w:val="00DF6412"/>
    <w:rsid w:val="00DF7D2B"/>
    <w:rsid w:val="00E00112"/>
    <w:rsid w:val="00E001A9"/>
    <w:rsid w:val="00E01CFB"/>
    <w:rsid w:val="00E02C54"/>
    <w:rsid w:val="00E03C98"/>
    <w:rsid w:val="00E04633"/>
    <w:rsid w:val="00E06512"/>
    <w:rsid w:val="00E078C8"/>
    <w:rsid w:val="00E0794F"/>
    <w:rsid w:val="00E156FA"/>
    <w:rsid w:val="00E15740"/>
    <w:rsid w:val="00E22ECA"/>
    <w:rsid w:val="00E248E6"/>
    <w:rsid w:val="00E270C5"/>
    <w:rsid w:val="00E31611"/>
    <w:rsid w:val="00E3530A"/>
    <w:rsid w:val="00E37564"/>
    <w:rsid w:val="00E40980"/>
    <w:rsid w:val="00E44A5F"/>
    <w:rsid w:val="00E4602D"/>
    <w:rsid w:val="00E4796F"/>
    <w:rsid w:val="00E47F76"/>
    <w:rsid w:val="00E50E8B"/>
    <w:rsid w:val="00E53465"/>
    <w:rsid w:val="00E542CA"/>
    <w:rsid w:val="00E5472C"/>
    <w:rsid w:val="00E61A18"/>
    <w:rsid w:val="00E61B6A"/>
    <w:rsid w:val="00E62760"/>
    <w:rsid w:val="00E628A2"/>
    <w:rsid w:val="00E62B12"/>
    <w:rsid w:val="00E62C6D"/>
    <w:rsid w:val="00E63F03"/>
    <w:rsid w:val="00E6476E"/>
    <w:rsid w:val="00E64B41"/>
    <w:rsid w:val="00E65571"/>
    <w:rsid w:val="00E65DA7"/>
    <w:rsid w:val="00E73AC1"/>
    <w:rsid w:val="00E7412E"/>
    <w:rsid w:val="00E74EDA"/>
    <w:rsid w:val="00E77794"/>
    <w:rsid w:val="00E81972"/>
    <w:rsid w:val="00E87558"/>
    <w:rsid w:val="00E90170"/>
    <w:rsid w:val="00E94386"/>
    <w:rsid w:val="00E94986"/>
    <w:rsid w:val="00EA04F5"/>
    <w:rsid w:val="00EA142C"/>
    <w:rsid w:val="00EA1A0A"/>
    <w:rsid w:val="00EA56D2"/>
    <w:rsid w:val="00EA5855"/>
    <w:rsid w:val="00EA5B64"/>
    <w:rsid w:val="00EB05FF"/>
    <w:rsid w:val="00EB23E8"/>
    <w:rsid w:val="00EB3C90"/>
    <w:rsid w:val="00EB3CE5"/>
    <w:rsid w:val="00EB7834"/>
    <w:rsid w:val="00EC1791"/>
    <w:rsid w:val="00EC266B"/>
    <w:rsid w:val="00EC2C60"/>
    <w:rsid w:val="00EC3E4F"/>
    <w:rsid w:val="00EC5A39"/>
    <w:rsid w:val="00EC6EBF"/>
    <w:rsid w:val="00ED29F7"/>
    <w:rsid w:val="00ED3AEC"/>
    <w:rsid w:val="00ED49EE"/>
    <w:rsid w:val="00ED59D6"/>
    <w:rsid w:val="00ED5E63"/>
    <w:rsid w:val="00EE2605"/>
    <w:rsid w:val="00EE3710"/>
    <w:rsid w:val="00EF08A0"/>
    <w:rsid w:val="00EF196C"/>
    <w:rsid w:val="00EF3E0D"/>
    <w:rsid w:val="00F0246C"/>
    <w:rsid w:val="00F11827"/>
    <w:rsid w:val="00F11BB7"/>
    <w:rsid w:val="00F13BAC"/>
    <w:rsid w:val="00F13E7F"/>
    <w:rsid w:val="00F145B4"/>
    <w:rsid w:val="00F15813"/>
    <w:rsid w:val="00F161C0"/>
    <w:rsid w:val="00F16C72"/>
    <w:rsid w:val="00F21165"/>
    <w:rsid w:val="00F21889"/>
    <w:rsid w:val="00F21927"/>
    <w:rsid w:val="00F21CA9"/>
    <w:rsid w:val="00F21D4D"/>
    <w:rsid w:val="00F249CB"/>
    <w:rsid w:val="00F25B78"/>
    <w:rsid w:val="00F31683"/>
    <w:rsid w:val="00F31A40"/>
    <w:rsid w:val="00F34354"/>
    <w:rsid w:val="00F34D77"/>
    <w:rsid w:val="00F369C4"/>
    <w:rsid w:val="00F36A54"/>
    <w:rsid w:val="00F43328"/>
    <w:rsid w:val="00F53E3F"/>
    <w:rsid w:val="00F55B15"/>
    <w:rsid w:val="00F60A32"/>
    <w:rsid w:val="00F63405"/>
    <w:rsid w:val="00F64968"/>
    <w:rsid w:val="00F66C15"/>
    <w:rsid w:val="00F7026E"/>
    <w:rsid w:val="00F73A86"/>
    <w:rsid w:val="00F7532E"/>
    <w:rsid w:val="00F75786"/>
    <w:rsid w:val="00F76076"/>
    <w:rsid w:val="00F77A70"/>
    <w:rsid w:val="00F83783"/>
    <w:rsid w:val="00F90882"/>
    <w:rsid w:val="00F9250D"/>
    <w:rsid w:val="00F93651"/>
    <w:rsid w:val="00F9409C"/>
    <w:rsid w:val="00F94D2D"/>
    <w:rsid w:val="00F94DBD"/>
    <w:rsid w:val="00F9589F"/>
    <w:rsid w:val="00F97380"/>
    <w:rsid w:val="00F9751E"/>
    <w:rsid w:val="00FA098F"/>
    <w:rsid w:val="00FA1FF1"/>
    <w:rsid w:val="00FA3064"/>
    <w:rsid w:val="00FA684E"/>
    <w:rsid w:val="00FB042E"/>
    <w:rsid w:val="00FB2D25"/>
    <w:rsid w:val="00FB3C4F"/>
    <w:rsid w:val="00FB7C36"/>
    <w:rsid w:val="00FC11B7"/>
    <w:rsid w:val="00FC12C4"/>
    <w:rsid w:val="00FC17CB"/>
    <w:rsid w:val="00FC2CE4"/>
    <w:rsid w:val="00FC4198"/>
    <w:rsid w:val="00FC793E"/>
    <w:rsid w:val="00FD1539"/>
    <w:rsid w:val="00FD2CEB"/>
    <w:rsid w:val="00FD51F5"/>
    <w:rsid w:val="00FD67BF"/>
    <w:rsid w:val="00FE17A6"/>
    <w:rsid w:val="00FE2187"/>
    <w:rsid w:val="00FE22B8"/>
    <w:rsid w:val="00FE567E"/>
    <w:rsid w:val="00FE6267"/>
    <w:rsid w:val="00FF0372"/>
    <w:rsid w:val="00FF1954"/>
    <w:rsid w:val="00FF23DB"/>
    <w:rsid w:val="00FF2BA2"/>
    <w:rsid w:val="00FF34AE"/>
    <w:rsid w:val="00FF6888"/>
    <w:rsid w:val="00FF6A6F"/>
    <w:rsid w:val="00FF7A78"/>
    <w:rsid w:val="00FF7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6512"/>
    <w:pPr>
      <w:tabs>
        <w:tab w:val="center" w:pos="4153"/>
        <w:tab w:val="right" w:pos="8306"/>
      </w:tabs>
      <w:snapToGrid w:val="0"/>
      <w:jc w:val="left"/>
    </w:pPr>
    <w:rPr>
      <w:sz w:val="18"/>
      <w:szCs w:val="18"/>
    </w:rPr>
  </w:style>
  <w:style w:type="character" w:customStyle="1" w:styleId="Char">
    <w:name w:val="页脚 Char"/>
    <w:basedOn w:val="a0"/>
    <w:link w:val="a3"/>
    <w:uiPriority w:val="99"/>
    <w:rsid w:val="00E06512"/>
    <w:rPr>
      <w:sz w:val="18"/>
      <w:szCs w:val="18"/>
    </w:rPr>
  </w:style>
  <w:style w:type="paragraph" w:customStyle="1" w:styleId="1">
    <w:name w:val="列出段落1"/>
    <w:basedOn w:val="a"/>
    <w:uiPriority w:val="34"/>
    <w:qFormat/>
    <w:rsid w:val="00E06512"/>
    <w:pPr>
      <w:ind w:firstLineChars="200" w:firstLine="420"/>
    </w:pPr>
    <w:rPr>
      <w:rFonts w:ascii="Times New Roman" w:eastAsia="宋体" w:hAnsi="Times New Roman" w:cs="Times New Roman"/>
      <w:szCs w:val="24"/>
    </w:rPr>
  </w:style>
  <w:style w:type="paragraph" w:styleId="a4">
    <w:name w:val="footnote text"/>
    <w:basedOn w:val="a"/>
    <w:link w:val="Char1"/>
    <w:uiPriority w:val="99"/>
    <w:unhideWhenUsed/>
    <w:qFormat/>
    <w:rsid w:val="00E06512"/>
    <w:pPr>
      <w:snapToGrid w:val="0"/>
      <w:jc w:val="left"/>
    </w:pPr>
    <w:rPr>
      <w:rFonts w:ascii="Times New Roman" w:eastAsia="宋体" w:hAnsi="Times New Roman" w:cs="Times New Roman"/>
      <w:kern w:val="0"/>
      <w:sz w:val="18"/>
      <w:szCs w:val="18"/>
    </w:rPr>
  </w:style>
  <w:style w:type="character" w:customStyle="1" w:styleId="Char0">
    <w:name w:val="脚注文本 Char"/>
    <w:basedOn w:val="a0"/>
    <w:link w:val="a4"/>
    <w:uiPriority w:val="99"/>
    <w:semiHidden/>
    <w:rsid w:val="00E06512"/>
    <w:rPr>
      <w:sz w:val="18"/>
      <w:szCs w:val="18"/>
    </w:rPr>
  </w:style>
  <w:style w:type="character" w:styleId="a5">
    <w:name w:val="footnote reference"/>
    <w:unhideWhenUsed/>
    <w:qFormat/>
    <w:rsid w:val="00E06512"/>
    <w:rPr>
      <w:vertAlign w:val="superscript"/>
    </w:rPr>
  </w:style>
  <w:style w:type="character" w:customStyle="1" w:styleId="Char1">
    <w:name w:val="脚注文本 Char1"/>
    <w:basedOn w:val="a0"/>
    <w:link w:val="a4"/>
    <w:uiPriority w:val="99"/>
    <w:qFormat/>
    <w:locked/>
    <w:rsid w:val="00E06512"/>
    <w:rPr>
      <w:rFonts w:ascii="Times New Roman" w:eastAsia="宋体" w:hAnsi="Times New Roman" w:cs="Times New Roman"/>
      <w:kern w:val="0"/>
      <w:sz w:val="18"/>
      <w:szCs w:val="18"/>
    </w:rPr>
  </w:style>
  <w:style w:type="paragraph" w:styleId="a6">
    <w:name w:val="List Paragraph"/>
    <w:basedOn w:val="a"/>
    <w:uiPriority w:val="34"/>
    <w:qFormat/>
    <w:rsid w:val="00E06512"/>
    <w:pPr>
      <w:ind w:firstLineChars="200" w:firstLine="420"/>
    </w:pPr>
    <w:rPr>
      <w:rFonts w:ascii="Times New Roman" w:eastAsia="宋体" w:hAnsi="Times New Roman" w:cs="Times New Roman"/>
      <w:szCs w:val="24"/>
    </w:rPr>
  </w:style>
  <w:style w:type="paragraph" w:styleId="a7">
    <w:name w:val="Normal (Web)"/>
    <w:basedOn w:val="a"/>
    <w:uiPriority w:val="99"/>
    <w:unhideWhenUsed/>
    <w:rsid w:val="00E06512"/>
    <w:pPr>
      <w:widowControl/>
      <w:spacing w:before="100" w:beforeAutospacing="1" w:after="100" w:afterAutospacing="1" w:line="440" w:lineRule="exact"/>
      <w:ind w:leftChars="200" w:left="200"/>
      <w:jc w:val="left"/>
    </w:pPr>
    <w:rPr>
      <w:rFonts w:ascii="宋体" w:eastAsia="宋体" w:hAnsi="宋体" w:cs="宋体"/>
      <w:kern w:val="0"/>
      <w:sz w:val="24"/>
      <w:szCs w:val="24"/>
    </w:rPr>
  </w:style>
  <w:style w:type="paragraph" w:styleId="a8">
    <w:name w:val="header"/>
    <w:basedOn w:val="a"/>
    <w:link w:val="Char2"/>
    <w:uiPriority w:val="99"/>
    <w:semiHidden/>
    <w:unhideWhenUsed/>
    <w:rsid w:val="00D36E6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D36E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21</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多绥婷</dc:creator>
  <cp:lastModifiedBy>牛文静</cp:lastModifiedBy>
  <cp:revision>4</cp:revision>
  <dcterms:created xsi:type="dcterms:W3CDTF">2022-06-29T06:58:00Z</dcterms:created>
  <dcterms:modified xsi:type="dcterms:W3CDTF">2022-06-30T03:10:00Z</dcterms:modified>
</cp:coreProperties>
</file>