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92" w:rsidRDefault="00424292" w:rsidP="00424292">
      <w:pPr>
        <w:outlineLvl w:val="0"/>
        <w:rPr>
          <w:rFonts w:eastAsia="仿宋"/>
          <w:sz w:val="32"/>
          <w:szCs w:val="32"/>
        </w:rPr>
      </w:pPr>
      <w:r>
        <w:rPr>
          <w:rFonts w:eastAsia="黑体" w:hint="eastAsia"/>
          <w:sz w:val="32"/>
        </w:rPr>
        <w:t>附件</w:t>
      </w:r>
      <w:r>
        <w:rPr>
          <w:rFonts w:eastAsia="黑体"/>
          <w:sz w:val="32"/>
        </w:rPr>
        <w:t>2</w:t>
      </w:r>
    </w:p>
    <w:p w:rsidR="00424292" w:rsidRPr="00CC09C8" w:rsidRDefault="00424292" w:rsidP="00424292">
      <w:pPr>
        <w:spacing w:afterLines="100"/>
        <w:jc w:val="center"/>
        <w:outlineLvl w:val="1"/>
        <w:rPr>
          <w:rFonts w:ascii="方正小标宋简体" w:eastAsia="方正小标宋简体"/>
          <w:sz w:val="44"/>
          <w:szCs w:val="44"/>
        </w:rPr>
      </w:pPr>
      <w:r w:rsidRPr="00CC09C8">
        <w:rPr>
          <w:rFonts w:ascii="方正小标宋简体" w:eastAsia="方正小标宋简体" w:hint="eastAsia"/>
          <w:sz w:val="44"/>
          <w:szCs w:val="44"/>
        </w:rPr>
        <w:t>《郑州商品交易所菜油期权合约（征求意见稿）》及起草说明</w:t>
      </w:r>
    </w:p>
    <w:p w:rsidR="00424292" w:rsidRDefault="00424292" w:rsidP="00424292">
      <w:pPr>
        <w:ind w:firstLineChars="200" w:firstLine="640"/>
        <w:outlineLvl w:val="1"/>
        <w:rPr>
          <w:rFonts w:eastAsia="黑体"/>
          <w:sz w:val="32"/>
          <w:szCs w:val="32"/>
        </w:rPr>
      </w:pPr>
      <w:r>
        <w:rPr>
          <w:rFonts w:eastAsia="黑体" w:hint="eastAsia"/>
          <w:sz w:val="32"/>
          <w:szCs w:val="32"/>
        </w:rPr>
        <w:t>一、菜油期权合约（征求意见稿）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6602"/>
      </w:tblGrid>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合约标的物</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菜油期货合约</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合约类型</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看涨期权、看跌期权</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交易单位</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sz w:val="24"/>
              </w:rPr>
              <w:t>1</w:t>
            </w:r>
            <w:r>
              <w:rPr>
                <w:rFonts w:eastAsia="仿宋" w:hint="eastAsia"/>
                <w:sz w:val="24"/>
              </w:rPr>
              <w:t>手菜油期货合约</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报价单位</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元（人民币）</w:t>
            </w:r>
            <w:r>
              <w:rPr>
                <w:rFonts w:eastAsia="仿宋"/>
                <w:sz w:val="24"/>
              </w:rPr>
              <w:t>/</w:t>
            </w:r>
            <w:r>
              <w:rPr>
                <w:rFonts w:eastAsia="仿宋" w:hint="eastAsia"/>
                <w:sz w:val="24"/>
              </w:rPr>
              <w:t>吨</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最小变动价位</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sz w:val="24"/>
              </w:rPr>
              <w:t>0.5</w:t>
            </w:r>
            <w:r>
              <w:rPr>
                <w:rFonts w:eastAsia="仿宋" w:hint="eastAsia"/>
                <w:sz w:val="24"/>
              </w:rPr>
              <w:t>元</w:t>
            </w:r>
            <w:r>
              <w:rPr>
                <w:rFonts w:eastAsia="仿宋"/>
                <w:sz w:val="24"/>
              </w:rPr>
              <w:t>/</w:t>
            </w:r>
            <w:r>
              <w:rPr>
                <w:rFonts w:eastAsia="仿宋" w:hint="eastAsia"/>
                <w:sz w:val="24"/>
              </w:rPr>
              <w:t>吨</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涨跌停板幅度</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与菜油期货合约涨跌停板幅度相同</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合约月份</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标的期货合约中的连续两个近月，其后月份在标的期货合约结算后持仓量达到</w:t>
            </w:r>
            <w:r>
              <w:rPr>
                <w:rFonts w:eastAsia="仿宋"/>
                <w:sz w:val="24"/>
              </w:rPr>
              <w:t>5000</w:t>
            </w:r>
            <w:r>
              <w:rPr>
                <w:rFonts w:eastAsia="仿宋" w:hint="eastAsia"/>
                <w:sz w:val="24"/>
              </w:rPr>
              <w:t>手（单边）之后的第二个交易日挂牌</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交易时间</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每周一至周五上午</w:t>
            </w:r>
            <w:r>
              <w:rPr>
                <w:rFonts w:eastAsia="仿宋"/>
                <w:sz w:val="24"/>
              </w:rPr>
              <w:t>9:00</w:t>
            </w:r>
            <w:r>
              <w:rPr>
                <w:rFonts w:eastAsia="仿宋" w:hint="eastAsia"/>
                <w:sz w:val="24"/>
              </w:rPr>
              <w:t>-</w:t>
            </w:r>
            <w:r>
              <w:rPr>
                <w:rFonts w:eastAsia="仿宋"/>
                <w:sz w:val="24"/>
              </w:rPr>
              <w:t>11:30</w:t>
            </w:r>
            <w:r>
              <w:rPr>
                <w:rFonts w:eastAsia="仿宋" w:hint="eastAsia"/>
                <w:sz w:val="24"/>
              </w:rPr>
              <w:t>，下午</w:t>
            </w:r>
            <w:r>
              <w:rPr>
                <w:rFonts w:eastAsia="仿宋"/>
                <w:sz w:val="24"/>
              </w:rPr>
              <w:t>13:30</w:t>
            </w:r>
            <w:r>
              <w:rPr>
                <w:rFonts w:eastAsia="仿宋" w:hint="eastAsia"/>
                <w:sz w:val="24"/>
              </w:rPr>
              <w:t>-</w:t>
            </w:r>
            <w:r>
              <w:rPr>
                <w:rFonts w:eastAsia="仿宋"/>
                <w:sz w:val="24"/>
              </w:rPr>
              <w:t>15:00</w:t>
            </w:r>
            <w:r>
              <w:rPr>
                <w:rFonts w:eastAsia="仿宋" w:hint="eastAsia"/>
                <w:sz w:val="24"/>
              </w:rPr>
              <w:t>，以及交易所规定的其他交易时间</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最后交易日</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标的期货合约交割月份前一个月的第</w:t>
            </w:r>
            <w:r>
              <w:rPr>
                <w:rFonts w:eastAsia="仿宋"/>
                <w:sz w:val="24"/>
              </w:rPr>
              <w:t>3</w:t>
            </w:r>
            <w:r>
              <w:rPr>
                <w:rFonts w:eastAsia="仿宋" w:hint="eastAsia"/>
                <w:sz w:val="24"/>
              </w:rPr>
              <w:t>个交易日，以及交易所规定的其他日期</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到期日</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同最后交易日</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行权价格</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以菜油期货前一交易日结算价为基准，按行权价格间距挂出</w:t>
            </w:r>
            <w:r>
              <w:rPr>
                <w:rFonts w:eastAsia="仿宋"/>
                <w:sz w:val="24"/>
              </w:rPr>
              <w:t>9</w:t>
            </w:r>
            <w:r>
              <w:rPr>
                <w:rFonts w:eastAsia="仿宋" w:hint="eastAsia"/>
                <w:sz w:val="24"/>
              </w:rPr>
              <w:t>个实值期权、</w:t>
            </w:r>
            <w:r>
              <w:rPr>
                <w:rFonts w:eastAsia="仿宋"/>
                <w:sz w:val="24"/>
              </w:rPr>
              <w:t>1</w:t>
            </w:r>
            <w:r>
              <w:rPr>
                <w:rFonts w:eastAsia="仿宋" w:hint="eastAsia"/>
                <w:sz w:val="24"/>
              </w:rPr>
              <w:t>个平值期权和</w:t>
            </w:r>
            <w:r>
              <w:rPr>
                <w:rFonts w:eastAsia="仿宋"/>
                <w:sz w:val="24"/>
              </w:rPr>
              <w:t>9</w:t>
            </w:r>
            <w:r>
              <w:rPr>
                <w:rFonts w:eastAsia="仿宋" w:hint="eastAsia"/>
                <w:sz w:val="24"/>
              </w:rPr>
              <w:t>个</w:t>
            </w:r>
            <w:proofErr w:type="gramStart"/>
            <w:r>
              <w:rPr>
                <w:rFonts w:eastAsia="仿宋" w:hint="eastAsia"/>
                <w:sz w:val="24"/>
              </w:rPr>
              <w:t>虚值期权</w:t>
            </w:r>
            <w:proofErr w:type="gramEnd"/>
            <w:r>
              <w:rPr>
                <w:rFonts w:eastAsia="仿宋" w:hint="eastAsia"/>
                <w:sz w:val="24"/>
              </w:rPr>
              <w:t>。行权价格</w:t>
            </w:r>
            <w:r>
              <w:rPr>
                <w:rFonts w:eastAsia="仿宋"/>
                <w:sz w:val="24"/>
              </w:rPr>
              <w:t>≤5000</w:t>
            </w:r>
            <w:r>
              <w:rPr>
                <w:rFonts w:eastAsia="仿宋" w:hint="eastAsia"/>
                <w:sz w:val="24"/>
              </w:rPr>
              <w:t>元</w:t>
            </w:r>
            <w:r>
              <w:rPr>
                <w:rFonts w:eastAsia="仿宋"/>
                <w:sz w:val="24"/>
              </w:rPr>
              <w:t>/</w:t>
            </w:r>
            <w:r>
              <w:rPr>
                <w:rFonts w:eastAsia="仿宋" w:hint="eastAsia"/>
                <w:sz w:val="24"/>
              </w:rPr>
              <w:t>吨，行权价格间距为</w:t>
            </w:r>
            <w:r>
              <w:rPr>
                <w:rFonts w:eastAsia="仿宋"/>
                <w:sz w:val="24"/>
              </w:rPr>
              <w:t>50</w:t>
            </w:r>
            <w:r>
              <w:rPr>
                <w:rFonts w:eastAsia="仿宋" w:hint="eastAsia"/>
                <w:sz w:val="24"/>
              </w:rPr>
              <w:t>元</w:t>
            </w:r>
            <w:r>
              <w:rPr>
                <w:rFonts w:eastAsia="仿宋"/>
                <w:sz w:val="24"/>
              </w:rPr>
              <w:t>/</w:t>
            </w:r>
            <w:r>
              <w:rPr>
                <w:rFonts w:eastAsia="仿宋" w:hint="eastAsia"/>
                <w:sz w:val="24"/>
              </w:rPr>
              <w:t>吨；</w:t>
            </w:r>
            <w:r>
              <w:rPr>
                <w:rFonts w:eastAsia="仿宋"/>
                <w:sz w:val="24"/>
              </w:rPr>
              <w:t>5000</w:t>
            </w:r>
            <w:r>
              <w:rPr>
                <w:rFonts w:eastAsia="仿宋" w:hint="eastAsia"/>
                <w:sz w:val="24"/>
              </w:rPr>
              <w:t>元</w:t>
            </w:r>
            <w:r>
              <w:rPr>
                <w:rFonts w:eastAsia="仿宋"/>
                <w:sz w:val="24"/>
              </w:rPr>
              <w:t>/</w:t>
            </w:r>
            <w:r>
              <w:rPr>
                <w:rFonts w:eastAsia="仿宋" w:hint="eastAsia"/>
                <w:sz w:val="24"/>
              </w:rPr>
              <w:t>吨＜行权价格</w:t>
            </w:r>
            <w:r>
              <w:rPr>
                <w:rFonts w:eastAsia="仿宋"/>
                <w:sz w:val="24"/>
              </w:rPr>
              <w:t>≤10000</w:t>
            </w:r>
            <w:r>
              <w:rPr>
                <w:rFonts w:eastAsia="仿宋" w:hint="eastAsia"/>
                <w:sz w:val="24"/>
              </w:rPr>
              <w:t>元</w:t>
            </w:r>
            <w:r>
              <w:rPr>
                <w:rFonts w:eastAsia="仿宋"/>
                <w:sz w:val="24"/>
              </w:rPr>
              <w:t>/</w:t>
            </w:r>
            <w:r>
              <w:rPr>
                <w:rFonts w:eastAsia="仿宋" w:hint="eastAsia"/>
                <w:sz w:val="24"/>
              </w:rPr>
              <w:t>吨，行权价格间距为</w:t>
            </w:r>
            <w:r>
              <w:rPr>
                <w:rFonts w:eastAsia="仿宋"/>
                <w:sz w:val="24"/>
              </w:rPr>
              <w:t>100</w:t>
            </w:r>
            <w:r>
              <w:rPr>
                <w:rFonts w:eastAsia="仿宋" w:hint="eastAsia"/>
                <w:sz w:val="24"/>
              </w:rPr>
              <w:t>元</w:t>
            </w:r>
            <w:r>
              <w:rPr>
                <w:rFonts w:eastAsia="仿宋"/>
                <w:sz w:val="24"/>
              </w:rPr>
              <w:t>/</w:t>
            </w:r>
            <w:r>
              <w:rPr>
                <w:rFonts w:eastAsia="仿宋" w:hint="eastAsia"/>
                <w:sz w:val="24"/>
              </w:rPr>
              <w:t>吨；行权价格＞</w:t>
            </w:r>
            <w:r>
              <w:rPr>
                <w:rFonts w:eastAsia="仿宋"/>
                <w:sz w:val="24"/>
              </w:rPr>
              <w:t>10000</w:t>
            </w:r>
            <w:r>
              <w:rPr>
                <w:rFonts w:eastAsia="仿宋" w:hint="eastAsia"/>
                <w:sz w:val="24"/>
              </w:rPr>
              <w:t>元</w:t>
            </w:r>
            <w:r>
              <w:rPr>
                <w:rFonts w:eastAsia="仿宋"/>
                <w:sz w:val="24"/>
              </w:rPr>
              <w:t>/</w:t>
            </w:r>
            <w:r>
              <w:rPr>
                <w:rFonts w:eastAsia="仿宋" w:hint="eastAsia"/>
                <w:sz w:val="24"/>
              </w:rPr>
              <w:t>吨，行权价格间距为</w:t>
            </w:r>
            <w:r>
              <w:rPr>
                <w:rFonts w:eastAsia="仿宋"/>
                <w:sz w:val="24"/>
              </w:rPr>
              <w:t>200</w:t>
            </w:r>
            <w:r>
              <w:rPr>
                <w:rFonts w:eastAsia="仿宋" w:hint="eastAsia"/>
                <w:sz w:val="24"/>
              </w:rPr>
              <w:t>元</w:t>
            </w:r>
            <w:r>
              <w:rPr>
                <w:rFonts w:eastAsia="仿宋"/>
                <w:sz w:val="24"/>
              </w:rPr>
              <w:t>/</w:t>
            </w:r>
            <w:r>
              <w:rPr>
                <w:rFonts w:eastAsia="仿宋" w:hint="eastAsia"/>
                <w:sz w:val="24"/>
              </w:rPr>
              <w:t>吨</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行权方式</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美式。买方可在到期日前任一交易日的交易时间提交行权申请；买方可在到期日</w:t>
            </w:r>
            <w:r>
              <w:rPr>
                <w:rFonts w:eastAsia="仿宋"/>
                <w:sz w:val="24"/>
              </w:rPr>
              <w:t>15:30</w:t>
            </w:r>
            <w:r>
              <w:rPr>
                <w:rFonts w:eastAsia="仿宋" w:hint="eastAsia"/>
                <w:sz w:val="24"/>
              </w:rPr>
              <w:t>之前提交行权申请、放弃申请</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交易代码</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rPr>
            </w:pPr>
            <w:r>
              <w:rPr>
                <w:rFonts w:eastAsia="仿宋" w:hint="eastAsia"/>
                <w:sz w:val="24"/>
              </w:rPr>
              <w:t>看涨期权：</w:t>
            </w:r>
            <w:r>
              <w:rPr>
                <w:rFonts w:eastAsia="仿宋"/>
                <w:sz w:val="24"/>
              </w:rPr>
              <w:t>OI-</w:t>
            </w:r>
            <w:r>
              <w:rPr>
                <w:rFonts w:eastAsia="仿宋" w:hint="eastAsia"/>
                <w:sz w:val="24"/>
              </w:rPr>
              <w:t>合约月份</w:t>
            </w:r>
            <w:r>
              <w:rPr>
                <w:rFonts w:eastAsia="仿宋"/>
                <w:sz w:val="24"/>
              </w:rPr>
              <w:t>-C-</w:t>
            </w:r>
            <w:r>
              <w:rPr>
                <w:rFonts w:eastAsia="仿宋" w:hint="eastAsia"/>
                <w:sz w:val="24"/>
              </w:rPr>
              <w:t>行权价格</w:t>
            </w:r>
          </w:p>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看跌期权：</w:t>
            </w:r>
            <w:r>
              <w:rPr>
                <w:rFonts w:eastAsia="仿宋"/>
                <w:sz w:val="24"/>
              </w:rPr>
              <w:t>OI-</w:t>
            </w:r>
            <w:r>
              <w:rPr>
                <w:rFonts w:eastAsia="仿宋" w:hint="eastAsia"/>
                <w:sz w:val="24"/>
              </w:rPr>
              <w:t>合约月份</w:t>
            </w:r>
            <w:r>
              <w:rPr>
                <w:rFonts w:eastAsia="仿宋"/>
                <w:sz w:val="24"/>
              </w:rPr>
              <w:t>-P-</w:t>
            </w:r>
            <w:r>
              <w:rPr>
                <w:rFonts w:eastAsia="仿宋" w:hint="eastAsia"/>
                <w:sz w:val="24"/>
              </w:rPr>
              <w:t>行权价格</w:t>
            </w:r>
          </w:p>
        </w:tc>
      </w:tr>
      <w:tr w:rsidR="00424292" w:rsidTr="007F472F">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上市交易所</w:t>
            </w:r>
          </w:p>
        </w:tc>
        <w:tc>
          <w:tcPr>
            <w:tcW w:w="3871"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widowControl/>
              <w:tabs>
                <w:tab w:val="center" w:pos="4153"/>
                <w:tab w:val="right" w:pos="8306"/>
              </w:tabs>
              <w:snapToGrid w:val="0"/>
              <w:jc w:val="left"/>
              <w:rPr>
                <w:rFonts w:eastAsia="仿宋"/>
                <w:sz w:val="24"/>
                <w:szCs w:val="22"/>
              </w:rPr>
            </w:pPr>
            <w:r>
              <w:rPr>
                <w:rFonts w:eastAsia="仿宋" w:hint="eastAsia"/>
                <w:sz w:val="24"/>
              </w:rPr>
              <w:t>郑州商品交易所</w:t>
            </w:r>
          </w:p>
        </w:tc>
      </w:tr>
    </w:tbl>
    <w:p w:rsidR="00424292" w:rsidRDefault="00424292" w:rsidP="00424292">
      <w:pPr>
        <w:ind w:firstLineChars="200" w:firstLine="640"/>
        <w:jc w:val="left"/>
        <w:outlineLvl w:val="1"/>
        <w:rPr>
          <w:rFonts w:eastAsia="黑体"/>
          <w:sz w:val="32"/>
          <w:szCs w:val="32"/>
        </w:rPr>
      </w:pPr>
      <w:r>
        <w:rPr>
          <w:rFonts w:eastAsia="黑体" w:hint="eastAsia"/>
          <w:sz w:val="32"/>
          <w:szCs w:val="32"/>
        </w:rPr>
        <w:t>二、主要条款设计说明</w:t>
      </w:r>
    </w:p>
    <w:p w:rsidR="00424292" w:rsidRDefault="00424292" w:rsidP="00424292">
      <w:pPr>
        <w:ind w:firstLineChars="200" w:firstLine="640"/>
        <w:outlineLvl w:val="0"/>
        <w:rPr>
          <w:rFonts w:eastAsia="楷体"/>
          <w:sz w:val="32"/>
          <w:szCs w:val="32"/>
        </w:rPr>
      </w:pPr>
      <w:r>
        <w:rPr>
          <w:rFonts w:eastAsia="楷体" w:hint="eastAsia"/>
          <w:sz w:val="32"/>
          <w:szCs w:val="32"/>
        </w:rPr>
        <w:t>（一）交易单位：</w:t>
      </w:r>
      <w:r>
        <w:rPr>
          <w:rFonts w:eastAsia="楷体"/>
          <w:sz w:val="32"/>
          <w:szCs w:val="32"/>
        </w:rPr>
        <w:t>1</w:t>
      </w:r>
      <w:r>
        <w:rPr>
          <w:rFonts w:eastAsia="楷体" w:hint="eastAsia"/>
          <w:sz w:val="32"/>
          <w:szCs w:val="32"/>
        </w:rPr>
        <w:t>手菜油期货合约</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期权合约的交易单位是指每一交易单位对应标的物数量。设置菜油期权交易单位为</w:t>
      </w:r>
      <w:r>
        <w:rPr>
          <w:rFonts w:ascii="Times New Roman" w:eastAsia="仿宋" w:hAnsi="Times New Roman" w:cs="Times New Roman"/>
          <w:sz w:val="32"/>
          <w:szCs w:val="32"/>
        </w:rPr>
        <w:t>1</w:t>
      </w:r>
      <w:r>
        <w:rPr>
          <w:rFonts w:ascii="Times New Roman" w:eastAsia="仿宋" w:hAnsi="Times New Roman" w:cs="Times New Roman" w:hint="eastAsia"/>
          <w:sz w:val="32"/>
          <w:szCs w:val="32"/>
        </w:rPr>
        <w:t>手菜油期货合约，方便</w:t>
      </w:r>
      <w:r>
        <w:rPr>
          <w:rFonts w:eastAsia="仿宋" w:hint="eastAsia"/>
          <w:sz w:val="32"/>
        </w:rPr>
        <w:t>交易者</w:t>
      </w:r>
      <w:r>
        <w:rPr>
          <w:rFonts w:ascii="Times New Roman" w:eastAsia="仿宋" w:hAnsi="Times New Roman" w:cs="Times New Roman" w:hint="eastAsia"/>
          <w:sz w:val="32"/>
          <w:szCs w:val="32"/>
        </w:rPr>
        <w:t>对冲期货部位风险。</w:t>
      </w:r>
    </w:p>
    <w:p w:rsidR="00424292" w:rsidRDefault="00424292" w:rsidP="00424292">
      <w:pPr>
        <w:ind w:firstLineChars="200" w:firstLine="640"/>
        <w:outlineLvl w:val="0"/>
        <w:rPr>
          <w:rFonts w:eastAsia="楷体"/>
          <w:sz w:val="32"/>
          <w:szCs w:val="32"/>
        </w:rPr>
      </w:pPr>
      <w:r>
        <w:rPr>
          <w:rFonts w:eastAsia="楷体" w:hint="eastAsia"/>
          <w:sz w:val="32"/>
          <w:szCs w:val="32"/>
        </w:rPr>
        <w:lastRenderedPageBreak/>
        <w:t>（二）报价单位：元（人民币）</w:t>
      </w:r>
      <w:r>
        <w:rPr>
          <w:rFonts w:eastAsia="楷体"/>
          <w:sz w:val="32"/>
          <w:szCs w:val="32"/>
        </w:rPr>
        <w:t>/</w:t>
      </w:r>
      <w:r>
        <w:rPr>
          <w:rFonts w:eastAsia="楷体" w:hint="eastAsia"/>
          <w:sz w:val="32"/>
          <w:szCs w:val="32"/>
        </w:rPr>
        <w:t>吨</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期权报价单位一般与标的期货报价单位保持一致。与菜油期货合约报价单位相同，菜油期权合约报价单位为元（人民币）</w:t>
      </w:r>
      <w:r>
        <w:rPr>
          <w:rFonts w:ascii="Times New Roman" w:eastAsia="仿宋" w:hAnsi="Times New Roman" w:cs="Times New Roman"/>
          <w:sz w:val="32"/>
          <w:szCs w:val="32"/>
        </w:rPr>
        <w:t>/</w:t>
      </w:r>
      <w:r>
        <w:rPr>
          <w:rFonts w:ascii="Times New Roman" w:eastAsia="仿宋" w:hAnsi="Times New Roman" w:cs="Times New Roman" w:hint="eastAsia"/>
          <w:sz w:val="32"/>
          <w:szCs w:val="32"/>
        </w:rPr>
        <w:t>吨。</w:t>
      </w:r>
    </w:p>
    <w:p w:rsidR="00424292" w:rsidRDefault="00424292" w:rsidP="00424292">
      <w:pPr>
        <w:ind w:firstLineChars="200" w:firstLine="640"/>
        <w:outlineLvl w:val="0"/>
        <w:rPr>
          <w:rFonts w:eastAsia="楷体"/>
          <w:sz w:val="32"/>
          <w:szCs w:val="32"/>
        </w:rPr>
      </w:pPr>
      <w:r>
        <w:rPr>
          <w:rFonts w:eastAsia="楷体" w:hint="eastAsia"/>
          <w:sz w:val="32"/>
          <w:szCs w:val="32"/>
        </w:rPr>
        <w:t>（三）最小变动价位：</w:t>
      </w:r>
      <w:r>
        <w:rPr>
          <w:rFonts w:eastAsia="楷体"/>
          <w:sz w:val="32"/>
          <w:szCs w:val="32"/>
        </w:rPr>
        <w:t>0.5</w:t>
      </w:r>
      <w:r>
        <w:rPr>
          <w:rFonts w:eastAsia="楷体" w:hint="eastAsia"/>
          <w:sz w:val="32"/>
          <w:szCs w:val="32"/>
        </w:rPr>
        <w:t>元</w:t>
      </w:r>
      <w:r>
        <w:rPr>
          <w:rFonts w:eastAsia="楷体"/>
          <w:sz w:val="32"/>
          <w:szCs w:val="32"/>
        </w:rPr>
        <w:t>/</w:t>
      </w:r>
      <w:r>
        <w:rPr>
          <w:rFonts w:eastAsia="楷体" w:hint="eastAsia"/>
          <w:sz w:val="32"/>
          <w:szCs w:val="32"/>
        </w:rPr>
        <w:t>吨</w:t>
      </w:r>
    </w:p>
    <w:p w:rsidR="00424292" w:rsidRDefault="00424292" w:rsidP="00424292">
      <w:pPr>
        <w:ind w:firstLineChars="200" w:firstLine="640"/>
        <w:outlineLvl w:val="0"/>
        <w:rPr>
          <w:rFonts w:eastAsia="仿宋"/>
          <w:sz w:val="32"/>
          <w:szCs w:val="32"/>
        </w:rPr>
      </w:pPr>
      <w:r>
        <w:rPr>
          <w:rFonts w:eastAsia="仿宋" w:hint="eastAsia"/>
          <w:sz w:val="32"/>
          <w:szCs w:val="32"/>
        </w:rPr>
        <w:t>期权最小变动价位是指期权合约单位价格涨跌变动的最小值。从国内期权市场运行情况来看，虚值、平值期权合约较为活跃，其</w:t>
      </w:r>
      <w:r>
        <w:rPr>
          <w:rFonts w:eastAsia="仿宋"/>
          <w:sz w:val="32"/>
          <w:szCs w:val="32"/>
        </w:rPr>
        <w:t>Delta</w:t>
      </w:r>
      <w:r>
        <w:rPr>
          <w:rFonts w:eastAsia="仿宋" w:hint="eastAsia"/>
          <w:sz w:val="32"/>
          <w:szCs w:val="32"/>
        </w:rPr>
        <w:t>的绝对值在</w:t>
      </w:r>
      <w:r>
        <w:rPr>
          <w:rFonts w:eastAsia="仿宋"/>
          <w:sz w:val="32"/>
          <w:szCs w:val="32"/>
        </w:rPr>
        <w:t>0.2</w:t>
      </w:r>
      <w:r>
        <w:rPr>
          <w:rFonts w:eastAsia="仿宋" w:hint="eastAsia"/>
          <w:sz w:val="32"/>
          <w:szCs w:val="32"/>
        </w:rPr>
        <w:t>至</w:t>
      </w:r>
      <w:r>
        <w:rPr>
          <w:rFonts w:eastAsia="仿宋"/>
          <w:sz w:val="32"/>
          <w:szCs w:val="32"/>
        </w:rPr>
        <w:t>0.5</w:t>
      </w:r>
      <w:r>
        <w:rPr>
          <w:rFonts w:eastAsia="仿宋" w:hint="eastAsia"/>
          <w:sz w:val="32"/>
          <w:szCs w:val="32"/>
        </w:rPr>
        <w:t>之间，即期权价格波动约为期货的</w:t>
      </w:r>
      <w:r>
        <w:rPr>
          <w:rFonts w:eastAsia="仿宋"/>
          <w:sz w:val="32"/>
          <w:szCs w:val="32"/>
        </w:rPr>
        <w:t>1/5</w:t>
      </w:r>
      <w:r>
        <w:rPr>
          <w:rFonts w:eastAsia="仿宋" w:hint="eastAsia"/>
          <w:sz w:val="32"/>
          <w:szCs w:val="32"/>
        </w:rPr>
        <w:t>至</w:t>
      </w:r>
      <w:r>
        <w:rPr>
          <w:rFonts w:eastAsia="仿宋"/>
          <w:sz w:val="32"/>
          <w:szCs w:val="32"/>
        </w:rPr>
        <w:t>1/2</w:t>
      </w:r>
      <w:r>
        <w:rPr>
          <w:rFonts w:eastAsia="仿宋" w:hint="eastAsia"/>
          <w:sz w:val="32"/>
          <w:szCs w:val="32"/>
        </w:rPr>
        <w:t>。菜油期权与期货最小变动价位（</w:t>
      </w:r>
      <w:r>
        <w:rPr>
          <w:rFonts w:eastAsia="仿宋"/>
          <w:sz w:val="32"/>
          <w:szCs w:val="32"/>
        </w:rPr>
        <w:t>1</w:t>
      </w:r>
      <w:r>
        <w:rPr>
          <w:rFonts w:eastAsia="仿宋" w:hint="eastAsia"/>
          <w:sz w:val="32"/>
          <w:szCs w:val="32"/>
        </w:rPr>
        <w:t>元</w:t>
      </w:r>
      <w:r>
        <w:rPr>
          <w:rFonts w:eastAsia="仿宋"/>
          <w:sz w:val="32"/>
          <w:szCs w:val="32"/>
        </w:rPr>
        <w:t>/</w:t>
      </w:r>
      <w:r>
        <w:rPr>
          <w:rFonts w:eastAsia="仿宋" w:hint="eastAsia"/>
          <w:sz w:val="32"/>
          <w:szCs w:val="32"/>
        </w:rPr>
        <w:t>吨）之比为</w:t>
      </w:r>
      <w:r>
        <w:rPr>
          <w:rFonts w:eastAsia="仿宋"/>
          <w:sz w:val="32"/>
          <w:szCs w:val="32"/>
        </w:rPr>
        <w:t>1/2</w:t>
      </w:r>
      <w:r>
        <w:rPr>
          <w:rFonts w:eastAsia="仿宋" w:hint="eastAsia"/>
          <w:sz w:val="32"/>
          <w:szCs w:val="32"/>
        </w:rPr>
        <w:t>，在此范围内，可以更好地满足菜油期权与期货市场</w:t>
      </w:r>
      <w:r w:rsidRPr="00E25847">
        <w:rPr>
          <w:rFonts w:ascii="仿宋" w:eastAsia="仿宋" w:hAnsi="仿宋"/>
          <w:sz w:val="32"/>
          <w:szCs w:val="32"/>
        </w:rPr>
        <w:t>“</w:t>
      </w:r>
      <w:r>
        <w:rPr>
          <w:rFonts w:eastAsia="仿宋" w:hint="eastAsia"/>
          <w:sz w:val="32"/>
          <w:szCs w:val="32"/>
        </w:rPr>
        <w:t>精准</w:t>
      </w:r>
      <w:r w:rsidRPr="00E25847">
        <w:rPr>
          <w:rFonts w:ascii="仿宋" w:eastAsia="仿宋" w:hAnsi="仿宋"/>
          <w:sz w:val="32"/>
          <w:szCs w:val="32"/>
        </w:rPr>
        <w:t>”</w:t>
      </w:r>
      <w:r>
        <w:rPr>
          <w:rFonts w:eastAsia="仿宋" w:hint="eastAsia"/>
          <w:sz w:val="32"/>
          <w:szCs w:val="32"/>
        </w:rPr>
        <w:t>对冲的需要。</w:t>
      </w:r>
    </w:p>
    <w:p w:rsidR="00424292" w:rsidRDefault="00424292" w:rsidP="00424292">
      <w:pPr>
        <w:ind w:firstLineChars="200" w:firstLine="640"/>
        <w:outlineLvl w:val="0"/>
        <w:rPr>
          <w:rFonts w:eastAsia="楷体"/>
          <w:sz w:val="32"/>
          <w:szCs w:val="32"/>
        </w:rPr>
      </w:pPr>
      <w:r>
        <w:rPr>
          <w:rFonts w:eastAsia="楷体" w:hint="eastAsia"/>
          <w:sz w:val="32"/>
          <w:szCs w:val="32"/>
        </w:rPr>
        <w:t>（四）涨跌停板幅度：与标的期货涨跌停板幅度相同</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sz w:val="32"/>
          <w:szCs w:val="32"/>
        </w:rPr>
        <w:t>菜油期权合约涨跌停板幅度与标的期货相同。这里的相同是指绝对数相同，即期权合约的涨跌停板幅度按标的期货合约上一交易日结算价乘以相应比例计算，且跌停板价格不得低于期权合约的最小变动价位。</w:t>
      </w:r>
    </w:p>
    <w:p w:rsidR="00424292" w:rsidRDefault="00424292" w:rsidP="00424292">
      <w:pPr>
        <w:pStyle w:val="a6"/>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（五）合约月份：两个近月</w:t>
      </w:r>
      <w:r>
        <w:rPr>
          <w:rFonts w:ascii="Times New Roman" w:eastAsia="楷体" w:hAnsi="Times New Roman"/>
          <w:szCs w:val="32"/>
        </w:rPr>
        <w:t>+</w:t>
      </w:r>
      <w:r>
        <w:rPr>
          <w:rFonts w:ascii="Times New Roman" w:eastAsia="楷体" w:hAnsi="Times New Roman" w:hint="eastAsia"/>
          <w:szCs w:val="32"/>
        </w:rPr>
        <w:t>活跃月份</w:t>
      </w:r>
    </w:p>
    <w:p w:rsidR="00424292" w:rsidRDefault="00424292" w:rsidP="00424292">
      <w:pPr>
        <w:adjustRightInd w:val="0"/>
        <w:ind w:firstLineChars="200" w:firstLine="640"/>
        <w:rPr>
          <w:rFonts w:eastAsia="仿宋"/>
          <w:sz w:val="32"/>
          <w:szCs w:val="32"/>
        </w:rPr>
      </w:pPr>
      <w:r>
        <w:rPr>
          <w:rFonts w:eastAsia="仿宋" w:hint="eastAsia"/>
          <w:sz w:val="32"/>
          <w:szCs w:val="32"/>
        </w:rPr>
        <w:t>菜油期权合约月份规定为两个近月及持仓量超过</w:t>
      </w:r>
      <w:r>
        <w:rPr>
          <w:rFonts w:eastAsia="仿宋"/>
          <w:sz w:val="32"/>
          <w:szCs w:val="32"/>
        </w:rPr>
        <w:t>5000</w:t>
      </w:r>
      <w:r>
        <w:rPr>
          <w:rFonts w:eastAsia="仿宋" w:hint="eastAsia"/>
          <w:sz w:val="32"/>
          <w:szCs w:val="32"/>
        </w:rPr>
        <w:t>手（单边）的活跃月份，与白糖、棉花、菜</w:t>
      </w:r>
      <w:proofErr w:type="gramStart"/>
      <w:r>
        <w:rPr>
          <w:rFonts w:eastAsia="仿宋" w:hint="eastAsia"/>
          <w:sz w:val="32"/>
          <w:szCs w:val="32"/>
        </w:rPr>
        <w:t>粕</w:t>
      </w:r>
      <w:proofErr w:type="gramEnd"/>
      <w:r>
        <w:rPr>
          <w:rFonts w:eastAsia="仿宋" w:hint="eastAsia"/>
          <w:sz w:val="32"/>
          <w:szCs w:val="32"/>
        </w:rPr>
        <w:t>期权设置一致。既能及时满足市场交易需求，也有利于集中市场流动性，提高市场运行效率。</w:t>
      </w:r>
    </w:p>
    <w:p w:rsidR="00424292" w:rsidRDefault="00424292" w:rsidP="00424292">
      <w:pPr>
        <w:pStyle w:val="a6"/>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（六）最后交易日</w:t>
      </w:r>
      <w:r>
        <w:rPr>
          <w:rFonts w:ascii="Times New Roman" w:eastAsia="楷体" w:hAnsi="Times New Roman"/>
          <w:szCs w:val="32"/>
        </w:rPr>
        <w:t>/</w:t>
      </w:r>
      <w:r>
        <w:rPr>
          <w:rFonts w:ascii="Times New Roman" w:eastAsia="楷体" w:hAnsi="Times New Roman" w:hint="eastAsia"/>
          <w:szCs w:val="32"/>
        </w:rPr>
        <w:t>到期日：标的期货合约交割月份前一</w:t>
      </w:r>
      <w:r>
        <w:rPr>
          <w:rFonts w:ascii="Times New Roman" w:eastAsia="楷体" w:hAnsi="Times New Roman" w:hint="eastAsia"/>
          <w:szCs w:val="32"/>
        </w:rPr>
        <w:lastRenderedPageBreak/>
        <w:t>个月的第</w:t>
      </w:r>
      <w:r>
        <w:rPr>
          <w:rFonts w:ascii="Times New Roman" w:eastAsia="楷体" w:hAnsi="Times New Roman"/>
          <w:szCs w:val="32"/>
        </w:rPr>
        <w:t>3</w:t>
      </w:r>
      <w:r>
        <w:rPr>
          <w:rFonts w:ascii="Times New Roman" w:eastAsia="楷体" w:hAnsi="Times New Roman" w:hint="eastAsia"/>
          <w:szCs w:val="32"/>
        </w:rPr>
        <w:t>个交易日</w:t>
      </w:r>
    </w:p>
    <w:p w:rsidR="00424292" w:rsidRDefault="00424292" w:rsidP="00424292">
      <w:pPr>
        <w:pStyle w:val="a5"/>
        <w:spacing w:line="360" w:lineRule="auto"/>
        <w:ind w:firstLineChars="200" w:firstLine="640"/>
        <w:rPr>
          <w:rFonts w:ascii="Times New Roman" w:eastAsia="楷体" w:hAnsi="Times New Roman" w:cs="Times New Roman"/>
          <w:sz w:val="32"/>
          <w:szCs w:val="32"/>
        </w:rPr>
      </w:pPr>
      <w:r>
        <w:rPr>
          <w:rFonts w:ascii="Times New Roman" w:eastAsia="仿宋" w:hAnsi="Times New Roman" w:cs="Times New Roman" w:hint="eastAsia"/>
          <w:sz w:val="32"/>
          <w:szCs w:val="32"/>
        </w:rPr>
        <w:t>选择交割月份前一个月的第</w:t>
      </w:r>
      <w:r>
        <w:rPr>
          <w:rFonts w:ascii="Times New Roman" w:eastAsia="仿宋" w:hAnsi="Times New Roman" w:cs="Times New Roman"/>
          <w:sz w:val="32"/>
          <w:szCs w:val="32"/>
        </w:rPr>
        <w:t>3</w:t>
      </w:r>
      <w:r>
        <w:rPr>
          <w:rFonts w:ascii="Times New Roman" w:eastAsia="仿宋" w:hAnsi="Times New Roman" w:cs="Times New Roman" w:hint="eastAsia"/>
          <w:sz w:val="32"/>
          <w:szCs w:val="32"/>
        </w:rPr>
        <w:t>个交易日为菜油期权到期日，与郑州商品交易所已上市期权保持一致，方便会员公司到期日行权业务操作，有利于</w:t>
      </w:r>
      <w:r>
        <w:rPr>
          <w:rFonts w:eastAsia="仿宋" w:hint="eastAsia"/>
          <w:sz w:val="32"/>
        </w:rPr>
        <w:t>交易者</w:t>
      </w:r>
      <w:r>
        <w:rPr>
          <w:rFonts w:ascii="Times New Roman" w:eastAsia="仿宋" w:hAnsi="Times New Roman" w:cs="Times New Roman" w:hint="eastAsia"/>
          <w:sz w:val="32"/>
          <w:szCs w:val="32"/>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rsidR="00424292" w:rsidRDefault="00424292" w:rsidP="00424292">
      <w:pPr>
        <w:pStyle w:val="a6"/>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（七）行权价格数量：</w:t>
      </w:r>
      <w:r>
        <w:rPr>
          <w:rFonts w:ascii="Times New Roman" w:eastAsia="楷体" w:hAnsi="Times New Roman"/>
          <w:szCs w:val="32"/>
        </w:rPr>
        <w:t>19</w:t>
      </w:r>
      <w:r>
        <w:rPr>
          <w:rFonts w:ascii="Times New Roman" w:eastAsia="楷体" w:hAnsi="Times New Roman" w:hint="eastAsia"/>
          <w:szCs w:val="32"/>
        </w:rPr>
        <w:t>个</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行权价格数量过多，不利于集中市场流动性；数量过少，不能有效覆盖标的期货价格波动范围。根据已上市期权运行经验及菜油期货价格波动特点，菜油期权合约上市首日将分别挂出</w:t>
      </w:r>
      <w:r>
        <w:rPr>
          <w:rFonts w:ascii="Times New Roman" w:eastAsia="仿宋" w:hAnsi="Times New Roman" w:cs="Times New Roman"/>
          <w:sz w:val="32"/>
          <w:szCs w:val="32"/>
        </w:rPr>
        <w:t>19</w:t>
      </w:r>
      <w:r>
        <w:rPr>
          <w:rFonts w:ascii="Times New Roman" w:eastAsia="仿宋" w:hAnsi="Times New Roman" w:cs="Times New Roman" w:hint="eastAsia"/>
          <w:sz w:val="32"/>
          <w:szCs w:val="32"/>
        </w:rPr>
        <w:t>个看涨期权和</w:t>
      </w:r>
      <w:r>
        <w:rPr>
          <w:rFonts w:ascii="Times New Roman" w:eastAsia="仿宋" w:hAnsi="Times New Roman" w:cs="Times New Roman"/>
          <w:sz w:val="32"/>
          <w:szCs w:val="32"/>
        </w:rPr>
        <w:t>19</w:t>
      </w:r>
      <w:r>
        <w:rPr>
          <w:rFonts w:ascii="Times New Roman" w:eastAsia="仿宋" w:hAnsi="Times New Roman" w:cs="Times New Roman" w:hint="eastAsia"/>
          <w:sz w:val="32"/>
          <w:szCs w:val="32"/>
        </w:rPr>
        <w:t>个看跌期权（即</w:t>
      </w:r>
      <w:r>
        <w:rPr>
          <w:rFonts w:ascii="Times New Roman" w:eastAsia="仿宋" w:hAnsi="Times New Roman" w:cs="Times New Roman"/>
          <w:sz w:val="32"/>
          <w:szCs w:val="32"/>
        </w:rPr>
        <w:t>9</w:t>
      </w:r>
      <w:r>
        <w:rPr>
          <w:rFonts w:ascii="Times New Roman" w:eastAsia="仿宋" w:hAnsi="Times New Roman" w:cs="Times New Roman" w:hint="eastAsia"/>
          <w:sz w:val="32"/>
          <w:szCs w:val="32"/>
        </w:rPr>
        <w:t>个实值、</w:t>
      </w:r>
      <w:r>
        <w:rPr>
          <w:rFonts w:ascii="Times New Roman" w:eastAsia="仿宋" w:hAnsi="Times New Roman" w:cs="Times New Roman"/>
          <w:sz w:val="32"/>
          <w:szCs w:val="32"/>
        </w:rPr>
        <w:t>1</w:t>
      </w:r>
      <w:r>
        <w:rPr>
          <w:rFonts w:ascii="Times New Roman" w:eastAsia="仿宋" w:hAnsi="Times New Roman" w:cs="Times New Roman" w:hint="eastAsia"/>
          <w:sz w:val="32"/>
          <w:szCs w:val="32"/>
        </w:rPr>
        <w:t>个平值和</w:t>
      </w:r>
      <w:r>
        <w:rPr>
          <w:rFonts w:ascii="Times New Roman" w:eastAsia="仿宋" w:hAnsi="Times New Roman" w:cs="Times New Roman"/>
          <w:sz w:val="32"/>
          <w:szCs w:val="32"/>
        </w:rPr>
        <w:t>9</w:t>
      </w:r>
      <w:r>
        <w:rPr>
          <w:rFonts w:ascii="Times New Roman" w:eastAsia="仿宋" w:hAnsi="Times New Roman" w:cs="Times New Roman" w:hint="eastAsia"/>
          <w:sz w:val="32"/>
          <w:szCs w:val="32"/>
        </w:rPr>
        <w:t>个</w:t>
      </w:r>
      <w:proofErr w:type="gramStart"/>
      <w:r>
        <w:rPr>
          <w:rFonts w:ascii="Times New Roman" w:eastAsia="仿宋" w:hAnsi="Times New Roman" w:cs="Times New Roman" w:hint="eastAsia"/>
          <w:sz w:val="32"/>
          <w:szCs w:val="32"/>
        </w:rPr>
        <w:t>虚值期权</w:t>
      </w:r>
      <w:proofErr w:type="gramEnd"/>
      <w:r>
        <w:rPr>
          <w:rFonts w:ascii="Times New Roman" w:eastAsia="仿宋" w:hAnsi="Times New Roman" w:cs="Times New Roman" w:hint="eastAsia"/>
          <w:sz w:val="32"/>
          <w:szCs w:val="32"/>
        </w:rPr>
        <w:t>，对应</w:t>
      </w:r>
      <w:r>
        <w:rPr>
          <w:rFonts w:ascii="Times New Roman" w:eastAsia="仿宋" w:hAnsi="Times New Roman" w:cs="Times New Roman"/>
          <w:sz w:val="32"/>
          <w:szCs w:val="32"/>
        </w:rPr>
        <w:t>19</w:t>
      </w:r>
      <w:r>
        <w:rPr>
          <w:rFonts w:ascii="Times New Roman" w:eastAsia="仿宋" w:hAnsi="Times New Roman" w:cs="Times New Roman" w:hint="eastAsia"/>
          <w:sz w:val="32"/>
          <w:szCs w:val="32"/>
        </w:rPr>
        <w:t>个行权价格），能够基本覆盖次日标的期货价格上下浮动</w:t>
      </w:r>
      <w:r>
        <w:rPr>
          <w:rFonts w:ascii="Times New Roman" w:eastAsia="仿宋" w:hAnsi="Times New Roman" w:cs="Times New Roman"/>
          <w:sz w:val="32"/>
          <w:szCs w:val="32"/>
        </w:rPr>
        <w:t>1.5</w:t>
      </w:r>
      <w:r>
        <w:rPr>
          <w:rFonts w:ascii="Times New Roman" w:eastAsia="仿宋" w:hAnsi="Times New Roman" w:cs="Times New Roman" w:hint="eastAsia"/>
          <w:sz w:val="32"/>
          <w:szCs w:val="32"/>
        </w:rPr>
        <w:t>倍当日涨跌停板幅度对应的价格范围。随着期货价格变动，若实值或</w:t>
      </w:r>
      <w:proofErr w:type="gramStart"/>
      <w:r>
        <w:rPr>
          <w:rFonts w:ascii="Times New Roman" w:eastAsia="仿宋" w:hAnsi="Times New Roman" w:cs="Times New Roman" w:hint="eastAsia"/>
          <w:sz w:val="32"/>
          <w:szCs w:val="32"/>
        </w:rPr>
        <w:t>虚值期权</w:t>
      </w:r>
      <w:proofErr w:type="gramEnd"/>
      <w:r>
        <w:rPr>
          <w:rFonts w:ascii="Times New Roman" w:eastAsia="仿宋" w:hAnsi="Times New Roman" w:cs="Times New Roman" w:hint="eastAsia"/>
          <w:sz w:val="32"/>
          <w:szCs w:val="32"/>
        </w:rPr>
        <w:t>的数量不足</w:t>
      </w:r>
      <w:r>
        <w:rPr>
          <w:rFonts w:ascii="Times New Roman" w:eastAsia="仿宋" w:hAnsi="Times New Roman" w:cs="Times New Roman"/>
          <w:sz w:val="32"/>
          <w:szCs w:val="32"/>
        </w:rPr>
        <w:t>9</w:t>
      </w:r>
      <w:r>
        <w:rPr>
          <w:rFonts w:ascii="Times New Roman" w:eastAsia="仿宋" w:hAnsi="Times New Roman" w:cs="Times New Roman" w:hint="eastAsia"/>
          <w:sz w:val="32"/>
          <w:szCs w:val="32"/>
        </w:rPr>
        <w:t>个，将增挂新的行权价格对应的期权合约。</w:t>
      </w:r>
    </w:p>
    <w:p w:rsidR="00424292" w:rsidRDefault="00424292" w:rsidP="00424292">
      <w:pPr>
        <w:pStyle w:val="a6"/>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（八）行权价格间距：根据行权价格分段设置</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行权价格间距的设计主要考虑标的物价格水平及波动程度。行权价格间距越小，对应的</w:t>
      </w:r>
      <w:r>
        <w:rPr>
          <w:rFonts w:ascii="Times New Roman" w:eastAsia="仿宋" w:hAnsi="Times New Roman" w:cs="Times New Roman" w:hint="eastAsia"/>
          <w:sz w:val="32"/>
        </w:rPr>
        <w:t>期权合约数量越多</w:t>
      </w:r>
      <w:r>
        <w:rPr>
          <w:rFonts w:ascii="Times New Roman" w:eastAsia="仿宋" w:hAnsi="Times New Roman" w:cs="Times New Roman" w:hint="eastAsia"/>
          <w:sz w:val="32"/>
          <w:szCs w:val="32"/>
        </w:rPr>
        <w:t>，不利于集中市场流动性；行权价格间距越大，对应的期权合约数量越少，可供</w:t>
      </w:r>
      <w:r>
        <w:rPr>
          <w:rFonts w:eastAsia="仿宋" w:hint="eastAsia"/>
          <w:sz w:val="32"/>
        </w:rPr>
        <w:t>交易者</w:t>
      </w:r>
      <w:r>
        <w:rPr>
          <w:rFonts w:ascii="Times New Roman" w:eastAsia="仿宋" w:hAnsi="Times New Roman" w:cs="Times New Roman" w:hint="eastAsia"/>
          <w:sz w:val="32"/>
          <w:szCs w:val="32"/>
        </w:rPr>
        <w:t>选择的行权价格也越少，</w:t>
      </w:r>
      <w:r>
        <w:rPr>
          <w:rFonts w:ascii="Times New Roman" w:eastAsia="仿宋" w:hAnsi="Times New Roman" w:cs="Times New Roman" w:hint="eastAsia"/>
          <w:sz w:val="32"/>
        </w:rPr>
        <w:t>难以满足不同</w:t>
      </w:r>
      <w:r>
        <w:rPr>
          <w:rFonts w:eastAsia="仿宋" w:hint="eastAsia"/>
          <w:sz w:val="32"/>
        </w:rPr>
        <w:lastRenderedPageBreak/>
        <w:t>交易者</w:t>
      </w:r>
      <w:r>
        <w:rPr>
          <w:rFonts w:ascii="Times New Roman" w:eastAsia="仿宋" w:hAnsi="Times New Roman" w:cs="Times New Roman" w:hint="eastAsia"/>
          <w:sz w:val="32"/>
        </w:rPr>
        <w:t>交易需要</w:t>
      </w:r>
      <w:r>
        <w:rPr>
          <w:rFonts w:ascii="Times New Roman" w:eastAsia="仿宋" w:hAnsi="Times New Roman" w:cs="Times New Roman" w:hint="eastAsia"/>
          <w:sz w:val="32"/>
          <w:szCs w:val="32"/>
        </w:rPr>
        <w:t>。</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菜油期货上市以来，价格在</w:t>
      </w:r>
      <w:r>
        <w:rPr>
          <w:rFonts w:ascii="Times New Roman" w:eastAsia="仿宋" w:hAnsi="Times New Roman" w:cs="Times New Roman"/>
          <w:sz w:val="32"/>
          <w:szCs w:val="32"/>
        </w:rPr>
        <w:t>5400</w:t>
      </w:r>
      <w:r>
        <w:rPr>
          <w:rFonts w:ascii="Times New Roman" w:eastAsia="仿宋" w:hAnsi="Times New Roman" w:cs="Times New Roman" w:hint="eastAsia"/>
          <w:sz w:val="32"/>
          <w:szCs w:val="32"/>
        </w:rPr>
        <w:t>元</w:t>
      </w:r>
      <w:r>
        <w:rPr>
          <w:rFonts w:ascii="Times New Roman" w:eastAsia="仿宋" w:hAnsi="Times New Roman" w:cs="Times New Roman"/>
          <w:sz w:val="32"/>
          <w:szCs w:val="32"/>
        </w:rPr>
        <w:t>/</w:t>
      </w:r>
      <w:proofErr w:type="gramStart"/>
      <w:r>
        <w:rPr>
          <w:rFonts w:ascii="Times New Roman" w:eastAsia="仿宋" w:hAnsi="Times New Roman" w:cs="Times New Roman" w:hint="eastAsia"/>
          <w:sz w:val="32"/>
          <w:szCs w:val="32"/>
        </w:rPr>
        <w:t>吨至</w:t>
      </w:r>
      <w:r>
        <w:rPr>
          <w:rFonts w:ascii="Times New Roman" w:eastAsia="仿宋" w:hAnsi="Times New Roman" w:cs="Times New Roman"/>
          <w:sz w:val="32"/>
          <w:szCs w:val="32"/>
        </w:rPr>
        <w:t>16000</w:t>
      </w:r>
      <w:r>
        <w:rPr>
          <w:rFonts w:ascii="Times New Roman" w:eastAsia="仿宋" w:hAnsi="Times New Roman" w:cs="Times New Roman" w:hint="eastAsia"/>
          <w:sz w:val="32"/>
          <w:szCs w:val="32"/>
        </w:rPr>
        <w:t>元</w:t>
      </w:r>
      <w:proofErr w:type="gramEnd"/>
      <w:r>
        <w:rPr>
          <w:rFonts w:ascii="Times New Roman" w:eastAsia="仿宋" w:hAnsi="Times New Roman" w:cs="Times New Roman"/>
          <w:sz w:val="32"/>
          <w:szCs w:val="32"/>
        </w:rPr>
        <w:t>/</w:t>
      </w:r>
      <w:r>
        <w:rPr>
          <w:rFonts w:ascii="Times New Roman" w:eastAsia="仿宋" w:hAnsi="Times New Roman" w:cs="Times New Roman" w:hint="eastAsia"/>
          <w:sz w:val="32"/>
          <w:szCs w:val="32"/>
        </w:rPr>
        <w:t>吨区间内波动，近三年，价格在</w:t>
      </w:r>
      <w:r>
        <w:rPr>
          <w:rFonts w:ascii="Times New Roman" w:eastAsia="仿宋" w:hAnsi="Times New Roman" w:cs="Times New Roman"/>
          <w:sz w:val="32"/>
          <w:szCs w:val="32"/>
        </w:rPr>
        <w:t>6400</w:t>
      </w:r>
      <w:r>
        <w:rPr>
          <w:rFonts w:ascii="Times New Roman" w:eastAsia="仿宋" w:hAnsi="Times New Roman" w:cs="Times New Roman" w:hint="eastAsia"/>
          <w:sz w:val="32"/>
          <w:szCs w:val="32"/>
        </w:rPr>
        <w:t>元</w:t>
      </w:r>
      <w:r>
        <w:rPr>
          <w:rFonts w:ascii="Times New Roman" w:eastAsia="仿宋" w:hAnsi="Times New Roman" w:cs="Times New Roman"/>
          <w:sz w:val="32"/>
          <w:szCs w:val="32"/>
        </w:rPr>
        <w:t>/</w:t>
      </w:r>
      <w:proofErr w:type="gramStart"/>
      <w:r>
        <w:rPr>
          <w:rFonts w:ascii="Times New Roman" w:eastAsia="仿宋" w:hAnsi="Times New Roman" w:cs="Times New Roman" w:hint="eastAsia"/>
          <w:sz w:val="32"/>
          <w:szCs w:val="32"/>
        </w:rPr>
        <w:t>吨至</w:t>
      </w:r>
      <w:r>
        <w:rPr>
          <w:rFonts w:ascii="Times New Roman" w:eastAsia="仿宋" w:hAnsi="Times New Roman" w:cs="Times New Roman"/>
          <w:sz w:val="32"/>
          <w:szCs w:val="32"/>
        </w:rPr>
        <w:t>1</w:t>
      </w:r>
      <w:r>
        <w:rPr>
          <w:rFonts w:ascii="Times New Roman" w:eastAsia="仿宋" w:hAnsi="Times New Roman" w:cs="Times New Roman" w:hint="eastAsia"/>
          <w:sz w:val="32"/>
          <w:szCs w:val="32"/>
        </w:rPr>
        <w:t>4</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roofErr w:type="gramEnd"/>
      <w:r>
        <w:rPr>
          <w:rFonts w:ascii="Times New Roman" w:eastAsia="仿宋" w:hAnsi="Times New Roman" w:cs="Times New Roman"/>
          <w:sz w:val="32"/>
          <w:szCs w:val="32"/>
        </w:rPr>
        <w:t>/</w:t>
      </w:r>
      <w:r>
        <w:rPr>
          <w:rFonts w:ascii="Times New Roman" w:eastAsia="仿宋" w:hAnsi="Times New Roman" w:cs="Times New Roman" w:hint="eastAsia"/>
          <w:sz w:val="32"/>
          <w:szCs w:val="32"/>
        </w:rPr>
        <w:t>吨区间内波动。菜油期权以</w:t>
      </w:r>
      <w:r>
        <w:rPr>
          <w:rFonts w:ascii="Times New Roman" w:eastAsia="仿宋" w:hAnsi="Times New Roman" w:cs="Times New Roman"/>
          <w:sz w:val="32"/>
          <w:szCs w:val="32"/>
        </w:rPr>
        <w:t>5000</w:t>
      </w:r>
      <w:r>
        <w:rPr>
          <w:rFonts w:ascii="Times New Roman" w:eastAsia="仿宋" w:hAnsi="Times New Roman" w:cs="Times New Roman" w:hint="eastAsia"/>
          <w:sz w:val="32"/>
          <w:szCs w:val="32"/>
        </w:rPr>
        <w:t>元</w:t>
      </w:r>
      <w:r>
        <w:rPr>
          <w:rFonts w:ascii="Times New Roman" w:eastAsia="仿宋" w:hAnsi="Times New Roman" w:cs="Times New Roman"/>
          <w:sz w:val="32"/>
          <w:szCs w:val="32"/>
        </w:rPr>
        <w:t>/</w:t>
      </w:r>
      <w:r>
        <w:rPr>
          <w:rFonts w:ascii="Times New Roman" w:eastAsia="仿宋" w:hAnsi="Times New Roman" w:cs="Times New Roman" w:hint="eastAsia"/>
          <w:sz w:val="32"/>
          <w:szCs w:val="32"/>
        </w:rPr>
        <w:t>吨和</w:t>
      </w:r>
      <w:r>
        <w:rPr>
          <w:rFonts w:ascii="Times New Roman" w:eastAsia="仿宋" w:hAnsi="Times New Roman" w:cs="Times New Roman"/>
          <w:sz w:val="32"/>
          <w:szCs w:val="32"/>
        </w:rPr>
        <w:t>10000</w:t>
      </w:r>
      <w:r>
        <w:rPr>
          <w:rFonts w:ascii="Times New Roman" w:eastAsia="仿宋" w:hAnsi="Times New Roman" w:cs="Times New Roman" w:hint="eastAsia"/>
          <w:sz w:val="32"/>
          <w:szCs w:val="32"/>
        </w:rPr>
        <w:t>元</w:t>
      </w:r>
      <w:r>
        <w:rPr>
          <w:rFonts w:ascii="Times New Roman" w:eastAsia="仿宋" w:hAnsi="Times New Roman" w:cs="Times New Roman"/>
          <w:sz w:val="32"/>
          <w:szCs w:val="32"/>
        </w:rPr>
        <w:t>/</w:t>
      </w:r>
      <w:r>
        <w:rPr>
          <w:rFonts w:ascii="Times New Roman" w:eastAsia="仿宋" w:hAnsi="Times New Roman" w:cs="Times New Roman" w:hint="eastAsia"/>
          <w:sz w:val="32"/>
          <w:szCs w:val="32"/>
        </w:rPr>
        <w:t>吨分段设置不同行权价格间距，行权价格间距与行权价格的比值在</w:t>
      </w:r>
      <w:r>
        <w:rPr>
          <w:rFonts w:ascii="Times New Roman" w:eastAsia="仿宋" w:hAnsi="Times New Roman" w:cs="Times New Roman"/>
          <w:sz w:val="32"/>
          <w:szCs w:val="32"/>
        </w:rPr>
        <w:t>1%</w:t>
      </w:r>
      <w:r>
        <w:rPr>
          <w:rFonts w:ascii="Times New Roman" w:eastAsia="仿宋" w:hAnsi="Times New Roman" w:cs="Times New Roman" w:hint="eastAsia"/>
          <w:sz w:val="32"/>
          <w:szCs w:val="32"/>
        </w:rPr>
        <w:t>至</w:t>
      </w:r>
      <w:r>
        <w:rPr>
          <w:rFonts w:ascii="Times New Roman" w:eastAsia="仿宋" w:hAnsi="Times New Roman" w:cs="Times New Roman"/>
          <w:sz w:val="32"/>
          <w:szCs w:val="32"/>
        </w:rPr>
        <w:t>2%</w:t>
      </w:r>
      <w:r>
        <w:rPr>
          <w:rFonts w:ascii="Times New Roman" w:eastAsia="仿宋" w:hAnsi="Times New Roman" w:cs="Times New Roman" w:hint="eastAsia"/>
          <w:sz w:val="32"/>
          <w:szCs w:val="32"/>
        </w:rPr>
        <w:t>之间，与国际成熟</w:t>
      </w:r>
      <w:r>
        <w:rPr>
          <w:rFonts w:ascii="Times New Roman" w:eastAsia="仿宋" w:hAnsi="Times New Roman" w:cs="Times New Roman" w:hint="eastAsia"/>
          <w:sz w:val="32"/>
        </w:rPr>
        <w:t>惯例保持一致</w:t>
      </w:r>
      <w:r>
        <w:rPr>
          <w:rFonts w:ascii="Times New Roman" w:eastAsia="仿宋" w:hAnsi="Times New Roman" w:cs="Times New Roman" w:hint="eastAsia"/>
          <w:sz w:val="32"/>
          <w:szCs w:val="32"/>
        </w:rPr>
        <w:t>。</w:t>
      </w:r>
    </w:p>
    <w:p w:rsidR="00424292" w:rsidRDefault="00424292" w:rsidP="00424292">
      <w:pPr>
        <w:spacing w:line="360" w:lineRule="auto"/>
        <w:mirrorIndents/>
        <w:jc w:val="center"/>
        <w:rPr>
          <w:rFonts w:eastAsia="仿宋"/>
          <w:b/>
          <w:sz w:val="24"/>
          <w:szCs w:val="32"/>
        </w:rPr>
      </w:pPr>
      <w:r>
        <w:rPr>
          <w:rFonts w:eastAsia="仿宋" w:hint="eastAsia"/>
          <w:b/>
          <w:sz w:val="24"/>
          <w:szCs w:val="32"/>
        </w:rPr>
        <w:t>菜油期权行权价格间距（单位：元</w:t>
      </w:r>
      <w:r>
        <w:rPr>
          <w:rFonts w:eastAsia="仿宋"/>
          <w:b/>
          <w:sz w:val="24"/>
          <w:szCs w:val="32"/>
        </w:rPr>
        <w:t>/</w:t>
      </w:r>
      <w:r>
        <w:rPr>
          <w:rFonts w:eastAsia="仿宋" w:hint="eastAsia"/>
          <w:b/>
          <w:sz w:val="24"/>
          <w:szCs w:val="32"/>
        </w:rPr>
        <w:t>吨）</w:t>
      </w:r>
    </w:p>
    <w:tbl>
      <w:tblPr>
        <w:tblW w:w="5000" w:type="pct"/>
        <w:jc w:val="center"/>
        <w:tblBorders>
          <w:top w:val="single" w:sz="4" w:space="0" w:color="000000"/>
          <w:bottom w:val="single" w:sz="4" w:space="0" w:color="000000"/>
          <w:insideH w:val="single" w:sz="4" w:space="0" w:color="000000"/>
          <w:insideV w:val="single" w:sz="4" w:space="0" w:color="000000"/>
        </w:tblBorders>
        <w:tblLook w:val="04A0"/>
      </w:tblPr>
      <w:tblGrid>
        <w:gridCol w:w="3025"/>
        <w:gridCol w:w="1775"/>
        <w:gridCol w:w="2364"/>
        <w:gridCol w:w="1364"/>
      </w:tblGrid>
      <w:tr w:rsidR="00424292" w:rsidTr="007F472F">
        <w:trPr>
          <w:trHeight w:val="20"/>
          <w:jc w:val="center"/>
        </w:trPr>
        <w:tc>
          <w:tcPr>
            <w:tcW w:w="1773" w:type="pct"/>
            <w:tcBorders>
              <w:top w:val="single" w:sz="4" w:space="0" w:color="000000"/>
              <w:left w:val="nil"/>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hint="eastAsia"/>
                <w:sz w:val="24"/>
              </w:rPr>
              <w:t>行权价格</w:t>
            </w:r>
          </w:p>
        </w:tc>
        <w:tc>
          <w:tcPr>
            <w:tcW w:w="1040"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sz w:val="24"/>
              </w:rPr>
              <w:t>≤5000</w:t>
            </w:r>
          </w:p>
        </w:tc>
        <w:tc>
          <w:tcPr>
            <w:tcW w:w="1386"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hint="eastAsia"/>
                <w:sz w:val="24"/>
              </w:rPr>
              <w:t>＞</w:t>
            </w:r>
            <w:r>
              <w:rPr>
                <w:rFonts w:eastAsia="仿宋"/>
                <w:sz w:val="24"/>
              </w:rPr>
              <w:t>5000</w:t>
            </w:r>
            <w:r>
              <w:rPr>
                <w:rFonts w:eastAsia="仿宋" w:hint="eastAsia"/>
                <w:sz w:val="24"/>
              </w:rPr>
              <w:t>且</w:t>
            </w:r>
            <w:r>
              <w:rPr>
                <w:rFonts w:eastAsia="仿宋"/>
                <w:sz w:val="24"/>
              </w:rPr>
              <w:t>≤10000</w:t>
            </w:r>
          </w:p>
        </w:tc>
        <w:tc>
          <w:tcPr>
            <w:tcW w:w="800" w:type="pct"/>
            <w:tcBorders>
              <w:top w:val="single" w:sz="4" w:space="0" w:color="000000"/>
              <w:left w:val="single" w:sz="4" w:space="0" w:color="000000"/>
              <w:bottom w:val="single" w:sz="4" w:space="0" w:color="000000"/>
              <w:right w:val="nil"/>
            </w:tcBorders>
            <w:hideMark/>
          </w:tcPr>
          <w:p w:rsidR="00424292" w:rsidRDefault="00424292" w:rsidP="007F472F">
            <w:pPr>
              <w:mirrorIndents/>
              <w:jc w:val="center"/>
              <w:rPr>
                <w:rFonts w:eastAsia="仿宋"/>
                <w:sz w:val="24"/>
                <w:szCs w:val="22"/>
              </w:rPr>
            </w:pPr>
            <w:r>
              <w:rPr>
                <w:rFonts w:eastAsia="仿宋" w:hint="eastAsia"/>
                <w:sz w:val="24"/>
              </w:rPr>
              <w:t>＞</w:t>
            </w:r>
            <w:r>
              <w:rPr>
                <w:rFonts w:eastAsia="仿宋"/>
                <w:sz w:val="24"/>
              </w:rPr>
              <w:t>10000</w:t>
            </w:r>
          </w:p>
        </w:tc>
      </w:tr>
      <w:tr w:rsidR="00424292" w:rsidTr="007F472F">
        <w:trPr>
          <w:trHeight w:val="20"/>
          <w:jc w:val="center"/>
        </w:trPr>
        <w:tc>
          <w:tcPr>
            <w:tcW w:w="1773" w:type="pct"/>
            <w:tcBorders>
              <w:top w:val="single" w:sz="4" w:space="0" w:color="000000"/>
              <w:left w:val="nil"/>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hint="eastAsia"/>
                <w:sz w:val="24"/>
              </w:rPr>
              <w:t>行权价格间距</w:t>
            </w:r>
          </w:p>
        </w:tc>
        <w:tc>
          <w:tcPr>
            <w:tcW w:w="1040"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sz w:val="24"/>
              </w:rPr>
              <w:t>50</w:t>
            </w:r>
          </w:p>
        </w:tc>
        <w:tc>
          <w:tcPr>
            <w:tcW w:w="1386"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sz w:val="24"/>
              </w:rPr>
              <w:t>100</w:t>
            </w:r>
          </w:p>
        </w:tc>
        <w:tc>
          <w:tcPr>
            <w:tcW w:w="800" w:type="pct"/>
            <w:tcBorders>
              <w:top w:val="single" w:sz="4" w:space="0" w:color="000000"/>
              <w:left w:val="single" w:sz="4" w:space="0" w:color="000000"/>
              <w:bottom w:val="single" w:sz="4" w:space="0" w:color="000000"/>
              <w:right w:val="nil"/>
            </w:tcBorders>
            <w:hideMark/>
          </w:tcPr>
          <w:p w:rsidR="00424292" w:rsidRDefault="00424292" w:rsidP="007F472F">
            <w:pPr>
              <w:mirrorIndents/>
              <w:jc w:val="center"/>
              <w:rPr>
                <w:rFonts w:eastAsia="仿宋"/>
                <w:sz w:val="24"/>
                <w:szCs w:val="22"/>
              </w:rPr>
            </w:pPr>
            <w:r>
              <w:rPr>
                <w:rFonts w:eastAsia="仿宋"/>
                <w:sz w:val="24"/>
              </w:rPr>
              <w:t>200</w:t>
            </w:r>
          </w:p>
        </w:tc>
      </w:tr>
      <w:tr w:rsidR="00424292" w:rsidTr="007F472F">
        <w:trPr>
          <w:trHeight w:val="20"/>
          <w:jc w:val="center"/>
        </w:trPr>
        <w:tc>
          <w:tcPr>
            <w:tcW w:w="1773" w:type="pct"/>
            <w:tcBorders>
              <w:top w:val="single" w:sz="4" w:space="0" w:color="000000"/>
              <w:left w:val="nil"/>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hint="eastAsia"/>
                <w:sz w:val="24"/>
              </w:rPr>
              <w:t>行权价格间距</w:t>
            </w:r>
            <w:r>
              <w:rPr>
                <w:rFonts w:eastAsia="仿宋"/>
                <w:sz w:val="24"/>
              </w:rPr>
              <w:t>/</w:t>
            </w:r>
            <w:r>
              <w:rPr>
                <w:rFonts w:eastAsia="仿宋" w:hint="eastAsia"/>
                <w:sz w:val="24"/>
              </w:rPr>
              <w:t>行权价格</w:t>
            </w:r>
          </w:p>
        </w:tc>
        <w:tc>
          <w:tcPr>
            <w:tcW w:w="1040"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sz w:val="24"/>
              </w:rPr>
              <w:t>≥1%</w:t>
            </w:r>
          </w:p>
        </w:tc>
        <w:tc>
          <w:tcPr>
            <w:tcW w:w="1386" w:type="pct"/>
            <w:tcBorders>
              <w:top w:val="single" w:sz="4" w:space="0" w:color="000000"/>
              <w:left w:val="single" w:sz="4" w:space="0" w:color="000000"/>
              <w:bottom w:val="single" w:sz="4" w:space="0" w:color="000000"/>
              <w:right w:val="single" w:sz="4" w:space="0" w:color="000000"/>
            </w:tcBorders>
            <w:vAlign w:val="center"/>
            <w:hideMark/>
          </w:tcPr>
          <w:p w:rsidR="00424292" w:rsidRDefault="00424292" w:rsidP="007F472F">
            <w:pPr>
              <w:mirrorIndents/>
              <w:jc w:val="center"/>
              <w:rPr>
                <w:rFonts w:eastAsia="仿宋"/>
                <w:sz w:val="24"/>
                <w:szCs w:val="22"/>
              </w:rPr>
            </w:pPr>
            <w:r>
              <w:rPr>
                <w:rFonts w:eastAsia="仿宋"/>
                <w:sz w:val="24"/>
              </w:rPr>
              <w:t>≥1%</w:t>
            </w:r>
            <w:r>
              <w:rPr>
                <w:rFonts w:eastAsia="仿宋" w:hint="eastAsia"/>
                <w:sz w:val="24"/>
              </w:rPr>
              <w:t>且＜</w:t>
            </w:r>
            <w:r>
              <w:rPr>
                <w:rFonts w:eastAsia="仿宋"/>
                <w:sz w:val="24"/>
              </w:rPr>
              <w:t>2%</w:t>
            </w:r>
          </w:p>
        </w:tc>
        <w:tc>
          <w:tcPr>
            <w:tcW w:w="800" w:type="pct"/>
            <w:tcBorders>
              <w:top w:val="single" w:sz="4" w:space="0" w:color="000000"/>
              <w:left w:val="single" w:sz="4" w:space="0" w:color="000000"/>
              <w:bottom w:val="single" w:sz="4" w:space="0" w:color="000000"/>
              <w:right w:val="nil"/>
            </w:tcBorders>
            <w:hideMark/>
          </w:tcPr>
          <w:p w:rsidR="00424292" w:rsidRDefault="00424292" w:rsidP="007F472F">
            <w:pPr>
              <w:mirrorIndents/>
              <w:jc w:val="center"/>
              <w:rPr>
                <w:rFonts w:eastAsia="仿宋"/>
                <w:sz w:val="24"/>
                <w:szCs w:val="22"/>
              </w:rPr>
            </w:pPr>
            <w:r>
              <w:rPr>
                <w:rFonts w:eastAsia="仿宋" w:hint="eastAsia"/>
                <w:sz w:val="24"/>
              </w:rPr>
              <w:t>＜</w:t>
            </w:r>
            <w:r>
              <w:rPr>
                <w:rFonts w:eastAsia="仿宋"/>
                <w:sz w:val="24"/>
              </w:rPr>
              <w:t>2%</w:t>
            </w:r>
          </w:p>
        </w:tc>
      </w:tr>
    </w:tbl>
    <w:p w:rsidR="00424292" w:rsidRDefault="00424292" w:rsidP="00424292">
      <w:pPr>
        <w:pStyle w:val="a6"/>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（九）行权方式：美式</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期权行权方式可分为美式与欧式。对于期权买方，美式期权行权可在到期日及之前任一交易日进行，而欧式期权行权只能在到期日进行。</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国际商品期权一般为美式期权。美式期权行权方式有利于保持期权和期货价格更强的关联性，给</w:t>
      </w:r>
      <w:r>
        <w:rPr>
          <w:rFonts w:eastAsia="仿宋" w:hint="eastAsia"/>
          <w:sz w:val="32"/>
        </w:rPr>
        <w:t>交易者</w:t>
      </w:r>
      <w:r>
        <w:rPr>
          <w:rFonts w:ascii="Times New Roman" w:eastAsia="仿宋" w:hAnsi="Times New Roman" w:cs="Times New Roman" w:hint="eastAsia"/>
          <w:sz w:val="32"/>
          <w:szCs w:val="32"/>
        </w:rPr>
        <w:t>提供灵活的选择，可以降低期权集中到期对标的物市场运行的影响。</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根据已上市期权品种运行情况，市场存在提前行权需求。借鉴国际市场和已上市期权运行经验，菜油期权也采用美式期权。</w:t>
      </w:r>
    </w:p>
    <w:p w:rsidR="00424292" w:rsidRDefault="00424292" w:rsidP="00424292">
      <w:pPr>
        <w:pStyle w:val="a6"/>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（十）交易代码：</w:t>
      </w:r>
      <w:r>
        <w:rPr>
          <w:rFonts w:ascii="Times New Roman" w:eastAsia="楷体" w:hAnsi="Times New Roman"/>
          <w:szCs w:val="32"/>
        </w:rPr>
        <w:t>OI-</w:t>
      </w:r>
      <w:r>
        <w:rPr>
          <w:rFonts w:ascii="Times New Roman" w:eastAsia="楷体" w:hAnsi="Times New Roman" w:hint="eastAsia"/>
          <w:szCs w:val="32"/>
        </w:rPr>
        <w:t>合约月份</w:t>
      </w:r>
      <w:r>
        <w:rPr>
          <w:rFonts w:ascii="Times New Roman" w:eastAsia="楷体" w:hAnsi="Times New Roman"/>
          <w:szCs w:val="32"/>
        </w:rPr>
        <w:t>-C</w:t>
      </w:r>
      <w:r>
        <w:rPr>
          <w:rFonts w:ascii="Times New Roman" w:eastAsia="楷体" w:hAnsi="Times New Roman" w:hint="eastAsia"/>
          <w:szCs w:val="32"/>
        </w:rPr>
        <w:t>（</w:t>
      </w:r>
      <w:r>
        <w:rPr>
          <w:rFonts w:ascii="Times New Roman" w:eastAsia="楷体" w:hAnsi="Times New Roman"/>
          <w:szCs w:val="32"/>
        </w:rPr>
        <w:t>P</w:t>
      </w:r>
      <w:r>
        <w:rPr>
          <w:rFonts w:ascii="Times New Roman" w:eastAsia="楷体" w:hAnsi="Times New Roman" w:hint="eastAsia"/>
          <w:szCs w:val="32"/>
        </w:rPr>
        <w:t>）</w:t>
      </w:r>
      <w:r>
        <w:rPr>
          <w:rFonts w:ascii="Times New Roman" w:eastAsia="楷体" w:hAnsi="Times New Roman"/>
          <w:szCs w:val="32"/>
        </w:rPr>
        <w:t>-</w:t>
      </w:r>
      <w:r>
        <w:rPr>
          <w:rFonts w:ascii="Times New Roman" w:eastAsia="楷体" w:hAnsi="Times New Roman" w:hint="eastAsia"/>
          <w:szCs w:val="32"/>
        </w:rPr>
        <w:t>行权价格</w:t>
      </w:r>
    </w:p>
    <w:p w:rsidR="00424292" w:rsidRDefault="00424292" w:rsidP="00424292">
      <w:pPr>
        <w:pStyle w:val="a5"/>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菜油期权合约沿用国内商品期权通行的交易代码组成方式，与已上市期权交易代码组</w:t>
      </w:r>
      <w:proofErr w:type="gramStart"/>
      <w:r>
        <w:rPr>
          <w:rFonts w:ascii="Times New Roman" w:eastAsia="仿宋" w:hAnsi="Times New Roman" w:cs="Times New Roman" w:hint="eastAsia"/>
          <w:sz w:val="32"/>
          <w:szCs w:val="32"/>
        </w:rPr>
        <w:t>成方式</w:t>
      </w:r>
      <w:proofErr w:type="gramEnd"/>
      <w:r>
        <w:rPr>
          <w:rFonts w:ascii="Times New Roman" w:eastAsia="仿宋" w:hAnsi="Times New Roman" w:cs="Times New Roman" w:hint="eastAsia"/>
          <w:sz w:val="32"/>
          <w:szCs w:val="32"/>
        </w:rPr>
        <w:t>一致，便于</w:t>
      </w:r>
      <w:r>
        <w:rPr>
          <w:rFonts w:eastAsia="仿宋" w:hint="eastAsia"/>
          <w:sz w:val="32"/>
        </w:rPr>
        <w:t>交易者</w:t>
      </w:r>
      <w:r>
        <w:rPr>
          <w:rFonts w:ascii="Times New Roman" w:eastAsia="仿宋" w:hAnsi="Times New Roman" w:cs="Times New Roman" w:hint="eastAsia"/>
          <w:sz w:val="32"/>
          <w:szCs w:val="32"/>
        </w:rPr>
        <w:t>理解与掌握。其中，看涨期权（</w:t>
      </w:r>
      <w:r>
        <w:rPr>
          <w:rFonts w:ascii="Times New Roman" w:eastAsia="仿宋" w:hAnsi="Times New Roman" w:cs="Times New Roman"/>
          <w:sz w:val="32"/>
          <w:szCs w:val="32"/>
        </w:rPr>
        <w:t>Call</w:t>
      </w:r>
      <w:r>
        <w:rPr>
          <w:rFonts w:ascii="Times New Roman" w:eastAsia="仿宋" w:hAnsi="Times New Roman" w:cs="Times New Roman" w:hint="eastAsia"/>
          <w:sz w:val="32"/>
          <w:szCs w:val="32"/>
        </w:rPr>
        <w:t>）用大写英文字母</w:t>
      </w:r>
      <w:r>
        <w:rPr>
          <w:rFonts w:ascii="Times New Roman" w:eastAsia="仿宋" w:hAnsi="Times New Roman" w:cs="Times New Roman"/>
          <w:sz w:val="32"/>
          <w:szCs w:val="32"/>
        </w:rPr>
        <w:t>C</w:t>
      </w:r>
      <w:r>
        <w:rPr>
          <w:rFonts w:ascii="Times New Roman" w:eastAsia="仿宋" w:hAnsi="Times New Roman" w:cs="Times New Roman" w:hint="eastAsia"/>
          <w:sz w:val="32"/>
          <w:szCs w:val="32"/>
        </w:rPr>
        <w:t>表示，</w:t>
      </w:r>
      <w:r>
        <w:rPr>
          <w:rFonts w:ascii="Times New Roman" w:eastAsia="仿宋" w:hAnsi="Times New Roman" w:cs="Times New Roman" w:hint="eastAsia"/>
          <w:sz w:val="32"/>
          <w:szCs w:val="32"/>
        </w:rPr>
        <w:lastRenderedPageBreak/>
        <w:t>看跌期权（</w:t>
      </w:r>
      <w:r>
        <w:rPr>
          <w:rFonts w:ascii="Times New Roman" w:eastAsia="仿宋" w:hAnsi="Times New Roman" w:cs="Times New Roman"/>
          <w:sz w:val="32"/>
          <w:szCs w:val="32"/>
        </w:rPr>
        <w:t>Put</w:t>
      </w:r>
      <w:r>
        <w:rPr>
          <w:rFonts w:ascii="Times New Roman" w:eastAsia="仿宋" w:hAnsi="Times New Roman" w:cs="Times New Roman" w:hint="eastAsia"/>
          <w:sz w:val="32"/>
          <w:szCs w:val="32"/>
        </w:rPr>
        <w:t>）用大写英文字母</w:t>
      </w:r>
      <w:r>
        <w:rPr>
          <w:rFonts w:ascii="Times New Roman" w:eastAsia="仿宋" w:hAnsi="Times New Roman" w:cs="Times New Roman"/>
          <w:sz w:val="32"/>
          <w:szCs w:val="32"/>
        </w:rPr>
        <w:t>P</w:t>
      </w:r>
      <w:r>
        <w:rPr>
          <w:rFonts w:ascii="Times New Roman" w:eastAsia="仿宋" w:hAnsi="Times New Roman" w:cs="Times New Roman" w:hint="eastAsia"/>
          <w:sz w:val="32"/>
          <w:szCs w:val="32"/>
        </w:rPr>
        <w:t>表示。</w:t>
      </w:r>
    </w:p>
    <w:p w:rsidR="00424292" w:rsidRPr="00BA7730" w:rsidRDefault="00424292" w:rsidP="00424292">
      <w:pPr>
        <w:rPr>
          <w:rFonts w:ascii="仿宋" w:eastAsia="仿宋" w:hAnsi="仿宋"/>
          <w:sz w:val="32"/>
        </w:rPr>
      </w:pPr>
    </w:p>
    <w:p w:rsidR="000C749F" w:rsidRPr="00424292" w:rsidRDefault="000C749F"/>
    <w:sectPr w:rsidR="000C749F" w:rsidRPr="00424292" w:rsidSect="00AD605C">
      <w:footerReference w:type="even" r:id="rId4"/>
      <w:footerReference w:type="default" r:id="rId5"/>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424292">
    <w:pPr>
      <w:pStyle w:val="a3"/>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sz w:val="28"/>
      </w:rPr>
      <w:t>4</w:t>
    </w:r>
    <w:r>
      <w:rPr>
        <w:rStyle w:val="a4"/>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424292">
    <w:pPr>
      <w:pStyle w:val="a3"/>
      <w:wordWrap w:val="0"/>
      <w:jc w:val="right"/>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292"/>
    <w:rsid w:val="000C749F"/>
    <w:rsid w:val="0042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24292"/>
    <w:pPr>
      <w:tabs>
        <w:tab w:val="center" w:pos="4153"/>
        <w:tab w:val="right" w:pos="8306"/>
      </w:tabs>
      <w:snapToGrid w:val="0"/>
      <w:jc w:val="left"/>
    </w:pPr>
    <w:rPr>
      <w:sz w:val="18"/>
      <w:szCs w:val="18"/>
    </w:rPr>
  </w:style>
  <w:style w:type="character" w:customStyle="1" w:styleId="Char">
    <w:name w:val="页脚 Char"/>
    <w:basedOn w:val="a0"/>
    <w:link w:val="a3"/>
    <w:rsid w:val="00424292"/>
    <w:rPr>
      <w:rFonts w:ascii="Times New Roman" w:eastAsia="宋体" w:hAnsi="Times New Roman" w:cs="Times New Roman"/>
      <w:sz w:val="18"/>
      <w:szCs w:val="18"/>
    </w:rPr>
  </w:style>
  <w:style w:type="character" w:styleId="a4">
    <w:name w:val="page number"/>
    <w:basedOn w:val="a0"/>
    <w:qFormat/>
    <w:rsid w:val="00424292"/>
  </w:style>
  <w:style w:type="paragraph" w:styleId="a5">
    <w:name w:val="Body Text Indent"/>
    <w:basedOn w:val="a"/>
    <w:link w:val="Char1"/>
    <w:semiHidden/>
    <w:unhideWhenUsed/>
    <w:rsid w:val="00424292"/>
    <w:pPr>
      <w:ind w:firstLineChars="171" w:firstLine="359"/>
    </w:pPr>
    <w:rPr>
      <w:rFonts w:asciiTheme="minorHAnsi" w:eastAsiaTheme="minorEastAsia" w:hAnsiTheme="minorHAnsi" w:cstheme="minorBidi"/>
    </w:rPr>
  </w:style>
  <w:style w:type="character" w:customStyle="1" w:styleId="Char0">
    <w:name w:val="正文文本缩进 Char"/>
    <w:basedOn w:val="a0"/>
    <w:link w:val="a5"/>
    <w:uiPriority w:val="99"/>
    <w:semiHidden/>
    <w:rsid w:val="00424292"/>
    <w:rPr>
      <w:rFonts w:ascii="Times New Roman" w:eastAsia="宋体" w:hAnsi="Times New Roman" w:cs="Times New Roman"/>
      <w:szCs w:val="24"/>
    </w:rPr>
  </w:style>
  <w:style w:type="paragraph" w:styleId="a6">
    <w:name w:val="List Paragraph"/>
    <w:basedOn w:val="a"/>
    <w:uiPriority w:val="34"/>
    <w:qFormat/>
    <w:rsid w:val="00424292"/>
    <w:pPr>
      <w:ind w:firstLineChars="200" w:firstLine="420"/>
      <w:jc w:val="center"/>
    </w:pPr>
    <w:rPr>
      <w:rFonts w:ascii="仿宋" w:eastAsia="仿宋" w:hAnsi="仿宋"/>
      <w:sz w:val="32"/>
      <w:szCs w:val="22"/>
    </w:rPr>
  </w:style>
  <w:style w:type="character" w:customStyle="1" w:styleId="Char1">
    <w:name w:val="正文文本缩进 Char1"/>
    <w:basedOn w:val="a0"/>
    <w:link w:val="a5"/>
    <w:semiHidden/>
    <w:locked/>
    <w:rsid w:val="00424292"/>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1277</Characters>
  <Application>Microsoft Office Word</Application>
  <DocSecurity>0</DocSecurity>
  <Lines>85</Lines>
  <Paragraphs>72</Paragraphs>
  <ScaleCrop>false</ScaleCrop>
  <Company>Lenovo</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2022-04-22T08:40:00Z</dcterms:created>
  <dcterms:modified xsi:type="dcterms:W3CDTF">2022-04-22T08:40:00Z</dcterms:modified>
</cp:coreProperties>
</file>