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8B" w:rsidRDefault="00E5288B" w:rsidP="00E5288B">
      <w:pPr>
        <w:rPr>
          <w:rFonts w:ascii="黑体" w:eastAsia="黑体" w:hAnsi="黑体"/>
          <w:sz w:val="30"/>
          <w:szCs w:val="30"/>
        </w:rPr>
      </w:pPr>
      <w:r>
        <w:rPr>
          <w:rFonts w:ascii="黑体" w:eastAsia="黑体" w:hAnsi="黑体" w:hint="eastAsia"/>
          <w:sz w:val="30"/>
          <w:szCs w:val="30"/>
        </w:rPr>
        <w:t>附件2</w:t>
      </w:r>
    </w:p>
    <w:p w:rsidR="00E5288B" w:rsidRDefault="00E5288B" w:rsidP="00E5288B">
      <w:pPr>
        <w:spacing w:after="240"/>
        <w:jc w:val="center"/>
        <w:rPr>
          <w:rFonts w:ascii="宋体" w:hAnsi="宋体"/>
          <w:b/>
          <w:kern w:val="0"/>
          <w:sz w:val="44"/>
          <w:szCs w:val="44"/>
        </w:rPr>
      </w:pPr>
      <w:r>
        <w:rPr>
          <w:rFonts w:ascii="宋体" w:hAnsi="宋体" w:hint="eastAsia"/>
          <w:b/>
          <w:kern w:val="0"/>
          <w:sz w:val="44"/>
          <w:szCs w:val="44"/>
        </w:rPr>
        <w:t>郑州商品交易所期货交割细则</w:t>
      </w:r>
    </w:p>
    <w:p w:rsidR="00E5288B" w:rsidRDefault="00E5288B" w:rsidP="00E5288B">
      <w:pPr>
        <w:spacing w:before="240" w:after="240"/>
        <w:jc w:val="left"/>
        <w:rPr>
          <w:rFonts w:ascii="宋体" w:hAnsi="宋体"/>
          <w:szCs w:val="21"/>
        </w:rPr>
      </w:pPr>
      <w:r>
        <w:rPr>
          <w:rFonts w:ascii="宋体" w:hAnsi="宋体" w:hint="eastAsia"/>
          <w:szCs w:val="21"/>
        </w:rPr>
        <w:t>（2021年12月16日郑州商品交易所第七届理事会第二十二次会议审议通过，自菜粕期货2301合约开始施行）</w:t>
      </w:r>
    </w:p>
    <w:p w:rsidR="00E5288B" w:rsidRDefault="00E5288B" w:rsidP="00E5288B">
      <w:pPr>
        <w:widowControl/>
        <w:spacing w:after="240"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E5288B" w:rsidRDefault="00E5288B" w:rsidP="00E5288B">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E5288B" w:rsidRDefault="00E5288B" w:rsidP="00E5288B">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E5288B" w:rsidRDefault="00E5288B" w:rsidP="00E5288B">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交易所上市期货品种采用仓库交割、厂库交割、车（船）板交割等交割方式。</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仓库交割是指卖方通过将指定仓库开具的相关商品仓库仓单转移给买方以完成实物交割的交割方式。</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厂库交割是指卖方通过将指定厂库开具的相关商品标准仓单转移给买方以完成实物交割的交割方式。</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棉花、早籼稻、红枣：仓库交割。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、棉纱、尿素、纯碱</w:t>
      </w:r>
      <w:r>
        <w:rPr>
          <w:rFonts w:ascii="宋体" w:hAnsi="宋体" w:cs="宋体" w:hint="eastAsia"/>
          <w:kern w:val="0"/>
          <w:sz w:val="28"/>
          <w:szCs w:val="28"/>
        </w:rPr>
        <w:t>：仓库交割和厂库交割。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玻璃、短纤：厂库交割。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动力煤、花生：车（船）板交割和厂库交割。</w:t>
      </w:r>
    </w:p>
    <w:p w:rsidR="00E5288B" w:rsidRDefault="00E5288B" w:rsidP="00E5288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苹果：车（船）板交割、仓库交割和厂库交割。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苹果、红枣、花生交付增值税专用发票或农产品销售发票。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1351-2008）的三等及以上小麦，且不完善粒中生芽粒≤2.0%、霉变粒≤2.0%。</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（二）1.0%＜杂质≤1.5%的，以1.0%为基准，杂质每超0.5%，入库扣量（出库补量）1％；不足0.5%的，入库不扣量（出库不补量）。车船板交货时按出库处理。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E5288B" w:rsidRDefault="00E5288B" w:rsidP="00E5288B">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（二）强麦交货时，12.5％＜水分≤13.5%的，水分每超0.5%，补量1.0％；不足0.5%的，不补量。</w:t>
      </w:r>
    </w:p>
    <w:p w:rsidR="00E5288B" w:rsidRDefault="00E5288B" w:rsidP="00E5288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强麦接收、储存、发运采用散粮方式。</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交割单位：185包±5包（227±10公斤/包），对应8手期货合约。</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棉花交割适用国家标准。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升贴水和分级计价按重新检验的结果随货款一并结算。</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N年产锯齿细绒白棉从N+1年8月1日起每日历日贴水4元/吨，至N+1年11月的第15个交易日（含该日）止。</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白砂糖》（GB/T317—2018）（以下简称《白糖国标》）规定的一级白糖。</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进口白糖的标志、标签，除应含有产品名称、净含量、生产厂商名称、生产日期等内容外，其他内容不作要求。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基准交割品：符合GB/T32685-2016质量标准的优等品PTA。</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E5288B" w:rsidRDefault="00E5288B" w:rsidP="00E5288B">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E5288B" w:rsidRDefault="00E5288B" w:rsidP="00E5288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 xml:space="preserve">基准交割品：符合《中华人民共和国国家标准 </w:t>
      </w:r>
      <w:r>
        <w:rPr>
          <w:rFonts w:ascii="宋体" w:hAnsi="宋体" w:cs="宋体" w:hint="eastAsia"/>
          <w:kern w:val="0"/>
          <w:sz w:val="28"/>
          <w:szCs w:val="28"/>
        </w:rPr>
        <w:t>菜籽油》（GB1536-2004）</w:t>
      </w:r>
      <w:r>
        <w:rPr>
          <w:rFonts w:ascii="宋体" w:hAnsi="宋体" w:cs="宋体" w:hint="eastAsia"/>
          <w:spacing w:val="-6"/>
          <w:kern w:val="52"/>
          <w:sz w:val="28"/>
          <w:szCs w:val="28"/>
        </w:rPr>
        <w:t>四级质量指标的菜油。</w:t>
      </w:r>
    </w:p>
    <w:p w:rsidR="00E5288B" w:rsidRDefault="00E5288B" w:rsidP="00E5288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替代品及升贴水：</w:t>
      </w:r>
    </w:p>
    <w:p w:rsidR="00E5288B" w:rsidRDefault="00E5288B" w:rsidP="00E5288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（一）符合</w:t>
      </w:r>
      <w:r>
        <w:rPr>
          <w:rFonts w:ascii="宋体" w:hAnsi="宋体" w:cs="宋体" w:hint="eastAsia"/>
          <w:kern w:val="0"/>
          <w:sz w:val="28"/>
          <w:szCs w:val="28"/>
        </w:rPr>
        <w:t>GB1536-2004规定的</w:t>
      </w:r>
      <w:r>
        <w:rPr>
          <w:rFonts w:ascii="宋体" w:hAnsi="宋体" w:cs="宋体" w:hint="eastAsia"/>
          <w:spacing w:val="-6"/>
          <w:kern w:val="52"/>
          <w:sz w:val="28"/>
          <w:szCs w:val="28"/>
        </w:rPr>
        <w:t>三级、二级、一级质量指标的菜油</w:t>
      </w:r>
      <w:r>
        <w:rPr>
          <w:rFonts w:ascii="宋体" w:hAnsi="宋体" w:cs="宋体" w:hint="eastAsia"/>
          <w:bCs/>
          <w:spacing w:val="-6"/>
          <w:kern w:val="52"/>
          <w:sz w:val="28"/>
          <w:szCs w:val="28"/>
        </w:rPr>
        <w:t>可以替代交割，无升贴水</w:t>
      </w:r>
      <w:r>
        <w:rPr>
          <w:rFonts w:ascii="宋体" w:hAnsi="宋体" w:cs="宋体" w:hint="eastAsia"/>
          <w:spacing w:val="-6"/>
          <w:kern w:val="52"/>
          <w:sz w:val="28"/>
          <w:szCs w:val="28"/>
        </w:rPr>
        <w:t>。</w:t>
      </w:r>
    </w:p>
    <w:p w:rsidR="00E5288B" w:rsidRDefault="00E5288B" w:rsidP="00E5288B">
      <w:pPr>
        <w:widowControl/>
        <w:spacing w:line="360" w:lineRule="auto"/>
        <w:ind w:firstLineChars="200" w:firstLine="560"/>
        <w:outlineLvl w:val="3"/>
        <w:rPr>
          <w:rFonts w:ascii="宋体" w:hAnsi="宋体" w:cs="宋体"/>
          <w:spacing w:val="-6"/>
          <w:kern w:val="52"/>
          <w:sz w:val="28"/>
          <w:szCs w:val="28"/>
        </w:rPr>
      </w:pPr>
      <w:r>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菜油出库时，其过氧化值不得超过5.5mmol/kg。</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菜粕交割标准适用于国家标准及本细则规定。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（二）符合基准交割品质量规定要求的进口菜粕可以替代交割，贴水50元/吨；符合第（一）项替代品质量规定要求的进口菜粕可以替代交割，再行贴水50元/吨；进口菜粕形状不作要求，进口原产地见交易所公告。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（三）95型菜粕不允许交割。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同一客户同一批次交割的菜粕包装要求规格统一。</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进口菜粕采取厂库交割方式，储存和出库采用散装方式。</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（一）入库时，脂肪酸值≤19mg/100g（干基）且黄粒米≤0.5%的，升贴水为零；出库时，脂肪酸值≤22mg/100g（干基）且黄粒米＜0.7%。</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1350-2009）三等及以上等级质量指标的晚籼稻，整精米率≥52%，水分含量≤14.5%，谷外糙米含量≤4%，垩白度≤2%，长宽比≥3.1，粒长≥5.6mm且异品种率≤7%。</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替代品及升贴水：晚籼稻各质量指标与基准交割品差异符合以下规定的，可以通过升贴水替代交割。</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本款仅适用于江西、湖南、湖北、安徽等主产区）</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（二）1.0%＜杂质含量≤1.5%的，入库扣量（出库补量）0.5%；1.5%＜杂质含量≤2.0%的，入库扣量（出库补量）1.0%。</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（三）2.8≤长宽比＜3.1，其他指标符合基准交割品要求的，可替代交割。升贴水由交易所另行公告。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每年10月1日起至次年3月31日止入库的晚籼稻，脂肪酸值不得高于17mg/100g（干基），黄粒米含量不得高于0.3%；其他时间入库的晚籼稻，脂肪酸值不得高于19mg/100g（干基），黄粒米含量不得高于0.5%。</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ascii="宋体" w:hAnsi="宋体" w:cs="宋体" w:hint="eastAsia"/>
          <w:kern w:val="0"/>
          <w:sz w:val="28"/>
          <w:szCs w:val="28"/>
        </w:rPr>
        <w:t>。</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E5288B" w:rsidRDefault="00E5288B" w:rsidP="00E5288B">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t>替代品及升贴水：粳稻各质量指标与基准交割品差异符合以下规定的，可以通过升贴水替代交割。</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（五）2.0%＜谷外糙米≤4.0%的，升贴水为零（仅适用于黑龙江、吉林、辽宁三省）。</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E5288B" w:rsidRDefault="00E5288B" w:rsidP="00E5288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厂库仓单出库时，脂肪酸值和黄粒米指标按对应期间入库规定执行。</w:t>
      </w:r>
    </w:p>
    <w:p w:rsidR="00E5288B" w:rsidRDefault="00E5288B" w:rsidP="00E5288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E5288B" w:rsidRDefault="00E5288B" w:rsidP="00E5288B">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玻璃交割适用国家标准及本细则规定。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替代品及升贴水：符合国标规定的6mm无色透明平板玻璃（规格为3.66m×2.44m）一等品，无升贴水。</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E5288B" w:rsidRDefault="00E5288B" w:rsidP="00E5288B">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spacing w:val="-6"/>
          <w:kern w:val="0"/>
          <w:sz w:val="28"/>
          <w:szCs w:val="28"/>
        </w:rPr>
        <w:t>动力煤交割检验指标检测方法适用国家相关标准。</w:t>
      </w:r>
    </w:p>
    <w:p w:rsidR="00E5288B" w:rsidRDefault="00E5288B" w:rsidP="00E5288B">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基准交割品：收到基低位发热量为5500千卡/千克，干燥基全硫≤0.8%，30%≤干燥无灰基挥发分≤42%，干燥基灰分≤30%，全水≤25%的动力煤。</w:t>
      </w:r>
    </w:p>
    <w:p w:rsidR="00E5288B" w:rsidRDefault="00E5288B" w:rsidP="00E5288B">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替代品及升贴水：收到基低位发热量≥4300千卡/千克，干燥基全硫≤1.5%，30%≤干燥无灰基挥发分≤42%，干燥基灰分≤30%的动力煤。</w:t>
      </w:r>
    </w:p>
    <w:p w:rsidR="00E5288B" w:rsidRDefault="00E5288B" w:rsidP="00E5288B">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4300千卡/千克≤收到基低位发热量＜4800千卡/千克时，货款结算价（四舍五入，保留小数点后两位）=交割结算价×0.7687/4500×实测发热量；4800千卡/千克≤收到基低位发热量＜5300千卡/千克时，货款结算价（四舍五入，保留小数点后两位）=交割结算价×0.8768/5000×实测发热量；收到基低位发热量≥5300千卡/千克时，货款结算价（四舍五入，保留小数点后两位）=交割结算价/5500×实测发热量；收到基低位发热量超过6000千卡/千克的，按6000千卡/千克计算货款。</w:t>
      </w:r>
    </w:p>
    <w:p w:rsidR="00E5288B" w:rsidRDefault="00E5288B" w:rsidP="00E5288B">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0.8%＜干燥基全硫≤1.5%时，以0.8%为基准，每高0.1（四舍五入，保留小数点后一位）个百分点，贴水4元/吨。</w:t>
      </w:r>
    </w:p>
    <w:p w:rsidR="00E5288B" w:rsidRDefault="00E5288B" w:rsidP="00E5288B">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全水＞25%的动力煤可以交割。全水＞25%时，以25%为基准，按照超出部分（四舍五入，保留小数点后一位）扣减重量（例如，实测全水为26.32%，扣重1.3%）。</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E5288B" w:rsidRDefault="00E5288B" w:rsidP="00E5288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2272-2020）规定牌号为PG FeSi72Al2.5（硅含量≥72.0%、磷含量≤0.04%、硫含量≤0.02%、碳含量≤0.2%）、粒度为10-60mm的硅铁，其中：锰、铬、铝、钛含量不作要求；粒度偏差筛下物不大于5%，筛上物不大于8%。</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硅铁交割品包装物采用双层、中间加固拦腰围带的塑料编织袋。包装袋上应标明产品名称、产品牌号、执行标准及生产企业名称。在质检批次内，平均单包净重为1000±10公斤。</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硅铁交割品按照净重结算，包装物按照2.5公斤/条标准扣除重量，包装物价格包含在硅铁合约价格中。</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E5288B" w:rsidRDefault="00E5288B" w:rsidP="00E5288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锰硅交割品包装物采用双层、中间加固拦腰围带的塑料编织袋。包装袋上应标明产品名称、产品牌号、执行标准及生产企业名称。在质检批次内，平均单包净重为1000±10公斤。</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（一）12.0 cN/tex≤单纱断裂强度＜14.0 cN/tex及14.7 cN/tex≤单纱断裂强度≤16.2 cN/tex；</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（二）7.5%＜单纱断裂强力变异系数＜8.5%及9.0%＜单纱断裂强力变异系数≤10.5%；</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E5288B" w:rsidRDefault="00E5288B" w:rsidP="00E5288B">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E5288B" w:rsidRDefault="00E5288B" w:rsidP="00E5288B">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未发生褐变的水心病苹果不计入不合格果。</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（一）苹果入库硬度不得低于7kgf/cm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（二）每年10月1日至次年2月10日（含该日）出库的苹果，硬度不得低于6.2kgf/cm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E5288B" w:rsidRDefault="00E5288B" w:rsidP="00E5288B">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第六十五条 </w:t>
      </w:r>
      <w:r>
        <w:rPr>
          <w:rFonts w:ascii="宋体" w:hAnsi="宋体" w:cs="宋体" w:hint="eastAsia"/>
          <w:kern w:val="0"/>
          <w:sz w:val="28"/>
          <w:szCs w:val="28"/>
        </w:rPr>
        <w:t>苹果交割品采用抽筐（箱）检斤方式验重,按以下公式计算货物重量：</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货物重量=（抽取苹果总毛重-抽取装果容器的总重量）/抽取件数×货物件数。</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E5288B" w:rsidRDefault="00E5288B" w:rsidP="00E5288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sidRPr="00630D0E">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05pt;height:48.35pt" equationxml="&lt;">
            <v:imagedata r:id="rId6" o:title="" chromakey="white"/>
          </v:shape>
        </w:pict>
      </w:r>
      <w:r>
        <w:rPr>
          <w:rFonts w:ascii="宋体" w:hAnsi="宋体" w:cs="宋体" w:hint="eastAsia"/>
          <w:kern w:val="0"/>
          <w:sz w:val="28"/>
          <w:szCs w:val="28"/>
        </w:rPr>
        <w:t>，均匀度允差=</w:t>
      </w:r>
      <w:r w:rsidRPr="00630D0E">
        <w:rPr>
          <w:position w:val="-35"/>
        </w:rPr>
        <w:pict>
          <v:shape id="_x0000_i1026" type="#_x0000_t75" style="width:395.45pt;height:48.35pt" equationxml="&lt;">
            <v:imagedata r:id="rId7" o:title="" chromakey="white"/>
          </v:shape>
        </w:pic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（一）每千克果粒数≤180个/千克或230个/千克＜每千克果粒数≤280个/千克的可替代交割，升贴水以交易所公告为准。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E5288B" w:rsidRDefault="00E5288B" w:rsidP="00E5288B">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第二十节 尿素</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E5288B" w:rsidRDefault="00E5288B" w:rsidP="00E5288B">
      <w:pPr>
        <w:ind w:firstLineChars="200" w:firstLine="560"/>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E5288B" w:rsidRDefault="00E5288B" w:rsidP="00E5288B">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第二十一节 纯碱</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第七十二条 </w:t>
      </w:r>
      <w:r>
        <w:rPr>
          <w:rFonts w:ascii="宋体" w:hAnsi="宋体" w:cs="宋体" w:hint="eastAsia"/>
          <w:kern w:val="0"/>
          <w:sz w:val="28"/>
          <w:szCs w:val="28"/>
        </w:rPr>
        <w:t>交割单位：20吨。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第七十三条</w:t>
      </w:r>
      <w:r>
        <w:rPr>
          <w:rFonts w:ascii="宋体" w:hAnsi="宋体" w:cs="宋体" w:hint="eastAsia"/>
          <w:kern w:val="0"/>
          <w:sz w:val="28"/>
          <w:szCs w:val="28"/>
        </w:rPr>
        <w:t xml:space="preserve"> 纯碱交割适用国家标准及本细则规定。 </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第七十四条 </w:t>
      </w:r>
      <w:r>
        <w:rPr>
          <w:rFonts w:ascii="宋体" w:hAnsi="宋体" w:cs="宋体" w:hint="eastAsia"/>
          <w:kern w:val="0"/>
          <w:sz w:val="28"/>
          <w:szCs w:val="28"/>
        </w:rPr>
        <w:t>纯碱交割品的包装应符合《纯碱国标》规定。纯碱单包净重为1吨以及交易所公告的其他规格。</w:t>
      </w:r>
    </w:p>
    <w:p w:rsidR="00E5288B" w:rsidRDefault="00E5288B" w:rsidP="00E5288B">
      <w:pPr>
        <w:widowControl/>
        <w:spacing w:line="360" w:lineRule="auto"/>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第二十二节 短纤</w:t>
      </w:r>
    </w:p>
    <w:p w:rsidR="00E5288B" w:rsidRDefault="00E5288B" w:rsidP="00E5288B">
      <w:pPr>
        <w:widowControl/>
        <w:spacing w:line="360" w:lineRule="auto"/>
        <w:ind w:firstLine="56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第七十五条 </w:t>
      </w:r>
      <w:r>
        <w:rPr>
          <w:rFonts w:ascii="宋体" w:hAnsi="宋体" w:cs="宋体" w:hint="eastAsia"/>
          <w:kern w:val="0"/>
          <w:sz w:val="28"/>
          <w:szCs w:val="28"/>
        </w:rPr>
        <w:t>交割单位：5吨。</w:t>
      </w:r>
    </w:p>
    <w:p w:rsidR="00E5288B" w:rsidRDefault="00E5288B" w:rsidP="00E5288B">
      <w:pPr>
        <w:widowControl/>
        <w:spacing w:line="360" w:lineRule="auto"/>
        <w:ind w:firstLine="560"/>
        <w:jc w:val="left"/>
        <w:outlineLvl w:val="3"/>
        <w:rPr>
          <w:rFonts w:ascii="仿宋" w:eastAsia="仿宋" w:hAnsi="仿宋" w:cs="仿宋"/>
          <w:color w:val="000000"/>
          <w:kern w:val="0"/>
          <w:sz w:val="28"/>
          <w:szCs w:val="28"/>
        </w:rPr>
      </w:pPr>
      <w:r>
        <w:rPr>
          <w:rFonts w:ascii="黑体" w:eastAsia="黑体" w:hAnsi="黑体" w:cs="宋体" w:hint="eastAsia"/>
          <w:kern w:val="0"/>
          <w:sz w:val="28"/>
          <w:szCs w:val="28"/>
        </w:rPr>
        <w:t xml:space="preserve">第七十六条 </w:t>
      </w:r>
      <w:r>
        <w:rPr>
          <w:rFonts w:ascii="宋体" w:hAnsi="宋体" w:cs="宋体" w:hint="eastAsia"/>
          <w:kern w:val="0"/>
          <w:sz w:val="28"/>
          <w:szCs w:val="28"/>
        </w:rPr>
        <w:t>短纤交割适用国家标准及本细则规定。</w:t>
      </w:r>
    </w:p>
    <w:p w:rsidR="00E5288B" w:rsidRDefault="00E5288B" w:rsidP="00E5288B">
      <w:pPr>
        <w:widowControl/>
        <w:spacing w:line="360" w:lineRule="auto"/>
        <w:ind w:firstLine="560"/>
        <w:jc w:val="left"/>
        <w:outlineLvl w:val="3"/>
        <w:rPr>
          <w:rFonts w:ascii="宋体" w:hAnsi="宋体" w:cs="宋体"/>
          <w:kern w:val="0"/>
          <w:sz w:val="28"/>
          <w:szCs w:val="28"/>
        </w:rPr>
      </w:pPr>
      <w:r>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E5288B" w:rsidRDefault="00E5288B" w:rsidP="00E5288B">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基准交割品必须是经交易所认定的短纤生产厂家生产的商品。具体生产厂家由交易所公告。</w:t>
      </w:r>
    </w:p>
    <w:p w:rsidR="00E5288B" w:rsidRDefault="00E5288B" w:rsidP="00E5288B">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交易所有权调整交割品生产厂家。</w:t>
      </w:r>
    </w:p>
    <w:p w:rsidR="00E5288B" w:rsidRDefault="00E5288B" w:rsidP="00E5288B">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第七十七条 </w:t>
      </w:r>
      <w:r>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号、生产企业名称、地址以及产品防护、搬运的警示标志，包装规格采用净质量350kg/包、380kg/包及交易所公告的其他包装规格。</w:t>
      </w:r>
    </w:p>
    <w:p w:rsidR="00E5288B" w:rsidRDefault="00E5288B" w:rsidP="00E5288B">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第二十三节 花生</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第七十八条 </w:t>
      </w:r>
      <w:r>
        <w:rPr>
          <w:rFonts w:ascii="宋体" w:hAnsi="宋体" w:cs="宋体" w:hint="eastAsia"/>
          <w:kern w:val="0"/>
          <w:sz w:val="28"/>
          <w:szCs w:val="28"/>
        </w:rPr>
        <w:t>交割单位：5吨。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第七十九条 </w:t>
      </w:r>
      <w:r>
        <w:rPr>
          <w:rFonts w:ascii="宋体" w:hAnsi="宋体" w:cs="宋体" w:hint="eastAsia"/>
          <w:kern w:val="0"/>
          <w:sz w:val="28"/>
          <w:szCs w:val="28"/>
        </w:rPr>
        <w:t xml:space="preserve">花生交割适用国家标准、国家相关规定及本细则规定。 </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基准交割品：45.0%≤含油率（以湿基计，下同）＜46.0%，酸价（以脂肪计，下同）≤1.5mgKOH/g，杂质≤1.0%，水分≤9.0%，霉变粒≤1.0%，7mm上层筛（长圆孔筛板）筛上比例≥60.0%，5.5mm下层筛（长圆孔筛板）筛下比例≤20.0%，色泽气味正常的花生仁。</w:t>
      </w:r>
    </w:p>
    <w:p w:rsidR="00E5288B" w:rsidRDefault="00E5288B" w:rsidP="00E5288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花生术语和定义、卫生要求及检验方法等按照《中华人民共和国国家标准花生》（GB/T 1532-2008）、《中华人民共和国农业行业标准油用花生》（NY/T 1068-2006）、《中华人民共和国国家标准长圆孔、长方孔和圆孔筛板》（GB/T 12620-2008）及相关规范性引用文件执行。</w:t>
      </w:r>
    </w:p>
    <w:p w:rsidR="00E5288B" w:rsidRDefault="00E5288B" w:rsidP="00E5288B">
      <w:pPr>
        <w:spacing w:line="360" w:lineRule="auto"/>
        <w:ind w:firstLineChars="200" w:firstLine="560"/>
        <w:rPr>
          <w:rFonts w:ascii="宋体" w:hAnsi="宋体" w:cs="宋体"/>
          <w:kern w:val="0"/>
          <w:sz w:val="28"/>
          <w:szCs w:val="28"/>
        </w:rPr>
      </w:pPr>
      <w:r>
        <w:rPr>
          <w:rFonts w:ascii="宋体" w:hAnsi="宋体" w:cs="宋体" w:hint="eastAsia"/>
          <w:sz w:val="28"/>
          <w:szCs w:val="28"/>
        </w:rPr>
        <w:t>替代品及升</w:t>
      </w:r>
      <w:r>
        <w:rPr>
          <w:rFonts w:ascii="宋体" w:hAnsi="宋体" w:cs="宋体" w:hint="eastAsia"/>
          <w:kern w:val="0"/>
          <w:sz w:val="28"/>
          <w:szCs w:val="28"/>
        </w:rPr>
        <w:t>贴水：</w:t>
      </w:r>
    </w:p>
    <w:p w:rsidR="00E5288B" w:rsidRDefault="00E5288B" w:rsidP="00E5288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43.0%≤含油率＜44.0%的，贴水200元/吨；44.0%≤含油率＜45.0%的，贴水100元/吨；46.0%≤含油率＜47.0%的，升水100元/吨；含油率≥47.0%的，升水200元/吨。</w:t>
      </w:r>
    </w:p>
    <w:p w:rsidR="00E5288B" w:rsidRDefault="00E5288B" w:rsidP="00E5288B">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1.5mgKOH/g＜酸价≤2.0mgKOH/g，贴水200元/吨；2.0mgKOH/g＜酸价≤2.5mgKOH/g，贴水500元/吨。</w:t>
      </w:r>
    </w:p>
    <w:p w:rsidR="00E5288B" w:rsidRDefault="00E5288B" w:rsidP="00E5288B">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1.0%＜霉变粒≤1.5%，扣量0.5%；1.5%＜霉变粒≤2.0%，扣量1.5%。</w:t>
      </w:r>
    </w:p>
    <w:p w:rsidR="00E5288B" w:rsidRDefault="00E5288B" w:rsidP="00E5288B">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第八十条</w:t>
      </w:r>
      <w:bookmarkStart w:id="0" w:name="_Hlk51189962"/>
      <w:r>
        <w:rPr>
          <w:rFonts w:ascii="黑体" w:eastAsia="黑体" w:hAnsi="黑体" w:cs="宋体" w:hint="eastAsia"/>
          <w:kern w:val="0"/>
          <w:sz w:val="28"/>
          <w:szCs w:val="28"/>
        </w:rPr>
        <w:t xml:space="preserve"> </w:t>
      </w:r>
      <w:r>
        <w:rPr>
          <w:rFonts w:ascii="宋体" w:hAnsi="宋体" w:cs="宋体" w:hint="eastAsia"/>
          <w:sz w:val="28"/>
          <w:szCs w:val="28"/>
        </w:rPr>
        <w:t>花生包装采用塑料编织袋。编织袋应当坚固、清洁、干燥，使用缝包机封口，不得产生撒漏或对花生造成污染。</w:t>
      </w:r>
      <w:bookmarkStart w:id="1" w:name="_Hlk51190003"/>
      <w:bookmarkEnd w:id="0"/>
      <w:r>
        <w:rPr>
          <w:rFonts w:ascii="宋体" w:hAnsi="宋体" w:cs="宋体" w:hint="eastAsia"/>
          <w:sz w:val="28"/>
          <w:szCs w:val="28"/>
        </w:rPr>
        <w:t>单包装载花生重量50kg±2kg，且单个包装物重量不得超过125g。</w:t>
      </w:r>
      <w:bookmarkEnd w:id="1"/>
      <w:r>
        <w:rPr>
          <w:rFonts w:ascii="宋体" w:hAnsi="宋体" w:cs="宋体" w:hint="eastAsia"/>
          <w:sz w:val="28"/>
          <w:szCs w:val="28"/>
        </w:rPr>
        <w:t>同一客户同一批次交割的花生包装要求规格统一。</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p>
    <w:p w:rsidR="00E5288B" w:rsidRDefault="00E5288B" w:rsidP="00E5288B">
      <w:pPr>
        <w:pStyle w:val="a5"/>
        <w:widowControl/>
        <w:ind w:firstLine="560"/>
        <w:outlineLvl w:val="3"/>
        <w:rPr>
          <w:rFonts w:ascii="宋体" w:hAnsi="宋体" w:cs="宋体"/>
          <w:sz w:val="28"/>
          <w:szCs w:val="28"/>
        </w:rPr>
      </w:pPr>
      <w:r>
        <w:rPr>
          <w:rFonts w:ascii="宋体" w:eastAsia="黑体" w:hAnsi="宋体" w:cs="宋体" w:hint="eastAsia"/>
          <w:sz w:val="28"/>
          <w:szCs w:val="28"/>
        </w:rPr>
        <w:t>第八十一条</w:t>
      </w:r>
      <w:r>
        <w:rPr>
          <w:rFonts w:ascii="宋体" w:eastAsia="黑体" w:hAnsi="宋体" w:cs="宋体" w:hint="eastAsia"/>
          <w:sz w:val="28"/>
          <w:szCs w:val="28"/>
        </w:rPr>
        <w:t xml:space="preserve"> </w:t>
      </w:r>
      <w:r>
        <w:rPr>
          <w:rFonts w:ascii="宋体" w:hAnsi="宋体" w:cs="宋体" w:hint="eastAsia"/>
          <w:sz w:val="28"/>
          <w:szCs w:val="28"/>
        </w:rPr>
        <w:t>各品种交割基准价如下：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强麦期货合约的交割基准价为该期货合约的基准交割品在基准交割计价点所在地交割服务机构交货的含税价格。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棉花、白糖各期货合约的交割基准价为该期货合约的基准交割品在基准仓库交货的含税价格。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PTA、甲醇期货合约的交割基准价为该期货合约的基准交割品在基准仓库出库时的汽车板交货的含税价格。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菜油期货合约的交割基准价为该期货合约的基准交割品在基准仓库出库时的车船（汽车、火车、轮船）板交货的含税价格。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早籼稻、晚籼稻、粳稻期货合约的交割基准价为该期货合约的基准交割品在基准仓库的散粮交货（不含包装物）含税价格。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棉纱、尿素、纯碱、短纤期货合约的交割基准价为该期货合约的基准交割品在基准交割地出库时汽车板交货的含税价格（含包装）。</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sz w:val="28"/>
          <w:szCs w:val="28"/>
        </w:rPr>
        <w:t>花生期货合约的交割基准价为该期货合约的基准交割品在基准交割地汽车板交货的含税价格（含包装）。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w:t>
      </w:r>
      <w:r>
        <w:rPr>
          <w:rFonts w:ascii="宋体" w:hAnsi="宋体" w:cs="宋体" w:hint="eastAsia"/>
          <w:kern w:val="52"/>
          <w:sz w:val="28"/>
          <w:szCs w:val="28"/>
        </w:rPr>
        <w:t>（花生除外）</w:t>
      </w:r>
      <w:r>
        <w:rPr>
          <w:rFonts w:ascii="宋体" w:hAnsi="宋体" w:cs="宋体" w:hint="eastAsia"/>
          <w:bCs/>
          <w:kern w:val="52"/>
          <w:sz w:val="28"/>
          <w:szCs w:val="28"/>
        </w:rPr>
        <w:t>、仓库或厂库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E5288B" w:rsidRDefault="00E5288B" w:rsidP="00E5288B">
      <w:pPr>
        <w:ind w:firstLineChars="200" w:firstLine="560"/>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期货实物交割在交割月的连续三个交易日完成，分别称为第一交割日、第二交割日、第三交割日，可以适用的流程包括滚动交割和集中交割。</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集中交割是指在合约最后交易日闭市后，交易所组织所有未平仓合约持有者进行的交割。</w:t>
      </w:r>
    </w:p>
    <w:p w:rsidR="00E5288B" w:rsidRDefault="00E5288B" w:rsidP="00E5288B">
      <w:pPr>
        <w:ind w:firstLineChars="200" w:firstLine="560"/>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滚动交割流程如下：</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（一）第一交割日（配对日）</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1.自进入交割月第一个交易日起至最后交易日的前一交易日，持有交割月合约且持有标准仓单或车（船）板交割货物或厂库非标准仓单棉纱</w:t>
      </w:r>
      <w:r>
        <w:rPr>
          <w:rStyle w:val="a7"/>
          <w:rFonts w:ascii="宋体" w:hAnsi="宋体" w:cs="宋体" w:hint="eastAsia"/>
          <w:kern w:val="0"/>
          <w:sz w:val="28"/>
          <w:szCs w:val="28"/>
        </w:rPr>
        <w:footnoteReference w:customMarkFollows="1" w:id="2"/>
        <w:t>1</w:t>
      </w:r>
      <w:r>
        <w:rPr>
          <w:rFonts w:ascii="宋体" w:hAnsi="宋体" w:cs="宋体" w:hint="eastAsia"/>
          <w:kern w:val="0"/>
          <w:sz w:val="28"/>
          <w:szCs w:val="28"/>
        </w:rPr>
        <w:t>的卖方会员可在每个交易日下午2时30分之前，通过会员服务系统按照下列情形提出交割申请。</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（1）卖方提出标准仓单交割申请时，应同时提交相应的标准仓单信息；</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花生品种除外。</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3.当日闭市后，交易所按以下原则进行配对：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对于得到买方会员响应的交割申请，交易所依据买卖双方相对应的持仓量、买卖双方确认申请量和卖方持有标准仓单量，取最小数进行配对。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对于苹果、红枣、花生品种未得到买方会员响应的交割申请，交易所通过计算机系统，先按照“建仓时间最早的法人持仓优先”原则，确定参与配对的买方持仓后予以配对（配对日）。苹果、花生由计算机系统按先车（船）板后仓单的原则予以配对（配对日）。</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 xml:space="preserve">（二）第二交割日 </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买卖双方通过交易所会员服务系统收取《交割通知单》。</w:t>
      </w:r>
    </w:p>
    <w:p w:rsidR="00E5288B" w:rsidRDefault="00E5288B" w:rsidP="00E5288B">
      <w:pPr>
        <w:ind w:leftChars="304" w:left="638"/>
        <w:rPr>
          <w:rFonts w:ascii="宋体" w:hAnsi="宋体" w:cs="宋体"/>
          <w:kern w:val="0"/>
          <w:sz w:val="28"/>
          <w:szCs w:val="28"/>
        </w:rPr>
      </w:pPr>
      <w:r>
        <w:rPr>
          <w:rFonts w:ascii="宋体" w:hAnsi="宋体" w:cs="宋体" w:hint="eastAsia"/>
          <w:kern w:val="0"/>
          <w:sz w:val="28"/>
          <w:szCs w:val="28"/>
        </w:rPr>
        <w:t xml:space="preserve">（三）第三交割日 </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最后交易日闭市前，卖方将拟进行集中交割的仓单数量提交至交易所，交易所按照卖方提交的拟集中交割的仓单数量释放卖方保证金。卖方未在规定时间内提交仓单数量的，不释放卖方保证金。</w:t>
      </w:r>
    </w:p>
    <w:p w:rsidR="00E5288B" w:rsidRDefault="00E5288B" w:rsidP="00E5288B">
      <w:pPr>
        <w:ind w:firstLineChars="200" w:firstLine="560"/>
        <w:jc w:val="left"/>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集中交割的交割流程如下：</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（一）第一交割日</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最后交易日后的第一个交易日，卖方公布交割信息。当日闭市前，普麦及非通用标准仓单或者车（船）板交割的卖方，应当公布用于交割的仓单信息或者车（船）板交割货物信息。强麦卖方应依据《强麦入库确认书》信息公布车（船）板交割信息。未主动公布的，交易所于当日闭市时公布卖方相应品种所有可流通标准仓单信息供买方挑选。强麦之外的其他品种，卖方未公布车（船）板交割货物信息的，交易所按标准仓单交割对待。强麦卖方未公布车（船）板交割货物信息的，按交割违约处理。</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（二）第二交割日（配对日）</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1.买方挑选卖方公布的交割信息。当日闭市前，普麦及非通用标准仓单或车（船）板品种交割的买方，根据卖方公布的仓单信息或者车（船）板交割的货物信息，自主选择并确认。买方挑选卖方标准仓单及车（船）板交割的总数量不超过卖方该合约的持仓量。卖方公布的、但未被买方选中的车（船）板交割，仍按照车（船）板交割方式进行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2.当日结算时，普麦、花生及非通用标准仓单或者车（船）板交割的，交易所按照买卖双方确认结果进行配对；其他仍未配对的未平仓持仓，由计算机按先车（船）板后仓单，再按数量取整、最少配对数原则予以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通用标准仓单（普麦、花生除外）交割的买卖双方，由计算机系统按数量取整、最少配对数原则予以配对。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3.PTA期货合约在集中交割配对时，参与交割的PTA保税标准仓单优先分配给境外买方（不包括合格境外机构投资者和人民币合格境外机构投资者，下同）。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系统按数量取整、最少配对数原则予以配对。</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4.厂库非标准仓单棉纱不得用于集中交割。</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5.当日结算后，买卖双方通过交易所会员服务系统收取《交割通知单》。</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（三）第三交割日</w:t>
      </w:r>
    </w:p>
    <w:p w:rsidR="00E5288B" w:rsidRDefault="00E5288B" w:rsidP="00E5288B">
      <w:pPr>
        <w:ind w:firstLineChars="200" w:firstLine="560"/>
        <w:jc w:val="left"/>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p>
    <w:p w:rsidR="00E5288B" w:rsidRDefault="00E5288B" w:rsidP="00E5288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E5288B" w:rsidRDefault="00E5288B" w:rsidP="00E5288B">
      <w:pPr>
        <w:ind w:firstLineChars="200" w:firstLine="560"/>
        <w:rPr>
          <w:rFonts w:ascii="宋体" w:hAnsi="宋体" w:cs="宋体"/>
          <w:kern w:val="0"/>
          <w:sz w:val="28"/>
          <w:szCs w:val="28"/>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交割结算流程规定如下：</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（一）标准仓单交割结算流程</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1.第三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2.交易所收取买方会员全额货款后，于第三交割日将全额货款的80%划转给卖方会员，同时将卖方会员的仓单交付买方会员。余款在买方会员确认收到卖方会员转交的增值税专用发票时结清。交割标的为PTA保税标准仓单的，卖方会员应在第三交割日向交易所开具增值税普通发票，第三交割日后7个交易日闭市前未向交易所提交增值税普通发票的，交易所按照本细则规定收取滞纳金或违约金。对发票的传递、余款的结算，会员均应按本细则规定办理。</w:t>
      </w:r>
    </w:p>
    <w:p w:rsidR="00E5288B" w:rsidRDefault="00E5288B" w:rsidP="00E5288B">
      <w:pPr>
        <w:pStyle w:val="a3"/>
        <w:shd w:val="clear" w:color="auto" w:fill="FFFFFF"/>
        <w:spacing w:before="0" w:beforeAutospacing="0" w:after="0" w:afterAutospacing="0"/>
        <w:ind w:firstLineChars="200" w:firstLine="560"/>
        <w:jc w:val="both"/>
        <w:rPr>
          <w:sz w:val="28"/>
          <w:szCs w:val="28"/>
        </w:rPr>
      </w:pPr>
      <w:r>
        <w:rPr>
          <w:rFonts w:hint="eastAsia"/>
          <w:sz w:val="28"/>
          <w:szCs w:val="28"/>
        </w:rPr>
        <w:t>3.境外买方分配到PTA完税标准仓单的，交易所负责组织对该PTA完税标准仓单进行竞卖，竞卖产生的损益和费用由境外买方承担。若竞卖不成功，境外买方支付对应交割货款20%的补偿金给配对卖方。</w:t>
      </w:r>
    </w:p>
    <w:p w:rsidR="00E5288B" w:rsidRDefault="00E5288B" w:rsidP="00E5288B">
      <w:pPr>
        <w:pStyle w:val="a3"/>
        <w:shd w:val="clear" w:color="auto" w:fill="FFFFFF"/>
        <w:spacing w:before="0" w:beforeAutospacing="0" w:after="0" w:afterAutospacing="0"/>
        <w:ind w:firstLineChars="200" w:firstLine="560"/>
        <w:jc w:val="both"/>
        <w:rPr>
          <w:sz w:val="28"/>
          <w:szCs w:val="28"/>
        </w:rPr>
      </w:pPr>
      <w:r>
        <w:rPr>
          <w:rFonts w:hint="eastAsia"/>
          <w:sz w:val="28"/>
          <w:szCs w:val="28"/>
        </w:rPr>
        <w:t>(二)车（船）板交割结算流程</w:t>
      </w:r>
    </w:p>
    <w:p w:rsidR="00E5288B" w:rsidRDefault="00E5288B" w:rsidP="00E5288B">
      <w:pPr>
        <w:pStyle w:val="a3"/>
        <w:shd w:val="clear" w:color="auto" w:fill="FFFFFF"/>
        <w:spacing w:before="0" w:beforeAutospacing="0" w:after="0" w:afterAutospacing="0"/>
        <w:ind w:firstLine="482"/>
        <w:jc w:val="both"/>
        <w:rPr>
          <w:sz w:val="28"/>
          <w:szCs w:val="28"/>
        </w:rPr>
      </w:pPr>
      <w:r>
        <w:rPr>
          <w:rFonts w:hint="eastAsia"/>
          <w:sz w:val="28"/>
          <w:szCs w:val="28"/>
        </w:rPr>
        <w:t>1.第三交割日上午9时之前，买方会员应当将100％货款（不含买方保证金）划入交易所账户。</w:t>
      </w:r>
    </w:p>
    <w:p w:rsidR="00E5288B" w:rsidRDefault="00E5288B" w:rsidP="00E5288B">
      <w:pPr>
        <w:pStyle w:val="a3"/>
        <w:shd w:val="clear" w:color="auto" w:fill="FFFFFF"/>
        <w:spacing w:before="0" w:beforeAutospacing="0" w:after="0" w:afterAutospacing="0"/>
        <w:ind w:firstLine="482"/>
        <w:jc w:val="both"/>
        <w:rPr>
          <w:sz w:val="28"/>
          <w:szCs w:val="28"/>
        </w:rPr>
      </w:pPr>
      <w:r>
        <w:rPr>
          <w:rFonts w:hint="eastAsia"/>
          <w:sz w:val="28"/>
          <w:szCs w:val="28"/>
        </w:rPr>
        <w:t>2.买卖双方自第三交割日后规定时间，对车（船）板交割货物的交收事宜进行协商，办理交收。车（船）板交割具体事宜见本细则“车（船）板交割”一章有关规定。</w:t>
      </w:r>
    </w:p>
    <w:p w:rsidR="00E5288B" w:rsidRDefault="00E5288B" w:rsidP="00E5288B">
      <w:pPr>
        <w:pStyle w:val="a3"/>
        <w:shd w:val="clear" w:color="auto" w:fill="FFFFFF"/>
        <w:spacing w:before="0" w:beforeAutospacing="0" w:after="0" w:afterAutospacing="0"/>
        <w:ind w:firstLine="480"/>
        <w:jc w:val="both"/>
        <w:rPr>
          <w:sz w:val="28"/>
          <w:szCs w:val="28"/>
        </w:rPr>
      </w:pPr>
      <w:r>
        <w:rPr>
          <w:rFonts w:hint="eastAsia"/>
          <w:sz w:val="28"/>
          <w:szCs w:val="28"/>
        </w:rPr>
        <w:t>3.配对后至最后交货日次日，交易所按双方确认情况进行结算。</w:t>
      </w:r>
    </w:p>
    <w:p w:rsidR="00E5288B" w:rsidRDefault="00E5288B" w:rsidP="00E5288B">
      <w:pPr>
        <w:pStyle w:val="a3"/>
        <w:shd w:val="clear" w:color="auto" w:fill="FFFFFF"/>
        <w:spacing w:before="0" w:beforeAutospacing="0" w:after="0" w:afterAutospacing="0"/>
        <w:ind w:firstLine="480"/>
        <w:jc w:val="both"/>
        <w:rPr>
          <w:sz w:val="28"/>
          <w:szCs w:val="28"/>
        </w:rPr>
      </w:pPr>
      <w:r>
        <w:rPr>
          <w:rFonts w:hint="eastAsia"/>
          <w:sz w:val="28"/>
          <w:szCs w:val="28"/>
        </w:rPr>
        <w:t>委托交易所结算的，全部货物交收完毕后，买方或者卖方一次性提交此次交割货物数量、质量、增值税发票流转及应划转货款等信息，对方应在当日内进行确认，若有异议，应在提交信息之日起（含该日）三个交易日内提供有效证明。逾期未提交有效证明的，系统将按照发起方提交的信息自动确认。交易所按双方确认结果进行资金划转、释放买卖双方的剩余资金。增值税发票流转参照本细则“增值税专用（普通）发票的流转”一章有关规定执行。</w:t>
      </w:r>
    </w:p>
    <w:p w:rsidR="00E5288B" w:rsidRDefault="00E5288B" w:rsidP="00E5288B">
      <w:pPr>
        <w:pStyle w:val="a3"/>
        <w:shd w:val="clear" w:color="auto" w:fill="FFFFFF"/>
        <w:spacing w:before="0" w:beforeAutospacing="0" w:after="0" w:afterAutospacing="0"/>
        <w:ind w:firstLine="482"/>
        <w:jc w:val="both"/>
        <w:rPr>
          <w:sz w:val="28"/>
          <w:szCs w:val="28"/>
        </w:rPr>
      </w:pPr>
      <w:r>
        <w:rPr>
          <w:rFonts w:hint="eastAsia"/>
          <w:sz w:val="28"/>
          <w:szCs w:val="28"/>
        </w:rPr>
        <w:t>不委托交易所结算的，交易所退还买卖双方交易保证金和买方货款。买卖双方终止交割。</w:t>
      </w:r>
    </w:p>
    <w:p w:rsidR="00E5288B" w:rsidRDefault="00E5288B" w:rsidP="00E5288B">
      <w:pPr>
        <w:pStyle w:val="a3"/>
        <w:shd w:val="clear" w:color="auto" w:fill="FFFFFF"/>
        <w:spacing w:before="0" w:beforeAutospacing="0" w:after="0" w:afterAutospacing="0"/>
        <w:ind w:firstLineChars="200" w:firstLine="560"/>
        <w:jc w:val="both"/>
        <w:rPr>
          <w:sz w:val="28"/>
          <w:szCs w:val="28"/>
        </w:rPr>
      </w:pPr>
      <w:r>
        <w:rPr>
          <w:rFonts w:hint="eastAsia"/>
          <w:sz w:val="28"/>
          <w:szCs w:val="28"/>
        </w:rPr>
        <w:t>（三）厂库非标准仓单棉纱交割结算流程</w:t>
      </w:r>
    </w:p>
    <w:p w:rsidR="00E5288B" w:rsidRDefault="00E5288B" w:rsidP="00E5288B">
      <w:pPr>
        <w:pStyle w:val="a3"/>
        <w:shd w:val="clear" w:color="auto" w:fill="FFFFFF"/>
        <w:spacing w:before="0" w:beforeAutospacing="0" w:after="0" w:afterAutospacing="0"/>
        <w:ind w:firstLineChars="200" w:firstLine="560"/>
        <w:jc w:val="both"/>
        <w:rPr>
          <w:sz w:val="28"/>
          <w:szCs w:val="28"/>
        </w:rPr>
      </w:pPr>
      <w:r>
        <w:rPr>
          <w:rFonts w:hint="eastAsia"/>
          <w:sz w:val="28"/>
          <w:szCs w:val="28"/>
        </w:rPr>
        <w:t>1.第三交割日上午9时之前，买方会员应当将100%货款（不含买方保证金）划入交易所账户。</w:t>
      </w:r>
    </w:p>
    <w:p w:rsidR="00E5288B" w:rsidRDefault="00E5288B" w:rsidP="00E5288B">
      <w:pPr>
        <w:pStyle w:val="a3"/>
        <w:shd w:val="clear" w:color="auto" w:fill="FFFFFF"/>
        <w:spacing w:before="0" w:beforeAutospacing="0" w:after="0" w:afterAutospacing="0"/>
        <w:ind w:firstLine="482"/>
        <w:rPr>
          <w:sz w:val="28"/>
          <w:szCs w:val="28"/>
        </w:rPr>
      </w:pPr>
      <w:r>
        <w:rPr>
          <w:rFonts w:hint="eastAsia"/>
          <w:sz w:val="28"/>
          <w:szCs w:val="28"/>
        </w:rPr>
        <w:t>2.自第三交割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E5288B" w:rsidRDefault="00E5288B" w:rsidP="00E5288B">
      <w:pPr>
        <w:pStyle w:val="a3"/>
        <w:shd w:val="clear" w:color="auto" w:fill="FFFFFF"/>
        <w:spacing w:before="0" w:beforeAutospacing="0" w:after="0" w:afterAutospacing="0"/>
        <w:ind w:firstLineChars="200" w:firstLine="560"/>
        <w:rPr>
          <w:sz w:val="28"/>
          <w:szCs w:val="28"/>
        </w:rPr>
      </w:pPr>
      <w:r>
        <w:rPr>
          <w:rFonts w:hint="eastAsia"/>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E5288B" w:rsidRDefault="00E5288B" w:rsidP="00E5288B">
      <w:pPr>
        <w:pStyle w:val="a3"/>
        <w:shd w:val="clear" w:color="auto" w:fill="FFFFFF"/>
        <w:spacing w:before="0" w:beforeAutospacing="0" w:after="0" w:afterAutospacing="0"/>
        <w:ind w:firstLineChars="200" w:firstLine="560"/>
        <w:jc w:val="both"/>
        <w:rPr>
          <w:sz w:val="28"/>
          <w:szCs w:val="28"/>
        </w:rPr>
      </w:pPr>
      <w:r>
        <w:rPr>
          <w:rFonts w:hint="eastAsia"/>
          <w:sz w:val="28"/>
          <w:szCs w:val="28"/>
        </w:rPr>
        <w:t>3.在最后交货日之前交割完毕的，配对后至最后交货日次日，交易所按买卖双方在会员服务系统中的确认情况进行结算。具体流程参照本条车（船）板交割结算流程有关规定执行。</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4.在最后交货日仍没有交割完毕的，参照本细则第一百零六条有关规定执行。</w:t>
      </w:r>
    </w:p>
    <w:p w:rsidR="00E5288B" w:rsidRDefault="00E5288B" w:rsidP="00E5288B">
      <w:pPr>
        <w:ind w:firstLineChars="200" w:firstLine="560"/>
        <w:rPr>
          <w:rFonts w:ascii="宋体" w:hAnsi="宋体" w:cs="宋体"/>
          <w:kern w:val="0"/>
          <w:sz w:val="28"/>
          <w:szCs w:val="28"/>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28"/>
        </w:rPr>
        <w:t>滚动交割的交割结算价为期货合约配对日（含该日）前10个交易日交易结算价的算术平均价。</w:t>
      </w:r>
    </w:p>
    <w:p w:rsidR="00E5288B" w:rsidRDefault="00E5288B" w:rsidP="00E5288B">
      <w:pPr>
        <w:ind w:firstLineChars="200" w:firstLine="560"/>
        <w:rPr>
          <w:rFonts w:ascii="宋体" w:hAnsi="宋体" w:cs="宋体"/>
          <w:kern w:val="0"/>
          <w:sz w:val="28"/>
          <w:szCs w:val="28"/>
        </w:rPr>
      </w:pPr>
      <w:r>
        <w:rPr>
          <w:rFonts w:ascii="宋体" w:hAnsi="宋体" w:cs="宋体" w:hint="eastAsia"/>
          <w:kern w:val="0"/>
          <w:sz w:val="28"/>
          <w:szCs w:val="28"/>
        </w:rPr>
        <w:t>集中交割的交割结算价为期货合约最后交易日（含该日）前10个交易日交易结算价的算术平均价。</w:t>
      </w:r>
    </w:p>
    <w:p w:rsidR="00E5288B" w:rsidRDefault="00E5288B" w:rsidP="00E5288B">
      <w:pPr>
        <w:widowControl/>
        <w:spacing w:line="360" w:lineRule="auto"/>
        <w:jc w:val="center"/>
        <w:outlineLvl w:val="3"/>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（一）交通便利，核定载重30吨货车能够顺畅通行；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（四）具备开展期货交割质量检验的检化验设备，检化验设备符合国标检验规定，且运行良好。</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第九十四条</w:t>
      </w:r>
      <w:r>
        <w:rPr>
          <w:rFonts w:ascii="宋体" w:hAnsi="宋体" w:cs="宋体" w:hint="eastAsia"/>
          <w:kern w:val="0"/>
          <w:sz w:val="28"/>
          <w:szCs w:val="28"/>
        </w:rPr>
        <w:t xml:space="preserve"> 强麦车（船）板交割必须进行交割预报。</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预报数量较大的，交易所可以要求货主提供拥有商品的相关证明。</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《强麦车（船）板接收通知单》自开具之日起生效，有效期为40个日历日。交易所可视情况，调整《强麦车（船）板接收通知单》的有效期。</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《强麦入库确认书》作为卖方参与交割配对的依据。</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货主应当按交易所有关规定向服务机构交纳各项费用。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办理完交割预报的货主发货前，须将运输方式、车（船）号、数量、到货时间等通知服务机构。</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第九十五条 </w:t>
      </w:r>
      <w:r>
        <w:rPr>
          <w:rFonts w:ascii="宋体" w:hAnsi="宋体" w:cs="宋体" w:hint="eastAsia"/>
          <w:kern w:val="0"/>
          <w:sz w:val="28"/>
          <w:szCs w:val="28"/>
        </w:rPr>
        <w:t>花生车（船）板交割应当进行交割预报。</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参与车（船）板交割的卖方客户或者非期货公司会员的交割预报应当委托会员办理。会员填写《花生车（船）板交割预报单》，并通过会员服务系统向交易所指定的车（船）板交割服务机构提出预报。《花生车（船）板交割预报单》信息包括：交割服务机构、货物数量等。</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预报数量较大的，交易所可以要求货主提供拥有货物的相关证明。</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服务机构自交割月前一个月第13个交易日开始接受交割预报，自接到会员《花生车（船）板交割预报单》之日（含该日）起2个工作日内，交割服务机构应当通过会员服务系统回复会员能够接收的货物数量。自接到交割服务机构同意接收的回复之日（含该日）起2个工作日之内，会员应当向交割服务机构缴纳30元/吨的交割预报定金。交割服务机构应当在收到交割预报定金之日（含该日）起的第1个工作日，向卖方会员开具《花生车（船）板接收通知单》，视为交割预报完成。会员应当及时将交割预报结果通知客户。对已存放在车（船）板交割服务机构的货物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交割预报自《花生车（船）板接收通知单》开具之日（含该日）起生效，有效期至最近交割月的第11个交易日。</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交易所结算且货物到达接受交割预报的交割服务机构的，自货物全部到达之日起2个工作日内，交割预报定金予以返还；部分到达的，按实际到达量返还；未到达的，不予返还。不委托交易所结算的，自签订《车（船）板交割协议书》之日起2个工作日内，交割预报定金予以返还。</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货主应当按交易所有关规定向交割服务机构交纳各项费用，并在发货前将运输方式、车（船）号、货物数量、到货时间等通知交割服务机构。</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28"/>
        </w:rPr>
        <w:t>除苹果之外的其他品种，自第三交割日起（含该日）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28"/>
        </w:rPr>
        <w:t>苹果、强麦在交割计价点交割。花生委托交易所结算的，应当在交割服务机构交割。除苹果、强麦、花生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苹果各交割服务机构的每日最大可交割数量、每日最大服务客户数由交易所另行公布。</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买卖双方应当在《车（船）板交割协议书》签订之日（不含该日）起3个日历日内进行货物交收。卖方未在第3个日历日下午1时30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当在卖方货物到达之日（不含该日）起3个日历日内完成货物质量检验，并在质量验收确认后24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在交割计价点交割的，买卖双方应当在互相确认《车（船）板交货事项确认单》后三个工作日内与交割计价点指定仓库或者其他交割服务机构联系，签订交割中转协议，安排交割事宜。</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买卖双方应当自达成中转协议之日起（含该日）三日内开始交收货物。卖方须按约定的时间及发货速度把货物运达交割计价点指定仓库或指定地点。买方应当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E5288B" w:rsidRDefault="00E5288B" w:rsidP="00E5288B">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E5288B" w:rsidRDefault="00E5288B" w:rsidP="00E5288B">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在复检结果出具日（不含该日）起2个工作日内通过交割服务机构支付。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苹果买卖双方确认货物质量、数量后，在货款划转时，通过会员服务系统选择结算方式。</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样品仅限于保留样品。复检机构应当自收到样品之日（不含该日）起3个工作日内做出复检结果，复检结果为解决争议的依据。寄送样品及复检费用由过错方承担，并应当在复检结果出具之日（不含该日）起2个工作日内通过交割服务机构支付。复检结果确定的酸价或霉变粒指标所在升贴水区间低于或等于车（船）板信息标示的升贴水区间的，或含油率指标所在升贴水区间高于或等于车（船）板信息标示的升贴水区间的，分别以车（船）板信息标示的酸价、霉变粒、含油率为准，由此产生的复检及相关费用由争议提出方承担；复检结果确定的酸价或霉变粒指标所在升贴水区间高于车（船）板信息标示的升贴水区间的，或含油率指标所在升贴水区间低于车（船）板信息标示的升贴水区间的，分别以复检结果确定的升贴水区间为准。复检结果仍在交割标准允许范围内的，买方应当接受，由此产生的一切费用和责任由卖方承担。</w:t>
      </w:r>
    </w:p>
    <w:p w:rsidR="00E5288B" w:rsidRDefault="00E5288B" w:rsidP="00E5288B">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动力煤、苹果、强麦、花生之外的其他品种</w:t>
      </w:r>
      <w:r>
        <w:rPr>
          <w:rFonts w:ascii="宋体" w:hAnsi="宋体" w:cs="宋体" w:hint="eastAsia"/>
          <w:color w:val="000000"/>
          <w:kern w:val="0"/>
          <w:sz w:val="28"/>
          <w:szCs w:val="28"/>
        </w:rPr>
        <w:t>发生质量争议时，应当及时通知交易所。</w:t>
      </w:r>
      <w:r>
        <w:rPr>
          <w:rFonts w:ascii="宋体" w:cs="宋体" w:hint="eastAsia"/>
          <w:color w:val="000000"/>
          <w:sz w:val="28"/>
          <w:szCs w:val="28"/>
        </w:rPr>
        <w:t>双方把复检样品共同寄送交易所指定质检机构或者双方认可的检验机构进行复检；</w:t>
      </w:r>
      <w:r>
        <w:rPr>
          <w:rFonts w:ascii="宋体" w:hAnsi="宋体" w:cs="宋体" w:hint="eastAsia"/>
          <w:color w:val="000000"/>
          <w:kern w:val="0"/>
          <w:sz w:val="28"/>
          <w:szCs w:val="28"/>
        </w:rPr>
        <w:t>复检结果为货物质量判定的依据。寄送样品及复检费用由双方共同承担。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普麦、强麦、菜籽、花生</w:t>
      </w:r>
      <w:r>
        <w:rPr>
          <w:rFonts w:ascii="宋体" w:hAnsi="宋体" w:cs="宋体" w:hint="eastAsia"/>
          <w:kern w:val="0"/>
          <w:sz w:val="28"/>
          <w:szCs w:val="28"/>
        </w:rPr>
        <w:t>未发运货物质量达不到交割标准的，卖方应当及时更换货物，无法更换货物的，买卖双方可协商处理，协商不一致的，未发运货物按照本办法“交割违约处理”的相关规定处理。普麦、强麦、菜籽最终货物质量以每次检验结果及所发货物数量的加权平均值核定，花生最终货物质量按每次检验结果单独核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普麦、强麦、菜籽、苹果、花生验收完成后，买卖双方签署《质量验收确认单》。《质量验收确认单》为交割货物质量判定及升贴水处理的依据。</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[2（元/吨）×延误天数×应发（收）而未发（收）商品数量]</w:t>
      </w:r>
      <w:r>
        <w:rPr>
          <w:rFonts w:ascii="宋体" w:hAnsi="宋体" w:cs="宋体" w:hint="eastAsia"/>
          <w:color w:val="000000"/>
          <w:kern w:val="0"/>
          <w:sz w:val="28"/>
          <w:szCs w:val="28"/>
        </w:rPr>
        <w:t>。</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交割时，买卖双方未按规定时间交收货物，造成延误的，首先协商解决。协商不成的，守约方可以向交易所提出补偿申请，并提交相应证据。交易所经核实后，对过错方扣罚滞纳金补偿给守约方。滞纳金金额=∑[30（元/吨）×延误天数×应发（收）而未发（收）商品数量]。滞纳金扣罚总额不超过合约价值（按交割结算价计算）的20%。</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苹果、花生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E5288B" w:rsidRDefault="00E5288B" w:rsidP="00E5288B">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收到基低位发热量≥5300千卡/千克时，货款结算价（四舍五入，保留小数点后两位）=交割结算价/5500×实测发热量；收到基低位发热量超过6000千卡/千克时，按6000千卡/千克计算货款。</w:t>
      </w:r>
    </w:p>
    <w:p w:rsidR="00E5288B" w:rsidRDefault="00E5288B" w:rsidP="00E5288B">
      <w:pPr>
        <w:widowControl/>
        <w:ind w:firstLineChars="200" w:firstLine="560"/>
        <w:rPr>
          <w:rFonts w:ascii="宋体" w:hAnsi="宋体" w:cs="宋体"/>
          <w:kern w:val="0"/>
          <w:sz w:val="28"/>
          <w:szCs w:val="28"/>
        </w:rPr>
      </w:pPr>
      <w:r>
        <w:rPr>
          <w:rFonts w:ascii="宋体" w:hAnsi="宋体" w:cs="宋体" w:hint="eastAsia"/>
          <w:kern w:val="0"/>
          <w:sz w:val="28"/>
          <w:szCs w:val="28"/>
        </w:rPr>
        <w:t>4800千卡/千克≤收到基低位发热量＜5300千卡/千克时，货款结算价（四舍五入，保留小数点后两位）=交割结算价×0.8768/5000×实测发热量；</w:t>
      </w:r>
    </w:p>
    <w:p w:rsidR="00E5288B" w:rsidRDefault="00E5288B" w:rsidP="00E5288B">
      <w:pPr>
        <w:widowControl/>
        <w:ind w:firstLineChars="200" w:firstLine="560"/>
        <w:rPr>
          <w:rFonts w:ascii="宋体" w:hAnsi="宋体" w:cs="宋体"/>
          <w:kern w:val="0"/>
          <w:sz w:val="28"/>
          <w:szCs w:val="28"/>
        </w:rPr>
      </w:pPr>
      <w:r>
        <w:rPr>
          <w:rFonts w:ascii="宋体" w:hAnsi="宋体" w:cs="宋体" w:hint="eastAsia"/>
          <w:kern w:val="0"/>
          <w:sz w:val="28"/>
          <w:szCs w:val="28"/>
        </w:rPr>
        <w:t>4300千卡/千克≤收到基低位发热量＜4800千卡/千克时，货款结算价（四舍五入，保留小数点后两位）=交割结算价×0.7687/4500×实测发热量；</w:t>
      </w:r>
    </w:p>
    <w:p w:rsidR="00E5288B" w:rsidRDefault="00E5288B" w:rsidP="00E5288B">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收到基低位发热量＜4300千卡/千克，货款结算价=交割结算价×0.7687/4500×实测发热量×50%。</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7371" w:type="dxa"/>
        <w:tblInd w:w="434"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06"/>
        <w:gridCol w:w="4265"/>
      </w:tblGrid>
      <w:tr w:rsidR="00E5288B" w:rsidTr="006466A9">
        <w:tc>
          <w:tcPr>
            <w:tcW w:w="3106"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指标范围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计算方法</w:t>
            </w:r>
          </w:p>
        </w:tc>
      </w:tr>
      <w:tr w:rsidR="00E5288B" w:rsidTr="006466A9">
        <w:tc>
          <w:tcPr>
            <w:tcW w:w="3106"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1.5%＜干燥基全硫≤2.5%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依据实测发热量和干燥基全硫为1.5%时的计算值×80%</w:t>
            </w:r>
          </w:p>
        </w:tc>
      </w:tr>
      <w:tr w:rsidR="00E5288B" w:rsidTr="006466A9">
        <w:tc>
          <w:tcPr>
            <w:tcW w:w="3106"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依据实测发热量和干燥基全硫为1.5%时的计算值×50%</w:t>
            </w:r>
          </w:p>
        </w:tc>
      </w:tr>
      <w:tr w:rsidR="00E5288B" w:rsidTr="006466A9">
        <w:trPr>
          <w:trHeight w:val="1204"/>
        </w:trPr>
        <w:tc>
          <w:tcPr>
            <w:tcW w:w="3106"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E5288B" w:rsidRDefault="00E5288B" w:rsidP="006466A9">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E5288B" w:rsidRDefault="00E5288B" w:rsidP="00E5288B">
      <w:pPr>
        <w:widowControl/>
        <w:spacing w:before="240"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E5288B" w:rsidRDefault="00E5288B" w:rsidP="00E5288B">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E5288B" w:rsidRDefault="00E5288B" w:rsidP="00E5288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第三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E5288B" w:rsidRDefault="00E5288B" w:rsidP="00E5288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自第三交割日（不含该日）起超过7个交易日，买方会员仍未提供有关资料的，交易所划转剩余20%货款至卖方会员，由此造成的后果由买方自负。</w:t>
      </w:r>
    </w:p>
    <w:p w:rsidR="00E5288B" w:rsidRDefault="00E5288B" w:rsidP="00E5288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（四）用标准仓单进行期转现，可由交易所进行货款划转；</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（六）交易所适时公布期转现的有关信息。</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E5288B" w:rsidRDefault="00E5288B" w:rsidP="00E5288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棉花、白糖、早籼稻、晚籼稻、粳稻运达仓库指定货位前的一切费用由卖方客户承担；从指定货位到装上车、船（汽车、火车、轮船）板的费用由买方客户承担。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车板花生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玻璃、棉纱、短纤、仓单花生用汽车提货的，装到汽车板前的一切费用由厂库承担，装到汽车板后的一切费用由提货方承担。玻璃用船提货的，提货方需支付短驳费和码头使用费。</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E5288B" w:rsidRDefault="00E5288B" w:rsidP="00E5288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仓单普麦、仓单菜籽、菜油、菜粕、早籼稻、晚籼稻、粳稻、红枣入库检验费用由仓库承担，其他品种的入库检验费由卖方货主承担。</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普麦、强麦、早籼稻、晚籼稻、粳稻、苹果无包装物。棉花、白糖、PTA、菜籽、菜粕、硅铁、锰硅、棉纱、红枣、尿素、纯碱、短纤、花生包装物不另行计价。</w:t>
      </w:r>
    </w:p>
    <w:p w:rsidR="00E5288B" w:rsidRDefault="00E5288B" w:rsidP="00E5288B">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具有下列行为之一的，构成交割违约：</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（一）规定期限内，卖方未能如数交付标准仓单或未能如数交付实物的；</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卖方交割违约合约数量（手）=[应交标准仓单数量（张）-已交标准仓单数量（张）]×交割单位÷交易单位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计算买方交割违约合约数量的公式为：</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E5288B" w:rsidRDefault="00E5288B" w:rsidP="00E5288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附则</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E5288B" w:rsidRDefault="00E5288B" w:rsidP="00E5288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E5288B" w:rsidRDefault="00E5288B" w:rsidP="00E5288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E5288B" w:rsidRDefault="00E5288B" w:rsidP="00E5288B">
      <w:pPr>
        <w:widowControl/>
        <w:spacing w:line="360" w:lineRule="auto"/>
        <w:ind w:firstLineChars="200" w:firstLine="560"/>
        <w:outlineLvl w:val="1"/>
        <w:rPr>
          <w:rFonts w:ascii="宋体" w:hAnsi="宋体"/>
          <w:sz w:val="24"/>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本细则自2021年12月31日起施行。</w:t>
      </w:r>
    </w:p>
    <w:p w:rsidR="00E5288B" w:rsidRDefault="00E5288B" w:rsidP="00E5288B">
      <w:pPr>
        <w:rPr>
          <w:rFonts w:ascii="仿宋" w:eastAsia="仿宋" w:hAnsi="仿宋"/>
          <w:sz w:val="32"/>
        </w:rPr>
      </w:pPr>
    </w:p>
    <w:p w:rsidR="002B58FB" w:rsidRPr="00E5288B" w:rsidRDefault="002B58FB"/>
    <w:sectPr w:rsidR="002B58FB" w:rsidRPr="00E5288B" w:rsidSect="002B58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4F" w:rsidRDefault="00EF744F" w:rsidP="00E5288B">
      <w:r>
        <w:separator/>
      </w:r>
    </w:p>
  </w:endnote>
  <w:endnote w:type="continuationSeparator" w:id="1">
    <w:p w:rsidR="00EF744F" w:rsidRDefault="00EF744F" w:rsidP="00E52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4F" w:rsidRDefault="00EF744F" w:rsidP="00E5288B">
      <w:r>
        <w:separator/>
      </w:r>
    </w:p>
  </w:footnote>
  <w:footnote w:type="continuationSeparator" w:id="1">
    <w:p w:rsidR="00EF744F" w:rsidRDefault="00EF744F" w:rsidP="00E5288B">
      <w:r>
        <w:continuationSeparator/>
      </w:r>
    </w:p>
  </w:footnote>
  <w:footnote w:id="2">
    <w:p w:rsidR="00E5288B" w:rsidRDefault="00E5288B" w:rsidP="00E5288B">
      <w:pPr>
        <w:pStyle w:val="a4"/>
        <w:rPr>
          <w:rFonts w:ascii="仿宋" w:eastAsia="仿宋" w:hAnsi="仿宋"/>
        </w:rPr>
      </w:pPr>
      <w:r>
        <w:rPr>
          <w:rStyle w:val="a7"/>
          <w:rFonts w:ascii="仿宋" w:eastAsia="仿宋" w:hAnsi="仿宋" w:hint="eastAsia"/>
          <w:sz w:val="20"/>
        </w:rPr>
        <w:t>1</w:t>
      </w:r>
      <w:r>
        <w:rPr>
          <w:rFonts w:ascii="仿宋" w:eastAsia="仿宋" w:hAnsi="仿宋" w:hint="eastAsia"/>
          <w:sz w:val="21"/>
          <w:szCs w:val="21"/>
        </w:rPr>
        <w:t>指由交易所指定交割厂库生产，但未经交易所注册生成标准仓单的棉纱</w:t>
      </w:r>
      <w:r>
        <w:rPr>
          <w:rFonts w:ascii="仿宋" w:eastAsia="仿宋" w:hAnsi="仿宋" w:hint="eastAsia"/>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88B"/>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07DB"/>
    <w:rsid w:val="002726C6"/>
    <w:rsid w:val="00277FBD"/>
    <w:rsid w:val="002839FB"/>
    <w:rsid w:val="00283E9B"/>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0FD6"/>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598"/>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A0B3D"/>
    <w:rsid w:val="00DB158C"/>
    <w:rsid w:val="00DB2AFB"/>
    <w:rsid w:val="00DB2E93"/>
    <w:rsid w:val="00DB393F"/>
    <w:rsid w:val="00DB7371"/>
    <w:rsid w:val="00DC0489"/>
    <w:rsid w:val="00DC4795"/>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288B"/>
    <w:rsid w:val="00E532A2"/>
    <w:rsid w:val="00E5389A"/>
    <w:rsid w:val="00E550AE"/>
    <w:rsid w:val="00E56992"/>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44F"/>
    <w:rsid w:val="00EF7DBB"/>
    <w:rsid w:val="00F016AE"/>
    <w:rsid w:val="00F01D97"/>
    <w:rsid w:val="00F020E1"/>
    <w:rsid w:val="00F033FC"/>
    <w:rsid w:val="00F04849"/>
    <w:rsid w:val="00F04C08"/>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88B"/>
    <w:pPr>
      <w:widowControl/>
      <w:spacing w:before="100" w:beforeAutospacing="1" w:after="100" w:afterAutospacing="1"/>
      <w:jc w:val="left"/>
    </w:pPr>
    <w:rPr>
      <w:rFonts w:ascii="宋体" w:hAnsi="宋体" w:cs="宋体"/>
      <w:kern w:val="0"/>
      <w:sz w:val="24"/>
    </w:rPr>
  </w:style>
  <w:style w:type="paragraph" w:styleId="a4">
    <w:name w:val="footnote text"/>
    <w:basedOn w:val="a"/>
    <w:link w:val="Char"/>
    <w:uiPriority w:val="99"/>
    <w:semiHidden/>
    <w:unhideWhenUsed/>
    <w:rsid w:val="00E5288B"/>
    <w:pPr>
      <w:snapToGrid w:val="0"/>
      <w:jc w:val="left"/>
    </w:pPr>
    <w:rPr>
      <w:sz w:val="18"/>
      <w:szCs w:val="18"/>
    </w:rPr>
  </w:style>
  <w:style w:type="character" w:customStyle="1" w:styleId="Char">
    <w:name w:val="脚注文本 Char"/>
    <w:basedOn w:val="a0"/>
    <w:link w:val="a4"/>
    <w:uiPriority w:val="99"/>
    <w:semiHidden/>
    <w:rsid w:val="00E5288B"/>
    <w:rPr>
      <w:rFonts w:ascii="Times New Roman" w:eastAsia="宋体" w:hAnsi="Times New Roman" w:cs="Times New Roman"/>
      <w:sz w:val="18"/>
      <w:szCs w:val="18"/>
    </w:rPr>
  </w:style>
  <w:style w:type="character" w:customStyle="1" w:styleId="Char0">
    <w:name w:val="列出段落 Char"/>
    <w:link w:val="a5"/>
    <w:uiPriority w:val="34"/>
    <w:locked/>
    <w:rsid w:val="00E5288B"/>
    <w:rPr>
      <w:szCs w:val="24"/>
    </w:rPr>
  </w:style>
  <w:style w:type="paragraph" w:styleId="a5">
    <w:name w:val="List Paragraph"/>
    <w:basedOn w:val="a"/>
    <w:link w:val="Char0"/>
    <w:uiPriority w:val="34"/>
    <w:qFormat/>
    <w:rsid w:val="00E5288B"/>
    <w:pPr>
      <w:ind w:firstLineChars="200" w:firstLine="420"/>
    </w:pPr>
    <w:rPr>
      <w:rFonts w:asciiTheme="minorHAnsi" w:eastAsiaTheme="minorEastAsia" w:hAnsiTheme="minorHAnsi" w:cstheme="minorBidi"/>
    </w:rPr>
  </w:style>
  <w:style w:type="paragraph" w:customStyle="1" w:styleId="a6">
    <w:name w:val="正文仿宋"/>
    <w:basedOn w:val="a"/>
    <w:uiPriority w:val="99"/>
    <w:qFormat/>
    <w:rsid w:val="00E5288B"/>
    <w:pPr>
      <w:widowControl/>
      <w:spacing w:line="276" w:lineRule="auto"/>
      <w:ind w:firstLineChars="201" w:firstLine="643"/>
      <w:jc w:val="left"/>
    </w:pPr>
    <w:rPr>
      <w:rFonts w:ascii="仿宋" w:eastAsia="仿宋" w:hAnsi="仿宋" w:cs="仿宋_GB2312"/>
      <w:color w:val="000000"/>
      <w:kern w:val="0"/>
      <w:sz w:val="32"/>
      <w:szCs w:val="32"/>
      <w:lang w:bidi="en-US"/>
    </w:rPr>
  </w:style>
  <w:style w:type="character" w:styleId="a7">
    <w:name w:val="footnote reference"/>
    <w:basedOn w:val="a0"/>
    <w:semiHidden/>
    <w:unhideWhenUsed/>
    <w:rsid w:val="00E528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4622</Words>
  <Characters>26346</Characters>
  <Application>Microsoft Office Word</Application>
  <DocSecurity>0</DocSecurity>
  <Lines>219</Lines>
  <Paragraphs>61</Paragraphs>
  <ScaleCrop>false</ScaleCrop>
  <Company/>
  <LinksUpToDate>false</LinksUpToDate>
  <CharactersWithSpaces>30907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2021-12-31T09:02:00Z</dcterms:created>
  <dcterms:modified xsi:type="dcterms:W3CDTF">2021-12-31T09:03:00Z</dcterms:modified>
</cp:coreProperties>
</file>