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83" w:rsidRPr="000075D4" w:rsidRDefault="00A42283" w:rsidP="00A42283">
      <w:pPr>
        <w:rPr>
          <w:rFonts w:ascii="黑体" w:eastAsia="黑体" w:hAnsi="黑体"/>
          <w:sz w:val="32"/>
          <w:szCs w:val="32"/>
        </w:rPr>
      </w:pPr>
      <w:r w:rsidRPr="000075D4">
        <w:rPr>
          <w:rFonts w:ascii="黑体" w:eastAsia="黑体" w:hAnsi="黑体" w:hint="eastAsia"/>
          <w:sz w:val="32"/>
          <w:szCs w:val="32"/>
        </w:rPr>
        <w:t>附件5</w:t>
      </w:r>
    </w:p>
    <w:p w:rsidR="00A42283" w:rsidRDefault="00A42283" w:rsidP="00A42283">
      <w:pPr>
        <w:spacing w:before="24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</w:t>
      </w:r>
      <w:r w:rsidRPr="003D75CD">
        <w:rPr>
          <w:rFonts w:ascii="宋体" w:hAnsi="宋体" w:hint="eastAsia"/>
          <w:b/>
          <w:sz w:val="44"/>
          <w:szCs w:val="44"/>
        </w:rPr>
        <w:t>郑州商品交易所</w:t>
      </w:r>
      <w:r>
        <w:rPr>
          <w:rFonts w:ascii="宋体" w:hAnsi="宋体" w:hint="eastAsia"/>
          <w:b/>
          <w:sz w:val="44"/>
          <w:szCs w:val="44"/>
        </w:rPr>
        <w:t>期货交割细则》修订案</w:t>
      </w:r>
    </w:p>
    <w:p w:rsidR="00A42283" w:rsidRDefault="00A42283" w:rsidP="00A42283">
      <w:pPr>
        <w:spacing w:before="240" w:after="240"/>
        <w:jc w:val="left"/>
        <w:rPr>
          <w:rFonts w:ascii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28"/>
          <w:szCs w:val="28"/>
        </w:rPr>
        <w:t>（2021年10月26日郑州商品交易所第七届理事会第十七次会议审议通过，自发布之日起施行）</w:t>
      </w:r>
    </w:p>
    <w:p w:rsidR="00A42283" w:rsidRDefault="00A42283" w:rsidP="00A42283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对《郑州商品交易所期货交割细则》进行如下修改：</w:t>
      </w:r>
    </w:p>
    <w:p w:rsidR="00A42283" w:rsidRDefault="00A42283" w:rsidP="00A422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将第八十七条（二）第3项修改为</w:t>
      </w:r>
      <w:proofErr w:type="gramStart"/>
      <w:r>
        <w:rPr>
          <w:rFonts w:ascii="仿宋" w:eastAsia="仿宋" w:hAnsi="仿宋" w:hint="eastAsia"/>
          <w:sz w:val="32"/>
          <w:szCs w:val="32"/>
        </w:rPr>
        <w:t>“</w:t>
      </w:r>
      <w:proofErr w:type="gramEnd"/>
      <w:r w:rsidRPr="00427EA3">
        <w:rPr>
          <w:rFonts w:ascii="仿宋" w:eastAsia="仿宋" w:hAnsi="仿宋" w:hint="eastAsia"/>
          <w:sz w:val="32"/>
          <w:szCs w:val="32"/>
        </w:rPr>
        <w:t>3.PTA期货合约在集中交割配对时，参与交割的PTA保税标准仓单优先分配给境外买方</w:t>
      </w:r>
      <w:r>
        <w:rPr>
          <w:rFonts w:ascii="仿宋" w:eastAsia="仿宋" w:hAnsi="仿宋" w:hint="eastAsia"/>
          <w:sz w:val="32"/>
          <w:szCs w:val="32"/>
        </w:rPr>
        <w:t>（不包括合格境外机构投资者和人民币合格境外机构投资者，下同）</w:t>
      </w:r>
      <w:r w:rsidRPr="00427EA3">
        <w:rPr>
          <w:rFonts w:ascii="仿宋" w:eastAsia="仿宋" w:hAnsi="仿宋" w:hint="eastAsia"/>
          <w:sz w:val="32"/>
          <w:szCs w:val="32"/>
        </w:rPr>
        <w:t>。若境外买方持仓数量合计小于或等于保税标准仓单数量，则境外买方均能分配到保税标准仓单。若境外买方持仓数量大于保税标准仓单数量，则按照“持仓时间长优先”的原则确定参与保税标准仓单交割配对的境外买方。其他未配对持仓和未分配标准仓单由计算机系统按数量取整、最少配对</w:t>
      </w:r>
      <w:proofErr w:type="gramStart"/>
      <w:r w:rsidRPr="00427EA3">
        <w:rPr>
          <w:rFonts w:ascii="仿宋" w:eastAsia="仿宋" w:hAnsi="仿宋" w:hint="eastAsia"/>
          <w:sz w:val="32"/>
          <w:szCs w:val="32"/>
        </w:rPr>
        <w:t>数原则</w:t>
      </w:r>
      <w:proofErr w:type="gramEnd"/>
      <w:r w:rsidRPr="00427EA3">
        <w:rPr>
          <w:rFonts w:ascii="仿宋" w:eastAsia="仿宋" w:hAnsi="仿宋" w:hint="eastAsia"/>
          <w:sz w:val="32"/>
          <w:szCs w:val="32"/>
        </w:rPr>
        <w:t>予以配对。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A42283" w:rsidRDefault="00A42283" w:rsidP="00A42283">
      <w:pPr>
        <w:ind w:firstLine="645"/>
        <w:rPr>
          <w:rFonts w:ascii="仿宋" w:eastAsia="仿宋" w:hAnsi="仿宋"/>
          <w:sz w:val="32"/>
          <w:szCs w:val="32"/>
        </w:rPr>
        <w:sectPr w:rsidR="00A42283" w:rsidSect="00CF4E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2283" w:rsidRDefault="00A42283" w:rsidP="00A42283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3C35C3">
        <w:rPr>
          <w:rFonts w:ascii="宋体" w:hAnsi="宋体" w:cs="宋体" w:hint="eastAsia"/>
          <w:b/>
          <w:kern w:val="0"/>
          <w:sz w:val="44"/>
          <w:szCs w:val="44"/>
        </w:rPr>
        <w:lastRenderedPageBreak/>
        <w:t>《郑州商品交易所</w:t>
      </w:r>
      <w:r>
        <w:rPr>
          <w:rFonts w:ascii="宋体" w:hAnsi="宋体" w:cs="宋体" w:hint="eastAsia"/>
          <w:b/>
          <w:kern w:val="0"/>
          <w:sz w:val="44"/>
          <w:szCs w:val="44"/>
        </w:rPr>
        <w:t>期货交割细则</w:t>
      </w:r>
      <w:r w:rsidRPr="003C35C3">
        <w:rPr>
          <w:rFonts w:ascii="宋体" w:hAnsi="宋体" w:cs="宋体" w:hint="eastAsia"/>
          <w:b/>
          <w:kern w:val="0"/>
          <w:sz w:val="44"/>
          <w:szCs w:val="44"/>
        </w:rPr>
        <w:t>》</w:t>
      </w:r>
    </w:p>
    <w:p w:rsidR="00A42283" w:rsidRDefault="00A42283" w:rsidP="00A42283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3C35C3">
        <w:rPr>
          <w:rFonts w:ascii="宋体" w:hAnsi="宋体" w:cs="宋体" w:hint="eastAsia"/>
          <w:b/>
          <w:kern w:val="0"/>
          <w:sz w:val="44"/>
          <w:szCs w:val="44"/>
        </w:rPr>
        <w:t>修订条款对照表</w:t>
      </w:r>
    </w:p>
    <w:p w:rsidR="00A42283" w:rsidRPr="003C35C3" w:rsidRDefault="00A42283" w:rsidP="00A42283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4253"/>
      </w:tblGrid>
      <w:tr w:rsidR="00A42283" w:rsidRPr="00C3491A" w:rsidTr="00237C55">
        <w:trPr>
          <w:trHeight w:val="38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283" w:rsidRPr="003C35C3" w:rsidRDefault="00A42283" w:rsidP="00237C5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35C3">
              <w:rPr>
                <w:rFonts w:ascii="仿宋" w:eastAsia="仿宋" w:hAnsi="仿宋" w:cs="宋体" w:hint="eastAsia"/>
                <w:kern w:val="0"/>
                <w:szCs w:val="21"/>
              </w:rPr>
              <w:t>现行条文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283" w:rsidRPr="003C35C3" w:rsidRDefault="00A42283" w:rsidP="00237C55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C35C3">
              <w:rPr>
                <w:rFonts w:ascii="仿宋" w:eastAsia="仿宋" w:hAnsi="仿宋" w:cs="宋体" w:hint="eastAsia"/>
                <w:kern w:val="0"/>
                <w:szCs w:val="21"/>
              </w:rPr>
              <w:t>修订后条文</w:t>
            </w:r>
          </w:p>
        </w:tc>
      </w:tr>
      <w:tr w:rsidR="00A42283" w:rsidRPr="00C3491A" w:rsidTr="00237C55">
        <w:trPr>
          <w:trHeight w:val="722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第八十七条 集中交割的交割流程如下：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/>
                <w:kern w:val="0"/>
                <w:szCs w:val="21"/>
              </w:rPr>
              <w:t>（一）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第一交割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日</w:t>
            </w:r>
          </w:p>
          <w:p w:rsidR="00A42283" w:rsidRDefault="00A42283" w:rsidP="00237C55">
            <w:pPr>
              <w:widowControl/>
              <w:ind w:firstLineChars="300" w:firstLine="63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……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3.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PTA期货合约在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集中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交割配对时，参与交割的PTA保税标准仓单优先分配给境外买方。若境外买方持仓数量合计小于或等于保税标准仓单数量，则境外买方均能分配到保税标准仓单。若境外买方持仓数量大于保税标准仓单数量，则按照“持仓时间长优先”的原则确定参与保税标准仓单交割配对的境外买方。其他未配对持仓和未分配标准仓单由计算机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系统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按数量取整、最少配对</w:t>
            </w:r>
            <w:proofErr w:type="gramStart"/>
            <w:r w:rsidRPr="00233D40">
              <w:rPr>
                <w:rFonts w:ascii="仿宋" w:eastAsia="仿宋" w:hAnsi="仿宋"/>
                <w:kern w:val="0"/>
                <w:szCs w:val="21"/>
              </w:rPr>
              <w:t>数原则</w:t>
            </w:r>
            <w:proofErr w:type="gramEnd"/>
            <w:r w:rsidRPr="00233D40">
              <w:rPr>
                <w:rFonts w:ascii="仿宋" w:eastAsia="仿宋" w:hAnsi="仿宋"/>
                <w:kern w:val="0"/>
                <w:szCs w:val="21"/>
              </w:rPr>
              <w:t>予以配对。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4.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厂库非标准仓单棉纱不得用于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集中交割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5.当日结算后，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买卖双方通过交易所会员服务系统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收取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《交割通知单》。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/>
                <w:kern w:val="0"/>
                <w:szCs w:val="21"/>
              </w:rPr>
              <w:t>（三）第三交割日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交易所对买卖双方进行交割结算。具体流程见本章关于交割结算流程的有关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规定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b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第八十七条 集中交割的交割流程如下：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/>
                <w:kern w:val="0"/>
                <w:szCs w:val="21"/>
              </w:rPr>
              <w:t>（一）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第一交割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日</w:t>
            </w:r>
          </w:p>
          <w:p w:rsidR="00A42283" w:rsidRDefault="00A42283" w:rsidP="00237C55">
            <w:pPr>
              <w:widowControl/>
              <w:ind w:firstLineChars="300" w:firstLine="630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……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3.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PTA期货合约在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集中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交割配对时，参与交割的PTA保税标准仓单优先分配给境外买方</w:t>
            </w:r>
            <w:r w:rsidRPr="00BE7FA5">
              <w:rPr>
                <w:rFonts w:ascii="仿宋" w:eastAsia="仿宋" w:hAnsi="仿宋" w:hint="eastAsia"/>
                <w:b/>
                <w:kern w:val="0"/>
                <w:szCs w:val="21"/>
                <w:u w:val="single"/>
              </w:rPr>
              <w:t>（不包括合格境外</w:t>
            </w:r>
            <w:r>
              <w:rPr>
                <w:rFonts w:ascii="仿宋" w:eastAsia="仿宋" w:hAnsi="仿宋" w:hint="eastAsia"/>
                <w:b/>
                <w:kern w:val="0"/>
                <w:szCs w:val="21"/>
                <w:u w:val="single"/>
              </w:rPr>
              <w:t>机构</w:t>
            </w:r>
            <w:r w:rsidRPr="00BE7FA5">
              <w:rPr>
                <w:rFonts w:ascii="仿宋" w:eastAsia="仿宋" w:hAnsi="仿宋" w:hint="eastAsia"/>
                <w:b/>
                <w:kern w:val="0"/>
                <w:szCs w:val="21"/>
                <w:u w:val="single"/>
              </w:rPr>
              <w:t>投资者和人民币合格境外</w:t>
            </w:r>
            <w:r>
              <w:rPr>
                <w:rFonts w:ascii="仿宋" w:eastAsia="仿宋" w:hAnsi="仿宋" w:hint="eastAsia"/>
                <w:b/>
                <w:kern w:val="0"/>
                <w:szCs w:val="21"/>
                <w:u w:val="single"/>
              </w:rPr>
              <w:t>机构</w:t>
            </w:r>
            <w:r w:rsidRPr="00BE7FA5">
              <w:rPr>
                <w:rFonts w:ascii="仿宋" w:eastAsia="仿宋" w:hAnsi="仿宋" w:hint="eastAsia"/>
                <w:b/>
                <w:kern w:val="0"/>
                <w:szCs w:val="21"/>
                <w:u w:val="single"/>
              </w:rPr>
              <w:t>投资者，下同）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。若境外买方持仓数量合计小于或等于保税标准仓单数量，则境外买方均能分配到保税标准仓单。若境外买方持仓数量大于保税标准仓单数量，则按照“持仓时间长优先”的原则确定参与保税标准仓单交割配对的境外买方。其他未配对持仓和未分配标准仓单由计算机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系统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按数量取整、最少配对</w:t>
            </w:r>
            <w:proofErr w:type="gramStart"/>
            <w:r w:rsidRPr="00233D40">
              <w:rPr>
                <w:rFonts w:ascii="仿宋" w:eastAsia="仿宋" w:hAnsi="仿宋"/>
                <w:kern w:val="0"/>
                <w:szCs w:val="21"/>
              </w:rPr>
              <w:t>数原则</w:t>
            </w:r>
            <w:proofErr w:type="gramEnd"/>
            <w:r w:rsidRPr="00233D40">
              <w:rPr>
                <w:rFonts w:ascii="仿宋" w:eastAsia="仿宋" w:hAnsi="仿宋"/>
                <w:kern w:val="0"/>
                <w:szCs w:val="21"/>
              </w:rPr>
              <w:t>予以配对。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4.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厂库非标准仓单棉纱不得用于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集中交割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5.当日结算后，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买卖双方通过交易所会员服务系统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收取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《交割通知单》。</w:t>
            </w:r>
          </w:p>
          <w:p w:rsidR="00A42283" w:rsidRPr="00233D40" w:rsidRDefault="00A42283" w:rsidP="00237C55">
            <w:pPr>
              <w:widowControl/>
              <w:rPr>
                <w:rFonts w:ascii="仿宋" w:eastAsia="仿宋" w:hAnsi="仿宋"/>
                <w:kern w:val="0"/>
                <w:szCs w:val="21"/>
              </w:rPr>
            </w:pPr>
            <w:r w:rsidRPr="00233D40">
              <w:rPr>
                <w:rFonts w:ascii="仿宋" w:eastAsia="仿宋" w:hAnsi="仿宋"/>
                <w:kern w:val="0"/>
                <w:szCs w:val="21"/>
              </w:rPr>
              <w:t>（三）第三交割日</w:t>
            </w:r>
          </w:p>
          <w:p w:rsidR="00A42283" w:rsidRPr="00BE7FA5" w:rsidRDefault="00A42283" w:rsidP="00237C55">
            <w:pPr>
              <w:widowControl/>
              <w:rPr>
                <w:rFonts w:ascii="仿宋" w:eastAsia="仿宋" w:hAnsi="仿宋"/>
                <w:b/>
                <w:kern w:val="0"/>
                <w:szCs w:val="21"/>
                <w:u w:val="single"/>
              </w:rPr>
            </w:pPr>
            <w:r w:rsidRPr="00233D40">
              <w:rPr>
                <w:rFonts w:ascii="仿宋" w:eastAsia="仿宋" w:hAnsi="仿宋" w:hint="eastAsia"/>
                <w:kern w:val="0"/>
                <w:szCs w:val="21"/>
              </w:rPr>
              <w:t>交易所对买卖双方进行交割结算。具体流程见本章关于交割结算流程的有关</w:t>
            </w:r>
            <w:r w:rsidRPr="00233D40">
              <w:rPr>
                <w:rFonts w:ascii="仿宋" w:eastAsia="仿宋" w:hAnsi="仿宋"/>
                <w:kern w:val="0"/>
                <w:szCs w:val="21"/>
              </w:rPr>
              <w:t>规定</w:t>
            </w:r>
            <w:r w:rsidRPr="00233D40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</w:tbl>
    <w:p w:rsidR="00454460" w:rsidRPr="00A42283" w:rsidRDefault="00454460"/>
    <w:sectPr w:rsidR="00454460" w:rsidRPr="00A42283" w:rsidSect="0045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283"/>
    <w:rsid w:val="00454460"/>
    <w:rsid w:val="00A4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516</Characters>
  <Application>Microsoft Office Word</Application>
  <DocSecurity>0</DocSecurity>
  <Lines>36</Lines>
  <Paragraphs>34</Paragraphs>
  <ScaleCrop>false</ScaleCrop>
  <Company>Lenovo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2021-11-26T09:23:00Z</dcterms:created>
  <dcterms:modified xsi:type="dcterms:W3CDTF">2021-11-26T09:23:00Z</dcterms:modified>
</cp:coreProperties>
</file>