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F3" w:rsidRPr="00BF29F2" w:rsidRDefault="002605F3" w:rsidP="002605F3">
      <w:pPr>
        <w:rPr>
          <w:rFonts w:ascii="黑体" w:eastAsia="黑体" w:hAnsi="黑体"/>
          <w:sz w:val="32"/>
          <w:szCs w:val="32"/>
        </w:rPr>
      </w:pPr>
      <w:r w:rsidRPr="00BF29F2">
        <w:rPr>
          <w:rFonts w:ascii="黑体" w:eastAsia="黑体" w:hAnsi="黑体" w:hint="eastAsia"/>
          <w:sz w:val="32"/>
          <w:szCs w:val="32"/>
        </w:rPr>
        <w:t>附件1</w:t>
      </w:r>
    </w:p>
    <w:p w:rsidR="002605F3" w:rsidRDefault="002605F3" w:rsidP="002605F3">
      <w:pPr>
        <w:widowControl/>
        <w:spacing w:line="360" w:lineRule="auto"/>
        <w:jc w:val="center"/>
        <w:outlineLvl w:val="3"/>
        <w:rPr>
          <w:rFonts w:ascii="宋体" w:hAnsi="宋体"/>
          <w:b/>
          <w:sz w:val="44"/>
          <w:szCs w:val="36"/>
        </w:rPr>
      </w:pPr>
      <w:r>
        <w:rPr>
          <w:rFonts w:ascii="宋体" w:hAnsi="宋体" w:hint="eastAsia"/>
          <w:b/>
          <w:sz w:val="44"/>
          <w:szCs w:val="36"/>
        </w:rPr>
        <w:t>郑州商品交易所期货交易风险控制</w:t>
      </w:r>
    </w:p>
    <w:p w:rsidR="002605F3" w:rsidRDefault="002605F3" w:rsidP="002605F3">
      <w:pPr>
        <w:widowControl/>
        <w:spacing w:line="360" w:lineRule="auto"/>
        <w:jc w:val="center"/>
        <w:outlineLvl w:val="3"/>
        <w:rPr>
          <w:rFonts w:ascii="宋体" w:hAnsi="宋体"/>
          <w:b/>
          <w:sz w:val="44"/>
          <w:szCs w:val="36"/>
        </w:rPr>
      </w:pPr>
      <w:r>
        <w:rPr>
          <w:rFonts w:ascii="宋体" w:hAnsi="宋体" w:hint="eastAsia"/>
          <w:b/>
          <w:sz w:val="44"/>
          <w:szCs w:val="36"/>
        </w:rPr>
        <w:t>管理办法</w:t>
      </w:r>
      <w:bookmarkStart w:id="0" w:name="_GoBack"/>
      <w:bookmarkEnd w:id="0"/>
    </w:p>
    <w:p w:rsidR="002605F3" w:rsidRPr="00BF29F2" w:rsidRDefault="002605F3" w:rsidP="002605F3">
      <w:pPr>
        <w:spacing w:before="240" w:after="240"/>
        <w:jc w:val="left"/>
        <w:rPr>
          <w:rFonts w:ascii="宋体" w:hAnsi="宋体"/>
          <w:b/>
          <w:sz w:val="44"/>
          <w:szCs w:val="36"/>
        </w:rPr>
      </w:pPr>
      <w:r>
        <w:rPr>
          <w:rFonts w:ascii="楷体" w:eastAsia="楷体" w:hAnsi="楷体" w:hint="eastAsia"/>
          <w:sz w:val="28"/>
          <w:szCs w:val="28"/>
        </w:rPr>
        <w:t>（2021年11月2日郑州商品交易所第七届理事会第十八次会议审议通过，自2021年</w:t>
      </w:r>
      <w:r w:rsidRPr="00552324">
        <w:rPr>
          <w:rFonts w:ascii="楷体" w:eastAsia="楷体" w:hAnsi="楷体"/>
          <w:sz w:val="28"/>
          <w:szCs w:val="28"/>
        </w:rPr>
        <w:t>11月25</w:t>
      </w:r>
      <w:r w:rsidRPr="00552324">
        <w:rPr>
          <w:rFonts w:ascii="楷体" w:eastAsia="楷体" w:hAnsi="楷体" w:hint="eastAsia"/>
          <w:sz w:val="28"/>
          <w:szCs w:val="28"/>
        </w:rPr>
        <w:t>日</w:t>
      </w:r>
      <w:r>
        <w:rPr>
          <w:rFonts w:ascii="楷体" w:eastAsia="楷体" w:hAnsi="楷体" w:hint="eastAsia"/>
          <w:sz w:val="28"/>
          <w:szCs w:val="28"/>
        </w:rPr>
        <w:t>起施行）</w:t>
      </w:r>
    </w:p>
    <w:p w:rsidR="002605F3" w:rsidRDefault="002605F3" w:rsidP="002605F3">
      <w:pPr>
        <w:pStyle w:val="a4"/>
        <w:widowControl/>
        <w:numPr>
          <w:ilvl w:val="0"/>
          <w:numId w:val="1"/>
        </w:numPr>
        <w:spacing w:after="240" w:line="360" w:lineRule="auto"/>
        <w:ind w:firstLineChars="0"/>
        <w:jc w:val="center"/>
        <w:outlineLvl w:val="1"/>
        <w:rPr>
          <w:rFonts w:ascii="宋体" w:eastAsia="黑体" w:hAnsi="宋体" w:cs="宋体"/>
          <w:sz w:val="32"/>
          <w:szCs w:val="28"/>
        </w:rPr>
      </w:pPr>
      <w:r>
        <w:rPr>
          <w:rFonts w:ascii="宋体" w:eastAsia="黑体" w:hAnsi="宋体" w:cs="宋体" w:hint="eastAsia"/>
          <w:sz w:val="32"/>
          <w:szCs w:val="28"/>
        </w:rPr>
        <w:t>总则</w:t>
      </w:r>
    </w:p>
    <w:p w:rsidR="002605F3" w:rsidRDefault="002605F3" w:rsidP="002605F3">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2605F3" w:rsidRDefault="002605F3" w:rsidP="002605F3">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期货交易风险管理实行保证金制度、涨跌停板制度、限仓制度、交易限额制度、大户报告制度、强行平仓制度、风险警示制度。</w:t>
      </w:r>
    </w:p>
    <w:p w:rsidR="002605F3" w:rsidRDefault="002605F3" w:rsidP="002605F3">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2605F3" w:rsidRDefault="002605F3" w:rsidP="002605F3">
      <w:pPr>
        <w:pStyle w:val="a4"/>
        <w:widowControl/>
        <w:numPr>
          <w:ilvl w:val="0"/>
          <w:numId w:val="1"/>
        </w:numPr>
        <w:spacing w:line="360" w:lineRule="auto"/>
        <w:ind w:firstLineChars="0"/>
        <w:jc w:val="center"/>
        <w:outlineLvl w:val="1"/>
        <w:rPr>
          <w:rFonts w:ascii="宋体" w:eastAsia="黑体" w:hAnsi="宋体" w:cs="宋体"/>
          <w:sz w:val="32"/>
          <w:szCs w:val="28"/>
        </w:rPr>
      </w:pPr>
      <w:bookmarkStart w:id="1" w:name="_Toc392878608"/>
      <w:r>
        <w:rPr>
          <w:rFonts w:ascii="宋体" w:eastAsia="黑体" w:hAnsi="宋体" w:cs="宋体" w:hint="eastAsia"/>
          <w:sz w:val="32"/>
          <w:szCs w:val="28"/>
        </w:rPr>
        <w:t>保证金制度</w:t>
      </w:r>
      <w:bookmarkEnd w:id="1"/>
    </w:p>
    <w:p w:rsidR="002605F3" w:rsidRDefault="002605F3" w:rsidP="002605F3">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期货交易实行保证金制度。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各品种</w:t>
      </w:r>
      <w:r>
        <w:rPr>
          <w:rStyle w:val="a5"/>
          <w:rFonts w:ascii="宋体" w:hAnsi="宋体" w:cs="宋体"/>
          <w:kern w:val="0"/>
          <w:sz w:val="28"/>
          <w:szCs w:val="28"/>
        </w:rPr>
        <w:footnoteReference w:id="2"/>
      </w:r>
      <w:r>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2605F3" w:rsidTr="00807509">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2605F3" w:rsidRDefault="002605F3" w:rsidP="00807509">
            <w:pPr>
              <w:snapToGrid w:val="0"/>
              <w:jc w:val="center"/>
              <w:rPr>
                <w:rFonts w:ascii="宋体"/>
                <w:bCs/>
                <w:kern w:val="0"/>
                <w:sz w:val="24"/>
              </w:rPr>
            </w:pPr>
            <w:r>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2605F3" w:rsidRDefault="002605F3" w:rsidP="00807509">
            <w:pPr>
              <w:snapToGrid w:val="0"/>
              <w:jc w:val="center"/>
              <w:rPr>
                <w:rFonts w:ascii="宋体"/>
                <w:kern w:val="0"/>
                <w:sz w:val="28"/>
                <w:szCs w:val="28"/>
              </w:rPr>
            </w:pPr>
            <w:r>
              <w:rPr>
                <w:rFonts w:ascii="宋体" w:hAnsi="宋体" w:cs="宋体" w:hint="eastAsia"/>
                <w:bCs/>
                <w:kern w:val="0"/>
                <w:sz w:val="24"/>
              </w:rPr>
              <w:t>最低交易保证金标准</w:t>
            </w:r>
          </w:p>
        </w:tc>
      </w:tr>
      <w:tr w:rsidR="002605F3" w:rsidTr="00807509">
        <w:tc>
          <w:tcPr>
            <w:tcW w:w="5637" w:type="dxa"/>
            <w:tcBorders>
              <w:top w:val="single" w:sz="4" w:space="0" w:color="000000"/>
              <w:left w:val="single" w:sz="4" w:space="0" w:color="000000"/>
              <w:bottom w:val="single" w:sz="4" w:space="0" w:color="000000"/>
              <w:right w:val="single" w:sz="4" w:space="0" w:color="000000"/>
            </w:tcBorders>
            <w:vAlign w:val="center"/>
            <w:hideMark/>
          </w:tcPr>
          <w:p w:rsidR="002605F3" w:rsidRDefault="002605F3" w:rsidP="00807509">
            <w:pPr>
              <w:snapToGrid w:val="0"/>
              <w:jc w:val="center"/>
              <w:rPr>
                <w:rFonts w:ascii="宋体"/>
                <w:kern w:val="0"/>
                <w:sz w:val="16"/>
                <w:szCs w:val="16"/>
              </w:rPr>
            </w:pPr>
            <w:r>
              <w:rPr>
                <w:rFonts w:ascii="宋体" w:hAnsi="宋体" w:cs="宋体" w:hint="eastAsia"/>
                <w:kern w:val="0"/>
                <w:sz w:val="24"/>
              </w:rPr>
              <w:t>普麦、强麦、棉花、菜油、菜籽、菜粕、动力煤、早</w:t>
            </w:r>
            <w:r>
              <w:rPr>
                <w:rFonts w:ascii="宋体" w:hAnsi="宋体" w:cs="宋体" w:hint="eastAsia"/>
                <w:kern w:val="0"/>
                <w:sz w:val="24"/>
              </w:rPr>
              <w:lastRenderedPageBreak/>
              <w:t>籼稻、晚籼稻</w:t>
            </w:r>
            <w:r>
              <w:rPr>
                <w:rFonts w:ascii="宋体" w:hAnsi="宋体" w:hint="eastAsia"/>
                <w:bCs/>
                <w:sz w:val="24"/>
              </w:rPr>
              <w:t>、粳稻、甲醇</w:t>
            </w:r>
            <w:r>
              <w:rPr>
                <w:rFonts w:ascii="宋体" w:hAnsi="宋体" w:hint="eastAsia"/>
                <w:sz w:val="24"/>
              </w:rPr>
              <w:t>、硅铁、锰硅、</w:t>
            </w:r>
            <w:r>
              <w:rPr>
                <w:rFonts w:ascii="宋体" w:hAnsi="宋体" w:cs="宋体" w:hint="eastAsia"/>
                <w:kern w:val="0"/>
                <w:sz w:val="24"/>
              </w:rPr>
              <w:t>白糖、PTA、玻璃、棉纱、尿素、纯碱、短纤、花生</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2605F3" w:rsidRDefault="002605F3" w:rsidP="00807509">
            <w:pPr>
              <w:snapToGrid w:val="0"/>
              <w:jc w:val="center"/>
              <w:rPr>
                <w:rFonts w:ascii="宋体"/>
                <w:kern w:val="0"/>
                <w:sz w:val="28"/>
                <w:szCs w:val="28"/>
              </w:rPr>
            </w:pPr>
            <w:r>
              <w:rPr>
                <w:rFonts w:ascii="宋体" w:hAnsi="宋体" w:cs="宋体" w:hint="eastAsia"/>
                <w:kern w:val="0"/>
                <w:sz w:val="24"/>
              </w:rPr>
              <w:lastRenderedPageBreak/>
              <w:t>5%</w:t>
            </w:r>
          </w:p>
        </w:tc>
      </w:tr>
      <w:tr w:rsidR="002605F3" w:rsidTr="00807509">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2605F3" w:rsidRDefault="002605F3" w:rsidP="00807509">
            <w:pPr>
              <w:snapToGrid w:val="0"/>
              <w:jc w:val="center"/>
              <w:rPr>
                <w:rFonts w:ascii="宋体" w:hAnsi="宋体" w:cs="宋体"/>
                <w:kern w:val="0"/>
                <w:sz w:val="24"/>
              </w:rPr>
            </w:pPr>
            <w:r>
              <w:rPr>
                <w:rFonts w:ascii="宋体" w:hAnsi="宋体" w:cs="宋体" w:hint="eastAsia"/>
                <w:kern w:val="0"/>
                <w:sz w:val="24"/>
              </w:rPr>
              <w:lastRenderedPageBreak/>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2605F3" w:rsidRDefault="002605F3" w:rsidP="00807509">
            <w:pPr>
              <w:snapToGrid w:val="0"/>
              <w:jc w:val="center"/>
              <w:rPr>
                <w:rFonts w:ascii="宋体" w:hAnsi="宋体" w:cs="宋体"/>
                <w:kern w:val="0"/>
                <w:sz w:val="24"/>
              </w:rPr>
            </w:pPr>
            <w:r>
              <w:rPr>
                <w:rFonts w:ascii="宋体" w:hAnsi="宋体" w:cs="宋体" w:hint="eastAsia"/>
                <w:kern w:val="0"/>
                <w:sz w:val="24"/>
              </w:rPr>
              <w:t>7%</w:t>
            </w:r>
          </w:p>
        </w:tc>
      </w:tr>
    </w:tbl>
    <w:p w:rsidR="002605F3" w:rsidRDefault="002605F3" w:rsidP="002605F3">
      <w:pPr>
        <w:snapToGrid w:val="0"/>
        <w:spacing w:before="240"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期货合约的交易保证金标准按照该期货合约上市交易的时间分期间依次管理，除苹果、红枣外，各期间交易保证金标准见下表：</w:t>
      </w:r>
    </w:p>
    <w:tbl>
      <w:tblPr>
        <w:tblW w:w="8506" w:type="dxa"/>
        <w:tblInd w:w="-34" w:type="dxa"/>
        <w:tblLook w:val="04A0"/>
      </w:tblPr>
      <w:tblGrid>
        <w:gridCol w:w="5326"/>
        <w:gridCol w:w="3180"/>
      </w:tblGrid>
      <w:tr w:rsidR="002605F3" w:rsidTr="00807509">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交易保证金标准</w:t>
            </w:r>
          </w:p>
        </w:tc>
      </w:tr>
      <w:tr w:rsidR="002605F3" w:rsidTr="00807509">
        <w:trPr>
          <w:trHeight w:val="624"/>
        </w:trPr>
        <w:tc>
          <w:tcPr>
            <w:tcW w:w="5326" w:type="dxa"/>
            <w:tcBorders>
              <w:top w:val="nil"/>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5%</w:t>
            </w:r>
          </w:p>
        </w:tc>
      </w:tr>
      <w:tr w:rsidR="002605F3" w:rsidTr="00807509">
        <w:trPr>
          <w:trHeight w:val="624"/>
        </w:trPr>
        <w:tc>
          <w:tcPr>
            <w:tcW w:w="5326" w:type="dxa"/>
            <w:tcBorders>
              <w:top w:val="nil"/>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10%</w:t>
            </w:r>
          </w:p>
        </w:tc>
      </w:tr>
      <w:tr w:rsidR="002605F3" w:rsidTr="00807509">
        <w:trPr>
          <w:trHeight w:val="312"/>
        </w:trPr>
        <w:tc>
          <w:tcPr>
            <w:tcW w:w="5326" w:type="dxa"/>
            <w:tcBorders>
              <w:top w:val="nil"/>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20%</w:t>
            </w:r>
          </w:p>
        </w:tc>
      </w:tr>
    </w:tbl>
    <w:p w:rsidR="002605F3" w:rsidRDefault="002605F3" w:rsidP="002605F3">
      <w:pPr>
        <w:snapToGrid w:val="0"/>
        <w:spacing w:before="240" w:line="360" w:lineRule="auto"/>
        <w:ind w:firstLineChars="200" w:firstLine="560"/>
        <w:rPr>
          <w:rFonts w:ascii="宋体" w:hAnsi="宋体" w:cs="宋体"/>
          <w:kern w:val="0"/>
          <w:sz w:val="28"/>
          <w:szCs w:val="28"/>
        </w:rPr>
      </w:pPr>
      <w:r>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2605F3" w:rsidTr="00807509">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交易保证金标准</w:t>
            </w:r>
          </w:p>
        </w:tc>
      </w:tr>
      <w:tr w:rsidR="002605F3" w:rsidTr="00807509">
        <w:trPr>
          <w:trHeight w:val="624"/>
        </w:trPr>
        <w:tc>
          <w:tcPr>
            <w:tcW w:w="5326" w:type="dxa"/>
            <w:tcBorders>
              <w:top w:val="nil"/>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7%</w:t>
            </w:r>
          </w:p>
        </w:tc>
      </w:tr>
      <w:tr w:rsidR="002605F3" w:rsidTr="00807509">
        <w:trPr>
          <w:trHeight w:val="624"/>
        </w:trPr>
        <w:tc>
          <w:tcPr>
            <w:tcW w:w="5326" w:type="dxa"/>
            <w:tcBorders>
              <w:top w:val="nil"/>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10%</w:t>
            </w:r>
          </w:p>
        </w:tc>
      </w:tr>
      <w:tr w:rsidR="002605F3" w:rsidTr="00807509">
        <w:trPr>
          <w:trHeight w:val="312"/>
        </w:trPr>
        <w:tc>
          <w:tcPr>
            <w:tcW w:w="5326" w:type="dxa"/>
            <w:tcBorders>
              <w:top w:val="nil"/>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20%</w:t>
            </w:r>
          </w:p>
        </w:tc>
      </w:tr>
    </w:tbl>
    <w:p w:rsidR="002605F3" w:rsidRDefault="002605F3" w:rsidP="002605F3">
      <w:pPr>
        <w:snapToGrid w:val="0"/>
        <w:spacing w:before="240" w:line="360" w:lineRule="auto"/>
        <w:ind w:firstLineChars="200" w:firstLine="560"/>
        <w:rPr>
          <w:rFonts w:ascii="宋体" w:hAnsi="宋体" w:cs="宋体"/>
          <w:kern w:val="0"/>
          <w:sz w:val="28"/>
          <w:szCs w:val="28"/>
        </w:rPr>
      </w:pPr>
      <w:r>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2605F3" w:rsidTr="00807509">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交易保证金标准</w:t>
            </w:r>
          </w:p>
        </w:tc>
      </w:tr>
      <w:tr w:rsidR="002605F3" w:rsidTr="00807509">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7%</w:t>
            </w:r>
          </w:p>
        </w:tc>
      </w:tr>
      <w:tr w:rsidR="002605F3" w:rsidTr="00807509">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10%</w:t>
            </w:r>
          </w:p>
        </w:tc>
      </w:tr>
      <w:tr w:rsidR="002605F3" w:rsidTr="00807509">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15%</w:t>
            </w:r>
          </w:p>
        </w:tc>
      </w:tr>
      <w:tr w:rsidR="002605F3" w:rsidTr="00807509">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宋体"/>
                <w:kern w:val="0"/>
                <w:sz w:val="24"/>
              </w:rPr>
            </w:pPr>
            <w:r>
              <w:rPr>
                <w:rFonts w:ascii="宋体" w:hAnsi="宋体" w:cs="宋体" w:hint="eastAsia"/>
                <w:kern w:val="0"/>
                <w:sz w:val="24"/>
              </w:rPr>
              <w:t>20%</w:t>
            </w:r>
          </w:p>
        </w:tc>
      </w:tr>
    </w:tbl>
    <w:p w:rsidR="002605F3" w:rsidRDefault="002605F3" w:rsidP="002605F3">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2605F3" w:rsidRDefault="002605F3" w:rsidP="002605F3">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N的计算公式如下：</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N＝(P</w:t>
      </w:r>
      <w:r>
        <w:rPr>
          <w:rFonts w:ascii="宋体" w:hAnsi="宋体" w:cs="宋体" w:hint="eastAsia"/>
          <w:kern w:val="0"/>
          <w:sz w:val="28"/>
          <w:szCs w:val="28"/>
          <w:vertAlign w:val="subscript"/>
        </w:rPr>
        <w:t>t</w:t>
      </w:r>
      <w:r>
        <w:rPr>
          <w:rFonts w:ascii="宋体" w:hAnsi="宋体" w:cs="宋体" w:hint="eastAsia"/>
          <w:kern w:val="0"/>
          <w:sz w:val="28"/>
          <w:szCs w:val="28"/>
        </w:rPr>
        <w:t>—P</w:t>
      </w:r>
      <w:r>
        <w:rPr>
          <w:rFonts w:ascii="宋体" w:hAnsi="宋体" w:cs="宋体" w:hint="eastAsia"/>
          <w:kern w:val="0"/>
          <w:sz w:val="28"/>
          <w:szCs w:val="28"/>
          <w:vertAlign w:val="subscript"/>
        </w:rPr>
        <w:t>0</w:t>
      </w:r>
      <w:r>
        <w:rPr>
          <w:rFonts w:ascii="宋体" w:hAnsi="宋体" w:cs="宋体" w:hint="eastAsia"/>
          <w:kern w:val="0"/>
          <w:sz w:val="28"/>
          <w:szCs w:val="28"/>
        </w:rPr>
        <w:t>)/P</w:t>
      </w:r>
      <w:r>
        <w:rPr>
          <w:rFonts w:ascii="宋体" w:hAnsi="宋体" w:cs="宋体" w:hint="eastAsia"/>
          <w:kern w:val="0"/>
          <w:sz w:val="28"/>
          <w:szCs w:val="28"/>
          <w:vertAlign w:val="subscript"/>
        </w:rPr>
        <w:t>0</w:t>
      </w:r>
      <w:r>
        <w:rPr>
          <w:rFonts w:ascii="宋体" w:hAnsi="宋体" w:cs="宋体" w:hint="eastAsia"/>
          <w:kern w:val="0"/>
          <w:sz w:val="28"/>
          <w:szCs w:val="28"/>
        </w:rPr>
        <w:t>×100%   t=4，5</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w:t>
      </w:r>
      <w:r>
        <w:rPr>
          <w:rFonts w:ascii="宋体" w:hAnsi="宋体" w:cs="宋体" w:hint="eastAsia"/>
          <w:kern w:val="0"/>
          <w:sz w:val="28"/>
          <w:szCs w:val="28"/>
          <w:vertAlign w:val="subscript"/>
        </w:rPr>
        <w:t>0</w:t>
      </w:r>
      <w:r>
        <w:rPr>
          <w:rFonts w:ascii="宋体" w:hAnsi="宋体" w:cs="宋体" w:hint="eastAsia"/>
          <w:kern w:val="0"/>
          <w:sz w:val="28"/>
          <w:szCs w:val="28"/>
        </w:rPr>
        <w:t>为D1交易日前一交易日结算价</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w:t>
      </w:r>
      <w:r>
        <w:rPr>
          <w:rFonts w:ascii="宋体" w:hAnsi="宋体" w:cs="宋体" w:hint="eastAsia"/>
          <w:kern w:val="0"/>
          <w:sz w:val="28"/>
          <w:szCs w:val="28"/>
          <w:vertAlign w:val="subscript"/>
        </w:rPr>
        <w:t>t</w:t>
      </w:r>
      <w:r>
        <w:rPr>
          <w:rFonts w:ascii="宋体" w:hAnsi="宋体" w:cs="宋体" w:hint="eastAsia"/>
          <w:kern w:val="0"/>
          <w:sz w:val="28"/>
          <w:szCs w:val="28"/>
        </w:rPr>
        <w:t>为t交易日结算价，t=4，5</w:t>
      </w:r>
    </w:p>
    <w:p w:rsidR="002605F3" w:rsidRDefault="002605F3" w:rsidP="002605F3">
      <w:pPr>
        <w:snapToGrid w:val="0"/>
        <w:spacing w:line="360" w:lineRule="auto"/>
        <w:ind w:firstLineChars="198" w:firstLine="554"/>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遇法定节假日休市时间较长的，交易所可以在休市前调整期货合约交易保证金标准和涨跌停板幅度。</w:t>
      </w:r>
    </w:p>
    <w:p w:rsidR="002605F3" w:rsidRDefault="002605F3" w:rsidP="002605F3">
      <w:pPr>
        <w:snapToGrid w:val="0"/>
        <w:spacing w:line="360" w:lineRule="auto"/>
        <w:ind w:firstLineChars="198" w:firstLine="554"/>
        <w:rPr>
          <w:rFonts w:ascii="宋体" w:hAnsi="宋体" w:cs="宋体"/>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某期货合约市场风险明显增大时，交易所可根据某期货合约市场风险情况采取下列措施：</w:t>
      </w:r>
    </w:p>
    <w:p w:rsidR="002605F3" w:rsidRDefault="002605F3" w:rsidP="002605F3">
      <w:pPr>
        <w:widowControl/>
        <w:spacing w:line="360" w:lineRule="auto"/>
        <w:ind w:firstLineChars="200" w:firstLine="560"/>
        <w:contextualSpacing/>
        <w:outlineLvl w:val="3"/>
        <w:rPr>
          <w:rFonts w:ascii="宋体" w:hAnsi="宋体" w:cs="宋体"/>
          <w:kern w:val="0"/>
          <w:sz w:val="28"/>
          <w:szCs w:val="28"/>
        </w:rPr>
      </w:pPr>
      <w:r>
        <w:rPr>
          <w:rFonts w:ascii="宋体" w:hAnsi="宋体" w:cs="宋体" w:hint="eastAsia"/>
          <w:kern w:val="0"/>
          <w:sz w:val="28"/>
          <w:szCs w:val="28"/>
        </w:rPr>
        <w:t>（一）对全部或者部分会员、境外经纪机构、客户限制出入金；</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（二）对全部或者部分非期货公司会员、客户限制开平仓；</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（三）调整该期货合约交易保证金标准；</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（四）调整该期货合约涨跌停板幅度。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当某期货合约市场行情趋于平缓时，交易所可以将上述措施恢复到正常水平。</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交易所调整交易保证金标准或者涨跌停板幅度的，应予公告，并报中国证监会备案。</w:t>
      </w:r>
    </w:p>
    <w:p w:rsidR="002605F3" w:rsidRDefault="002605F3" w:rsidP="002605F3">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同时适用本办法规定的两种或者两种以上有关调整交</w:t>
      </w:r>
      <w:r>
        <w:rPr>
          <w:rFonts w:ascii="宋体" w:hAnsi="宋体" w:cs="宋体" w:hint="eastAsia"/>
          <w:kern w:val="0"/>
          <w:sz w:val="28"/>
          <w:szCs w:val="28"/>
        </w:rPr>
        <w:lastRenderedPageBreak/>
        <w:t>易保证金标准的期货合约，其交易保证金标准按照最高值收取。</w:t>
      </w:r>
    </w:p>
    <w:p w:rsidR="002605F3" w:rsidRDefault="002605F3" w:rsidP="002605F3">
      <w:pPr>
        <w:pStyle w:val="a4"/>
        <w:widowControl/>
        <w:numPr>
          <w:ilvl w:val="0"/>
          <w:numId w:val="1"/>
        </w:numPr>
        <w:spacing w:line="360" w:lineRule="auto"/>
        <w:ind w:firstLineChars="0"/>
        <w:jc w:val="center"/>
        <w:outlineLvl w:val="1"/>
        <w:rPr>
          <w:rFonts w:ascii="宋体" w:eastAsia="黑体" w:hAnsi="宋体" w:cs="宋体"/>
          <w:sz w:val="32"/>
          <w:szCs w:val="28"/>
        </w:rPr>
      </w:pPr>
      <w:bookmarkStart w:id="2" w:name="_Toc392878609"/>
      <w:r>
        <w:rPr>
          <w:rFonts w:ascii="宋体" w:eastAsia="黑体" w:hAnsi="宋体" w:cs="宋体" w:hint="eastAsia"/>
          <w:sz w:val="32"/>
          <w:szCs w:val="28"/>
        </w:rPr>
        <w:t>涨跌停板制度</w:t>
      </w:r>
      <w:bookmarkEnd w:id="2"/>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期货交易实行价格涨跌停板制度，由交易所规定各上市期货合约的每日最大价格波动幅度。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对同时满足本办法有关调整涨跌停板幅度规定的合约，其涨跌停板幅度按照规定涨跌停板幅度数值中的较大值确定。</w:t>
      </w:r>
    </w:p>
    <w:p w:rsidR="002605F3" w:rsidRDefault="002605F3" w:rsidP="002605F3">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苹果、红枣期货合约每日涨跌停板幅度为前一交易日结算价的±5%。</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除苹果、红枣外，其他品种期货合约每日涨跌停板幅度为前一交易日结算价的±4%。</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新期货合约上市当日至成交首日，涨跌停板幅度为期货合约实际执行的涨跌停板幅度的2倍。</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新期货合约成交首日的下一交易日，涨跌停板幅度恢复为期货合约实际执行的涨跌停板幅度。</w:t>
      </w:r>
    </w:p>
    <w:p w:rsidR="002605F3" w:rsidRDefault="002605F3" w:rsidP="002605F3">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某期货合约以涨跌停板价格成交的，成交撮合原则为平仓优先和时间优先。</w:t>
      </w:r>
    </w:p>
    <w:p w:rsidR="002605F3" w:rsidRDefault="002605F3" w:rsidP="002605F3">
      <w:pPr>
        <w:tabs>
          <w:tab w:val="left" w:pos="1854"/>
          <w:tab w:val="left" w:pos="2100"/>
        </w:tabs>
        <w:snapToGrid w:val="0"/>
        <w:spacing w:line="360" w:lineRule="auto"/>
        <w:ind w:firstLineChars="200" w:firstLine="560"/>
        <w:rPr>
          <w:rFonts w:ascii="宋体" w:hAnsi="宋体" w:cs="宋体"/>
          <w:kern w:val="0"/>
          <w:sz w:val="28"/>
          <w:szCs w:val="28"/>
        </w:rPr>
      </w:pPr>
      <w:r>
        <w:rPr>
          <w:rFonts w:ascii="黑体" w:eastAsia="黑体" w:hAnsi="宋体" w:cs="黑体" w:hint="eastAsia"/>
          <w:sz w:val="28"/>
          <w:szCs w:val="28"/>
        </w:rPr>
        <w:t xml:space="preserve">第十六条 </w:t>
      </w:r>
      <w:r>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w:t>
      </w:r>
      <w:r>
        <w:rPr>
          <w:rFonts w:ascii="宋体" w:hAnsi="宋体" w:cs="宋体" w:hint="eastAsia"/>
          <w:kern w:val="0"/>
          <w:sz w:val="28"/>
          <w:szCs w:val="28"/>
        </w:rPr>
        <w:lastRenderedPageBreak/>
        <w:t>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措施一：D4交易日继续交易，交易所可以采取调整交易保证金标准、调整涨跌停板幅度、暂停开仓、暂停平仓、限制出金、限期平仓及其他风险控制措施。</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措施二：D4交易日暂停交易一天，交易所在D5交易日可以采取调整交易保证金标准、调整涨跌停板幅度、暂停开仓、暂停平仓、限制出金、限期平仓及其他风险控制措施。</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当D2及以后交易日出现与前一交易日反方向涨跌停板单边市，则视作新一轮单边市开始，该日即视为D1交易日，下一交易日涨跌停板幅度和交易保证金标准参照第十七条执行。</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2605F3" w:rsidRDefault="002605F3" w:rsidP="002605F3">
      <w:pPr>
        <w:widowControl/>
        <w:spacing w:line="360" w:lineRule="auto"/>
        <w:ind w:firstLineChars="200" w:firstLine="560"/>
        <w:outlineLvl w:val="3"/>
        <w:rPr>
          <w:rFonts w:ascii="宋体" w:hAnsi="宋体" w:cs="宋体"/>
          <w:b/>
          <w:bCs/>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强制减仓的方法和程序：</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（一）申报数量的确定</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D3交易日收市后，已在计算机系统中以涨（跌）停板价申报但没有成交的，且该客户该期货合约的单位持仓亏损大于或者等于D3</w:t>
      </w:r>
      <w:r>
        <w:rPr>
          <w:rFonts w:ascii="宋体" w:hAnsi="宋体" w:cs="宋体" w:hint="eastAsia"/>
          <w:kern w:val="0"/>
          <w:sz w:val="28"/>
          <w:szCs w:val="28"/>
        </w:rPr>
        <w:lastRenderedPageBreak/>
        <w:t>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2605F3" w:rsidRDefault="002605F3" w:rsidP="002605F3">
      <w:pPr>
        <w:widowControl/>
        <w:spacing w:line="360" w:lineRule="auto"/>
        <w:ind w:firstLineChars="200" w:firstLine="420"/>
        <w:outlineLvl w:val="3"/>
        <w:rPr>
          <w:rFonts w:ascii="宋体" w:hAnsi="宋体" w:cs="宋体"/>
          <w:kern w:val="0"/>
          <w:sz w:val="28"/>
          <w:szCs w:val="28"/>
        </w:rPr>
      </w:pPr>
      <w:r w:rsidRPr="00874273">
        <w:pict>
          <v:shapetype id="_x0000_t202" coordsize="21600,21600" o:spt="202" path="m,l,21600r21600,l21600,xe">
            <v:stroke joinstyle="miter"/>
            <v:path gradientshapeok="t" o:connecttype="rect"/>
          </v:shapetype>
          <v:shape id="文本框 3" o:spid="_x0000_s1027" type="#_x0000_t202" style="position:absolute;left:0;text-align:left;margin-left:230.75pt;margin-top:-1.05pt;width:223.25pt;height:38.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" filled="f" strokecolor="white">
            <v:textbox style="mso-next-textbox:#文本框 3">
              <w:txbxContent>
                <w:p w:rsidR="002605F3" w:rsidRDefault="002605F3" w:rsidP="002605F3">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Pr>
          <w:rFonts w:ascii="宋体" w:hAnsi="宋体" w:cs="宋体" w:hint="eastAsia"/>
          <w:kern w:val="0"/>
          <w:sz w:val="28"/>
          <w:szCs w:val="28"/>
        </w:rPr>
        <w:t>客户单位持仓盈亏的计算方法：</w:t>
      </w:r>
    </w:p>
    <w:p w:rsidR="002605F3" w:rsidRDefault="002605F3" w:rsidP="002605F3">
      <w:pPr>
        <w:adjustRightInd w:val="0"/>
        <w:snapToGrid w:val="0"/>
        <w:ind w:right="-21" w:firstLineChars="200" w:firstLine="420"/>
        <w:rPr>
          <w:rFonts w:ascii="宋体" w:hAnsi="宋体" w:cs="宋体"/>
          <w:spacing w:val="10"/>
          <w:sz w:val="24"/>
        </w:rPr>
      </w:pPr>
      <w:r w:rsidRPr="00874273">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241.05pt;margin-top:10.75pt;width:179.1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"/>
        </w:pict>
      </w:r>
      <w:r>
        <w:rPr>
          <w:rFonts w:ascii="宋体" w:hAnsi="宋体" w:cs="宋体" w:hint="eastAsia"/>
          <w:spacing w:val="10"/>
          <w:sz w:val="28"/>
          <w:szCs w:val="28"/>
        </w:rPr>
        <w:t>客户该期货合约单位持仓盈亏 =</w:t>
      </w:r>
    </w:p>
    <w:p w:rsidR="002605F3" w:rsidRDefault="002605F3" w:rsidP="002605F3">
      <w:pPr>
        <w:adjustRightInd w:val="0"/>
        <w:snapToGrid w:val="0"/>
        <w:ind w:firstLineChars="1918" w:firstLine="4987"/>
        <w:rPr>
          <w:rFonts w:ascii="宋体"/>
          <w:spacing w:val="-2"/>
          <w:sz w:val="24"/>
        </w:rPr>
      </w:pPr>
      <w:r>
        <w:rPr>
          <w:rFonts w:ascii="宋体" w:hAnsi="宋体" w:cs="宋体" w:hint="eastAsia"/>
          <w:spacing w:val="10"/>
          <w:sz w:val="24"/>
        </w:rPr>
        <w:t>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合约的持仓量(手)</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客户该期货合约持仓盈亏总和，是指客户该期货合约的持仓按其实际成交价与当日结算价之差计算的盈亏总和。</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（二）持仓盈利客户平仓范围的确定</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（三）平仓数量的分配原则及方法</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1.平仓数量的分配原则</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（1）在平仓范围内按盈利的大小和投机与保值的不同分成四级，逐级进行分配。</w:t>
      </w:r>
    </w:p>
    <w:p w:rsidR="002605F3" w:rsidRDefault="002605F3" w:rsidP="002605F3">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2605F3" w:rsidRDefault="002605F3" w:rsidP="002605F3">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其次分配给单位持仓盈利大于或者等于期货合约规定价幅1倍的投机持仓(以下简称盈利1倍的投机持仓)。</w:t>
      </w:r>
    </w:p>
    <w:p w:rsidR="002605F3" w:rsidRDefault="002605F3" w:rsidP="002605F3">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lastRenderedPageBreak/>
        <w:t>再次分配给单位持仓盈利大于或者等于期货合约规定价幅1倍以下的投机持仓(以下简称盈利1倍以下的投机持仓)。</w:t>
      </w:r>
    </w:p>
    <w:p w:rsidR="002605F3" w:rsidRDefault="002605F3" w:rsidP="002605F3">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最后分配给单位持仓盈利大于或等于合约规定价幅2倍的保值持仓(以下简称盈利2倍的保值持仓)。</w:t>
      </w:r>
    </w:p>
    <w:p w:rsidR="002605F3" w:rsidRDefault="002605F3" w:rsidP="002605F3">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（2）以上各级分配比例均按申报平仓数量(剩余申报平仓数量)与各级可平仓的盈利持仓数量之比进行分配。</w:t>
      </w:r>
    </w:p>
    <w:p w:rsidR="002605F3" w:rsidRDefault="002605F3" w:rsidP="002605F3">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2.平仓数量的分配方法及步骤</w:t>
      </w:r>
    </w:p>
    <w:p w:rsidR="002605F3" w:rsidRDefault="002605F3" w:rsidP="002605F3">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2605F3" w:rsidRDefault="002605F3" w:rsidP="002605F3">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2605F3" w:rsidRDefault="002605F3" w:rsidP="002605F3">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2605F3" w:rsidRDefault="002605F3" w:rsidP="002605F3">
      <w:pPr>
        <w:tabs>
          <w:tab w:val="left" w:pos="1620"/>
          <w:tab w:val="left" w:pos="1980"/>
          <w:tab w:val="left" w:pos="5040"/>
        </w:tabs>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采取上述措施后该期货合约风险仍未释放的，交易所宣布进入异常情况，并按有关规定采取风险控制措施。</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新期货合约成交首日以前（含该日）出现单边市的，该期货合约的涨跌停板幅度和交易保证金标准不受本章第十七条限制。</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2605F3" w:rsidRDefault="002605F3" w:rsidP="002605F3">
      <w:pPr>
        <w:pStyle w:val="a4"/>
        <w:widowControl/>
        <w:numPr>
          <w:ilvl w:val="0"/>
          <w:numId w:val="1"/>
        </w:numPr>
        <w:spacing w:line="360" w:lineRule="auto"/>
        <w:ind w:firstLineChars="0"/>
        <w:jc w:val="center"/>
        <w:outlineLvl w:val="1"/>
        <w:rPr>
          <w:rFonts w:ascii="宋体" w:eastAsia="黑体" w:hAnsi="宋体" w:cs="宋体"/>
          <w:sz w:val="32"/>
          <w:szCs w:val="28"/>
        </w:rPr>
      </w:pPr>
      <w:bookmarkStart w:id="3" w:name="_Toc392878610"/>
      <w:r>
        <w:rPr>
          <w:rFonts w:ascii="宋体" w:eastAsia="黑体" w:hAnsi="宋体" w:cs="宋体" w:hint="eastAsia"/>
          <w:sz w:val="32"/>
          <w:szCs w:val="28"/>
        </w:rPr>
        <w:t>限仓制度</w:t>
      </w:r>
      <w:bookmarkEnd w:id="3"/>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期货交易实行限仓制度。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限仓是指交易所规定会员或者客户按单边计算的、可以持有某一期货合约投机持仓的最大数量。</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第二十四条</w:t>
      </w:r>
      <w:r>
        <w:rPr>
          <w:rFonts w:ascii="宋体" w:hAnsi="宋体" w:cs="宋体" w:hint="eastAsia"/>
          <w:kern w:val="0"/>
          <w:sz w:val="28"/>
          <w:szCs w:val="28"/>
        </w:rPr>
        <w:t xml:space="preserve"> 各品种期货合约对期货公司会员不限仓。</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第二十五条 </w:t>
      </w:r>
      <w:r>
        <w:rPr>
          <w:rFonts w:ascii="宋体" w:hAnsi="宋体" w:cs="宋体" w:hint="eastAsia"/>
          <w:kern w:val="0"/>
          <w:sz w:val="28"/>
          <w:szCs w:val="28"/>
        </w:rPr>
        <w:t>棉花、白糖、PTA、菜油、甲醇、玻璃、菜粕、硅铁、锰硅、尿素、纯碱和短纤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4"/>
        <w:gridCol w:w="3508"/>
        <w:gridCol w:w="3710"/>
      </w:tblGrid>
      <w:tr w:rsidR="002605F3" w:rsidTr="00807509">
        <w:trPr>
          <w:trHeight w:val="540"/>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品种</w:t>
            </w:r>
          </w:p>
        </w:tc>
        <w:tc>
          <w:tcPr>
            <w:tcW w:w="2058"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期货合约单边持仓量</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非期货公司会员及客户最大单边持仓</w:t>
            </w:r>
          </w:p>
        </w:tc>
      </w:tr>
      <w:tr w:rsidR="002605F3" w:rsidTr="00807509">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棉花</w:t>
            </w: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单边持仓量＜20万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20000</w:t>
            </w:r>
          </w:p>
        </w:tc>
      </w:tr>
      <w:tr w:rsidR="002605F3" w:rsidTr="00807509">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单边持仓量≥20万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白糖</w:t>
            </w: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单边持仓量＜30万</w:t>
            </w:r>
          </w:p>
        </w:tc>
        <w:tc>
          <w:tcPr>
            <w:tcW w:w="2177"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30000</w:t>
            </w:r>
          </w:p>
        </w:tc>
      </w:tr>
      <w:tr w:rsidR="002605F3" w:rsidTr="00807509">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单边持仓量≥30万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PTA</w:t>
            </w: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单边持仓量＜50万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50000</w:t>
            </w:r>
          </w:p>
        </w:tc>
      </w:tr>
      <w:tr w:rsidR="002605F3" w:rsidTr="00807509">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单边持仓量≥50万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菜油</w:t>
            </w: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10000</w:t>
            </w:r>
          </w:p>
        </w:tc>
      </w:tr>
      <w:tr w:rsidR="002605F3" w:rsidTr="00807509">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lastRenderedPageBreak/>
              <w:t>甲醇</w:t>
            </w: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单边持仓量＜30万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30000</w:t>
            </w:r>
          </w:p>
        </w:tc>
      </w:tr>
      <w:tr w:rsidR="002605F3" w:rsidTr="00807509">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单边持仓量≥30万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玻璃</w:t>
            </w: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单边持仓量＜20万</w:t>
            </w:r>
          </w:p>
        </w:tc>
        <w:tc>
          <w:tcPr>
            <w:tcW w:w="2177"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20000</w:t>
            </w:r>
          </w:p>
        </w:tc>
      </w:tr>
      <w:tr w:rsidR="002605F3" w:rsidTr="00807509">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单边持仓量≥20万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菜粕</w:t>
            </w: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单边持仓量＜20万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20000</w:t>
            </w:r>
          </w:p>
        </w:tc>
      </w:tr>
      <w:tr w:rsidR="002605F3" w:rsidTr="00807509">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nil"/>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单边持仓量≥20万</w:t>
            </w:r>
          </w:p>
        </w:tc>
        <w:tc>
          <w:tcPr>
            <w:tcW w:w="2177"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硅铁</w:t>
            </w: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10000</w:t>
            </w:r>
          </w:p>
        </w:tc>
      </w:tr>
      <w:tr w:rsidR="002605F3" w:rsidTr="00807509">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锰硅</w:t>
            </w: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单边持仓量＜30万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30000</w:t>
            </w:r>
          </w:p>
        </w:tc>
      </w:tr>
      <w:tr w:rsidR="002605F3" w:rsidTr="00807509">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单边持仓量≥30万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尿素</w:t>
            </w: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10000</w:t>
            </w:r>
          </w:p>
        </w:tc>
      </w:tr>
      <w:tr w:rsidR="002605F3" w:rsidTr="00807509">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纯碱</w:t>
            </w: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单边持仓量＜20万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20000</w:t>
            </w:r>
          </w:p>
        </w:tc>
      </w:tr>
      <w:tr w:rsidR="002605F3" w:rsidTr="00807509">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单边持仓量≥20万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r w:rsidR="002605F3" w:rsidTr="00807509">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短纤</w:t>
            </w: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10000</w:t>
            </w:r>
          </w:p>
        </w:tc>
      </w:tr>
      <w:tr w:rsidR="002605F3" w:rsidTr="00807509">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单边持仓量≥10万</w:t>
            </w:r>
          </w:p>
        </w:tc>
        <w:tc>
          <w:tcPr>
            <w:tcW w:w="2177" w:type="pct"/>
            <w:tcBorders>
              <w:top w:val="single" w:sz="4" w:space="0" w:color="auto"/>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单边持仓量×10%</w:t>
            </w:r>
          </w:p>
        </w:tc>
      </w:tr>
    </w:tbl>
    <w:p w:rsidR="002605F3" w:rsidRDefault="002605F3" w:rsidP="002605F3">
      <w:pPr>
        <w:snapToGrid w:val="0"/>
        <w:spacing w:line="520" w:lineRule="exact"/>
        <w:rPr>
          <w:rFonts w:ascii="宋体" w:hAnsi="宋体" w:cs="楷体_GB2312"/>
          <w:color w:val="000000"/>
          <w:kern w:val="0"/>
          <w:szCs w:val="21"/>
        </w:rPr>
      </w:pPr>
      <w:r>
        <w:rPr>
          <w:rFonts w:ascii="宋体" w:hAnsi="宋体" w:cs="楷体_GB2312" w:hint="eastAsia"/>
          <w:color w:val="000000"/>
          <w:kern w:val="0"/>
          <w:szCs w:val="21"/>
        </w:rPr>
        <w:t>注：单位，手。</w:t>
      </w:r>
    </w:p>
    <w:p w:rsidR="002605F3" w:rsidRDefault="002605F3" w:rsidP="002605F3">
      <w:pPr>
        <w:ind w:firstLineChars="200" w:firstLine="560"/>
        <w:rPr>
          <w:rFonts w:ascii="宋体" w:hAnsi="宋体"/>
          <w:sz w:val="28"/>
          <w:szCs w:val="28"/>
        </w:rPr>
      </w:pPr>
      <w:r>
        <w:rPr>
          <w:rFonts w:ascii="宋体" w:hAnsi="宋体" w:hint="eastAsia"/>
          <w:sz w:val="28"/>
          <w:szCs w:val="28"/>
        </w:rPr>
        <w:t>普麦、强麦、早籼稻、菜籽、粳稻、晚籼稻、棉纱、苹果和花生期货合约自合约挂牌至交割月前一个月第15个日历日期间的交易日限仓标准见下表：</w:t>
      </w:r>
    </w:p>
    <w:tbl>
      <w:tblPr>
        <w:tblW w:w="5000" w:type="pct"/>
        <w:jc w:val="center"/>
        <w:tblLook w:val="04A0"/>
      </w:tblPr>
      <w:tblGrid>
        <w:gridCol w:w="3361"/>
        <w:gridCol w:w="5161"/>
      </w:tblGrid>
      <w:tr w:rsidR="002605F3" w:rsidTr="00807509">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宋体"/>
                <w:color w:val="000000"/>
                <w:kern w:val="0"/>
                <w:sz w:val="24"/>
              </w:rPr>
            </w:pPr>
            <w:r>
              <w:rPr>
                <w:rFonts w:ascii="宋体" w:hAnsi="宋体" w:cs="楷体_GB2312" w:hint="eastAsia"/>
                <w:color w:val="000000"/>
                <w:kern w:val="0"/>
                <w:sz w:val="24"/>
              </w:rPr>
              <w:t>品种</w:t>
            </w:r>
          </w:p>
        </w:tc>
        <w:tc>
          <w:tcPr>
            <w:tcW w:w="3028" w:type="pct"/>
            <w:tcBorders>
              <w:top w:val="single" w:sz="4" w:space="0" w:color="auto"/>
              <w:left w:val="nil"/>
              <w:bottom w:val="single" w:sz="4" w:space="0" w:color="auto"/>
              <w:right w:val="single" w:sz="4" w:space="0" w:color="auto"/>
            </w:tcBorders>
            <w:noWrap/>
            <w:vAlign w:val="center"/>
            <w:hideMark/>
          </w:tcPr>
          <w:p w:rsidR="002605F3" w:rsidRDefault="002605F3" w:rsidP="00807509">
            <w:pPr>
              <w:jc w:val="center"/>
              <w:rPr>
                <w:rFonts w:ascii="宋体" w:hAnsi="宋体" w:cs="宋体"/>
                <w:color w:val="000000"/>
                <w:kern w:val="0"/>
                <w:sz w:val="22"/>
              </w:rPr>
            </w:pPr>
            <w:r>
              <w:rPr>
                <w:rFonts w:ascii="宋体" w:hAnsi="宋体" w:cs="楷体_GB2312" w:hint="eastAsia"/>
                <w:color w:val="000000"/>
                <w:kern w:val="0"/>
                <w:sz w:val="24"/>
              </w:rPr>
              <w:t>非期货公司会员及客户最大单边持仓（手）</w:t>
            </w:r>
          </w:p>
        </w:tc>
      </w:tr>
      <w:tr w:rsidR="002605F3" w:rsidTr="00807509">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普麦</w:t>
            </w:r>
          </w:p>
        </w:tc>
        <w:tc>
          <w:tcPr>
            <w:tcW w:w="3028"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w:t>
            </w:r>
          </w:p>
        </w:tc>
      </w:tr>
      <w:tr w:rsidR="002605F3" w:rsidTr="00807509">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强麦</w:t>
            </w:r>
          </w:p>
        </w:tc>
        <w:tc>
          <w:tcPr>
            <w:tcW w:w="3028"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w:t>
            </w:r>
          </w:p>
        </w:tc>
      </w:tr>
      <w:tr w:rsidR="002605F3" w:rsidTr="00807509">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早籼稻</w:t>
            </w:r>
          </w:p>
        </w:tc>
        <w:tc>
          <w:tcPr>
            <w:tcW w:w="3028"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7500</w:t>
            </w:r>
          </w:p>
        </w:tc>
      </w:tr>
      <w:tr w:rsidR="002605F3" w:rsidTr="00807509">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菜籽</w:t>
            </w:r>
          </w:p>
        </w:tc>
        <w:tc>
          <w:tcPr>
            <w:tcW w:w="3028"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10000</w:t>
            </w:r>
          </w:p>
        </w:tc>
      </w:tr>
      <w:tr w:rsidR="002605F3" w:rsidTr="00807509">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粳稻</w:t>
            </w:r>
          </w:p>
        </w:tc>
        <w:tc>
          <w:tcPr>
            <w:tcW w:w="3028"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20000</w:t>
            </w:r>
          </w:p>
        </w:tc>
      </w:tr>
      <w:tr w:rsidR="002605F3" w:rsidTr="00807509">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晚籼稻</w:t>
            </w:r>
          </w:p>
        </w:tc>
        <w:tc>
          <w:tcPr>
            <w:tcW w:w="3028" w:type="pct"/>
            <w:tcBorders>
              <w:top w:val="nil"/>
              <w:left w:val="nil"/>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20000</w:t>
            </w:r>
          </w:p>
        </w:tc>
      </w:tr>
      <w:tr w:rsidR="002605F3" w:rsidTr="00807509">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棉纱</w:t>
            </w:r>
          </w:p>
        </w:tc>
        <w:tc>
          <w:tcPr>
            <w:tcW w:w="3028"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5000</w:t>
            </w:r>
          </w:p>
        </w:tc>
      </w:tr>
      <w:tr w:rsidR="002605F3" w:rsidTr="00807509">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苹果</w:t>
            </w:r>
          </w:p>
        </w:tc>
        <w:tc>
          <w:tcPr>
            <w:tcW w:w="3028"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w:t>
            </w:r>
          </w:p>
        </w:tc>
      </w:tr>
      <w:tr w:rsidR="002605F3" w:rsidTr="00807509">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花生</w:t>
            </w:r>
          </w:p>
        </w:tc>
        <w:tc>
          <w:tcPr>
            <w:tcW w:w="3028"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3000</w:t>
            </w:r>
          </w:p>
        </w:tc>
      </w:tr>
    </w:tbl>
    <w:p w:rsidR="002605F3" w:rsidRDefault="002605F3" w:rsidP="002605F3">
      <w:pPr>
        <w:ind w:firstLineChars="200" w:firstLine="560"/>
        <w:rPr>
          <w:rFonts w:ascii="宋体" w:hAnsi="宋体"/>
          <w:sz w:val="28"/>
          <w:szCs w:val="28"/>
        </w:rPr>
      </w:pPr>
      <w:r>
        <w:rPr>
          <w:rFonts w:ascii="宋体" w:hAnsi="宋体" w:hint="eastAsia"/>
          <w:sz w:val="28"/>
          <w:szCs w:val="28"/>
        </w:rPr>
        <w:t>动力煤、红枣期货合约自合约挂牌至交割月前一个月第15个日历日期间的交易日限仓标准见下表：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3494"/>
        <w:gridCol w:w="3431"/>
      </w:tblGrid>
      <w:tr w:rsidR="002605F3" w:rsidTr="00807509">
        <w:trPr>
          <w:jc w:val="center"/>
        </w:trPr>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品种</w:t>
            </w:r>
          </w:p>
        </w:tc>
        <w:tc>
          <w:tcPr>
            <w:tcW w:w="4063" w:type="pct"/>
            <w:gridSpan w:val="2"/>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非期货公司会员及客户最大单边持仓（手）</w:t>
            </w:r>
          </w:p>
        </w:tc>
      </w:tr>
      <w:tr w:rsidR="002605F3" w:rsidTr="008075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50"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自挂牌至交割月前二个月最后一个日历日期间的交易日</w:t>
            </w:r>
          </w:p>
        </w:tc>
        <w:tc>
          <w:tcPr>
            <w:tcW w:w="2012"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自交割月前一个月第一个日历日至交割月前一个月第15个日历日期间的交易日</w:t>
            </w:r>
          </w:p>
        </w:tc>
      </w:tr>
      <w:tr w:rsidR="002605F3" w:rsidTr="00807509">
        <w:trPr>
          <w:jc w:val="center"/>
        </w:trPr>
        <w:tc>
          <w:tcPr>
            <w:tcW w:w="937"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楷体_GB2312"/>
                <w:kern w:val="0"/>
                <w:sz w:val="24"/>
                <w:szCs w:val="21"/>
              </w:rPr>
            </w:pPr>
            <w:r>
              <w:rPr>
                <w:rFonts w:ascii="宋体" w:hAnsi="宋体" w:cs="楷体_GB2312" w:hint="eastAsia"/>
                <w:kern w:val="0"/>
                <w:sz w:val="24"/>
                <w:szCs w:val="21"/>
              </w:rPr>
              <w:t>动力煤</w:t>
            </w:r>
          </w:p>
        </w:tc>
        <w:tc>
          <w:tcPr>
            <w:tcW w:w="2050"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楷体_GB2312"/>
                <w:kern w:val="0"/>
                <w:sz w:val="24"/>
                <w:szCs w:val="21"/>
              </w:rPr>
            </w:pPr>
            <w:r>
              <w:rPr>
                <w:rFonts w:ascii="宋体" w:hAnsi="宋体" w:cs="楷体_GB2312" w:hint="eastAsia"/>
                <w:kern w:val="0"/>
                <w:sz w:val="24"/>
                <w:szCs w:val="21"/>
              </w:rPr>
              <w:t>2000</w:t>
            </w:r>
          </w:p>
        </w:tc>
        <w:tc>
          <w:tcPr>
            <w:tcW w:w="2012"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楷体_GB2312"/>
                <w:kern w:val="0"/>
                <w:sz w:val="24"/>
                <w:szCs w:val="21"/>
              </w:rPr>
            </w:pPr>
            <w:r>
              <w:rPr>
                <w:rFonts w:ascii="宋体" w:hAnsi="宋体" w:cs="楷体_GB2312" w:hint="eastAsia"/>
                <w:kern w:val="0"/>
                <w:sz w:val="24"/>
                <w:szCs w:val="21"/>
              </w:rPr>
              <w:t>1000</w:t>
            </w:r>
          </w:p>
        </w:tc>
      </w:tr>
      <w:tr w:rsidR="002605F3" w:rsidTr="00807509">
        <w:trPr>
          <w:jc w:val="center"/>
        </w:trPr>
        <w:tc>
          <w:tcPr>
            <w:tcW w:w="937"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楷体_GB2312"/>
                <w:kern w:val="0"/>
                <w:sz w:val="24"/>
                <w:szCs w:val="21"/>
              </w:rPr>
            </w:pPr>
            <w:r>
              <w:rPr>
                <w:rFonts w:ascii="宋体" w:hAnsi="宋体" w:cs="楷体_GB2312" w:hint="eastAsia"/>
                <w:kern w:val="0"/>
                <w:sz w:val="24"/>
                <w:szCs w:val="21"/>
              </w:rPr>
              <w:t>红枣</w:t>
            </w:r>
          </w:p>
        </w:tc>
        <w:tc>
          <w:tcPr>
            <w:tcW w:w="2050"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楷体_GB2312"/>
                <w:kern w:val="0"/>
                <w:sz w:val="24"/>
                <w:szCs w:val="21"/>
              </w:rPr>
            </w:pPr>
            <w:r>
              <w:rPr>
                <w:rFonts w:ascii="宋体" w:hAnsi="宋体" w:cs="楷体_GB2312" w:hint="eastAsia"/>
                <w:color w:val="000000"/>
                <w:kern w:val="0"/>
                <w:sz w:val="24"/>
                <w:szCs w:val="21"/>
              </w:rPr>
              <w:t>600</w:t>
            </w:r>
          </w:p>
        </w:tc>
        <w:tc>
          <w:tcPr>
            <w:tcW w:w="2012"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center"/>
              <w:rPr>
                <w:rFonts w:ascii="宋体" w:hAnsi="宋体" w:cs="楷体_GB2312"/>
                <w:kern w:val="0"/>
                <w:sz w:val="24"/>
                <w:szCs w:val="21"/>
              </w:rPr>
            </w:pPr>
            <w:r>
              <w:rPr>
                <w:rFonts w:ascii="宋体" w:hAnsi="宋体" w:cs="楷体_GB2312" w:hint="eastAsia"/>
                <w:color w:val="000000"/>
                <w:kern w:val="0"/>
                <w:sz w:val="24"/>
                <w:szCs w:val="21"/>
              </w:rPr>
              <w:t>200</w:t>
            </w:r>
          </w:p>
        </w:tc>
      </w:tr>
    </w:tbl>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各品种期货合约自交割月前一个月第16个日历日至交割月限仓标准见下表：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2"/>
        <w:gridCol w:w="3451"/>
      </w:tblGrid>
      <w:tr w:rsidR="002605F3" w:rsidTr="00807509">
        <w:trPr>
          <w:trHeight w:val="285"/>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品种</w:t>
            </w:r>
          </w:p>
        </w:tc>
        <w:tc>
          <w:tcPr>
            <w:tcW w:w="3939" w:type="pct"/>
            <w:gridSpan w:val="2"/>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非期货公司会员及客户最大单边持仓（手）</w:t>
            </w:r>
          </w:p>
        </w:tc>
      </w:tr>
      <w:tr w:rsidR="002605F3" w:rsidTr="0080750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1914" w:type="pct"/>
            <w:vMerge w:val="restar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交割月前一个月第16个日历日至交割月前一个月最后一个日历日期间的交易日</w:t>
            </w:r>
          </w:p>
        </w:tc>
        <w:tc>
          <w:tcPr>
            <w:tcW w:w="2025" w:type="pct"/>
            <w:tcBorders>
              <w:top w:val="single" w:sz="4" w:space="0" w:color="auto"/>
              <w:left w:val="single" w:sz="4" w:space="0" w:color="auto"/>
              <w:bottom w:val="nil"/>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交割月份</w:t>
            </w:r>
          </w:p>
        </w:tc>
      </w:tr>
      <w:tr w:rsidR="002605F3" w:rsidTr="0080750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widowControl/>
              <w:jc w:val="left"/>
              <w:rPr>
                <w:rFonts w:ascii="宋体" w:hAnsi="宋体" w:cs="楷体_GB2312"/>
                <w:b/>
                <w:bCs/>
                <w:color w:val="000000"/>
                <w:kern w:val="0"/>
                <w:sz w:val="24"/>
              </w:rPr>
            </w:pPr>
          </w:p>
        </w:tc>
        <w:tc>
          <w:tcPr>
            <w:tcW w:w="2025" w:type="pct"/>
            <w:tcBorders>
              <w:top w:val="nil"/>
              <w:left w:val="single" w:sz="4" w:space="0" w:color="auto"/>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（自然人客户限仓为0）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普麦</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600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强麦</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300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棉花</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4000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800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白糖</w:t>
            </w:r>
          </w:p>
        </w:tc>
        <w:tc>
          <w:tcPr>
            <w:tcW w:w="1914" w:type="pct"/>
            <w:tcBorders>
              <w:top w:val="single" w:sz="4" w:space="0" w:color="auto"/>
              <w:left w:val="single" w:sz="4" w:space="0" w:color="auto"/>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6000</w:t>
            </w:r>
          </w:p>
        </w:tc>
        <w:tc>
          <w:tcPr>
            <w:tcW w:w="2025" w:type="pct"/>
            <w:tcBorders>
              <w:top w:val="single" w:sz="4" w:space="0" w:color="auto"/>
              <w:left w:val="single" w:sz="4" w:space="0" w:color="auto"/>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PTA</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5000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菜油</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3000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早籼稻</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400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甲醇</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3000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玻璃</w:t>
            </w:r>
          </w:p>
        </w:tc>
        <w:tc>
          <w:tcPr>
            <w:tcW w:w="1914" w:type="pct"/>
            <w:tcBorders>
              <w:top w:val="single" w:sz="4" w:space="0" w:color="auto"/>
              <w:left w:val="single" w:sz="4" w:space="0" w:color="auto"/>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5000</w:t>
            </w:r>
          </w:p>
        </w:tc>
        <w:tc>
          <w:tcPr>
            <w:tcW w:w="2025" w:type="pct"/>
            <w:tcBorders>
              <w:top w:val="single" w:sz="4" w:space="0" w:color="auto"/>
              <w:left w:val="single" w:sz="4" w:space="0" w:color="auto"/>
              <w:bottom w:val="single" w:sz="4" w:space="0" w:color="auto"/>
              <w:right w:val="single" w:sz="4" w:space="0" w:color="auto"/>
            </w:tcBorders>
            <w:noWrap/>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菜籽</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500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菜粕</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动力煤</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400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粳稻</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3000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500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晚籼稻</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3000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500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硅铁</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锰硅</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棉纱</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500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100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苹果</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20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红枣</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kern w:val="0"/>
                <w:sz w:val="24"/>
              </w:rPr>
            </w:pPr>
            <w:r>
              <w:rPr>
                <w:rFonts w:ascii="宋体" w:hAnsi="宋体" w:cs="楷体_GB2312" w:hint="eastAsia"/>
                <w:kern w:val="0"/>
                <w:sz w:val="24"/>
              </w:rPr>
              <w:t>40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kern w:val="0"/>
                <w:sz w:val="24"/>
              </w:rPr>
            </w:pPr>
            <w:r>
              <w:rPr>
                <w:rFonts w:ascii="宋体" w:hAnsi="宋体" w:cs="楷体_GB2312" w:hint="eastAsia"/>
                <w:kern w:val="0"/>
                <w:sz w:val="24"/>
              </w:rPr>
              <w:t>10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尿素</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kern w:val="0"/>
                <w:sz w:val="24"/>
              </w:rPr>
            </w:pPr>
            <w:r>
              <w:rPr>
                <w:rFonts w:ascii="宋体" w:hAnsi="宋体" w:cs="楷体_GB2312" w:hint="eastAsia"/>
                <w:kern w:val="0"/>
                <w:sz w:val="24"/>
              </w:rPr>
              <w:t>3000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kern w:val="0"/>
                <w:sz w:val="24"/>
              </w:rPr>
            </w:pPr>
            <w:r>
              <w:rPr>
                <w:rFonts w:ascii="宋体" w:hAnsi="宋体" w:cs="楷体_GB2312" w:hint="eastAsia"/>
                <w:kern w:val="0"/>
                <w:sz w:val="24"/>
              </w:rPr>
              <w:t>1000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纯碱</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kern w:val="0"/>
                <w:sz w:val="24"/>
              </w:rPr>
            </w:pPr>
            <w:r>
              <w:rPr>
                <w:rFonts w:ascii="宋体" w:hAnsi="宋体" w:cs="楷体_GB2312" w:hint="eastAsia"/>
                <w:kern w:val="0"/>
                <w:sz w:val="24"/>
              </w:rPr>
              <w:t>4000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kern w:val="0"/>
                <w:sz w:val="24"/>
              </w:rPr>
            </w:pPr>
            <w:r>
              <w:rPr>
                <w:rFonts w:ascii="宋体" w:hAnsi="宋体" w:cs="楷体_GB2312" w:hint="eastAsia"/>
                <w:kern w:val="0"/>
                <w:sz w:val="24"/>
              </w:rPr>
              <w:t>800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短纤</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snapToGrid w:val="0"/>
              <w:jc w:val="center"/>
              <w:rPr>
                <w:rFonts w:ascii="宋体" w:hAnsi="宋体" w:cs="楷体_GB2312"/>
                <w:color w:val="000000"/>
                <w:kern w:val="0"/>
                <w:sz w:val="24"/>
              </w:rPr>
            </w:pPr>
            <w:r>
              <w:rPr>
                <w:rFonts w:ascii="宋体" w:hAnsi="宋体" w:cs="楷体_GB2312" w:hint="eastAsia"/>
                <w:color w:val="000000"/>
                <w:kern w:val="0"/>
                <w:sz w:val="24"/>
              </w:rPr>
              <w:t>1500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snapToGrid w:val="0"/>
              <w:jc w:val="center"/>
              <w:rPr>
                <w:rFonts w:ascii="宋体" w:hAnsi="宋体" w:cs="楷体_GB2312"/>
                <w:color w:val="000000"/>
                <w:kern w:val="0"/>
                <w:sz w:val="24"/>
              </w:rPr>
            </w:pPr>
            <w:r>
              <w:rPr>
                <w:rFonts w:ascii="宋体" w:hAnsi="宋体" w:cs="楷体_GB2312" w:hint="eastAsia"/>
                <w:color w:val="000000"/>
                <w:kern w:val="0"/>
                <w:sz w:val="24"/>
              </w:rPr>
              <w:t>300</w:t>
            </w:r>
          </w:p>
        </w:tc>
      </w:tr>
      <w:tr w:rsidR="002605F3" w:rsidTr="00807509">
        <w:trPr>
          <w:trHeight w:val="300"/>
        </w:trPr>
        <w:tc>
          <w:tcPr>
            <w:tcW w:w="1061"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jc w:val="center"/>
              <w:rPr>
                <w:rFonts w:ascii="宋体" w:hAnsi="宋体" w:cs="楷体_GB2312"/>
                <w:color w:val="000000"/>
                <w:kern w:val="0"/>
                <w:sz w:val="24"/>
              </w:rPr>
            </w:pPr>
            <w:r>
              <w:rPr>
                <w:rFonts w:ascii="宋体" w:hAnsi="宋体" w:cs="楷体_GB2312" w:hint="eastAsia"/>
                <w:color w:val="000000"/>
                <w:kern w:val="0"/>
                <w:sz w:val="24"/>
              </w:rPr>
              <w:t>花生</w:t>
            </w:r>
          </w:p>
        </w:tc>
        <w:tc>
          <w:tcPr>
            <w:tcW w:w="1914"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snapToGrid w:val="0"/>
              <w:jc w:val="center"/>
              <w:rPr>
                <w:rFonts w:ascii="宋体" w:hAnsi="宋体" w:cs="楷体_GB2312"/>
                <w:color w:val="000000"/>
                <w:kern w:val="0"/>
                <w:sz w:val="24"/>
              </w:rPr>
            </w:pPr>
            <w:r>
              <w:rPr>
                <w:rFonts w:ascii="宋体" w:hAnsi="宋体" w:cs="楷体_GB2312" w:hint="eastAsia"/>
                <w:color w:val="000000"/>
                <w:kern w:val="0"/>
                <w:sz w:val="24"/>
              </w:rPr>
              <w:t>500</w:t>
            </w:r>
          </w:p>
        </w:tc>
        <w:tc>
          <w:tcPr>
            <w:tcW w:w="2025" w:type="pct"/>
            <w:tcBorders>
              <w:top w:val="single" w:sz="4" w:space="0" w:color="auto"/>
              <w:left w:val="single" w:sz="4" w:space="0" w:color="auto"/>
              <w:bottom w:val="single" w:sz="4" w:space="0" w:color="auto"/>
              <w:right w:val="single" w:sz="4" w:space="0" w:color="auto"/>
            </w:tcBorders>
            <w:vAlign w:val="center"/>
            <w:hideMark/>
          </w:tcPr>
          <w:p w:rsidR="002605F3" w:rsidRDefault="002605F3" w:rsidP="00807509">
            <w:pPr>
              <w:snapToGrid w:val="0"/>
              <w:jc w:val="center"/>
              <w:rPr>
                <w:rFonts w:ascii="宋体" w:hAnsi="宋体" w:cs="楷体_GB2312"/>
                <w:color w:val="000000"/>
                <w:kern w:val="0"/>
                <w:sz w:val="24"/>
              </w:rPr>
            </w:pPr>
            <w:r>
              <w:rPr>
                <w:rFonts w:ascii="宋体" w:hAnsi="宋体" w:cs="楷体_GB2312" w:hint="eastAsia"/>
                <w:color w:val="000000"/>
                <w:kern w:val="0"/>
                <w:sz w:val="24"/>
              </w:rPr>
              <w:t>100</w:t>
            </w:r>
          </w:p>
        </w:tc>
      </w:tr>
    </w:tbl>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不得交割的客户具体见《郑州商品交易所期货交割细则》相关规定。</w:t>
      </w:r>
    </w:p>
    <w:p w:rsidR="002605F3" w:rsidRDefault="002605F3" w:rsidP="002605F3">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2605F3" w:rsidRDefault="002605F3" w:rsidP="002605F3">
      <w:pPr>
        <w:snapToGrid w:val="0"/>
        <w:spacing w:line="360" w:lineRule="auto"/>
        <w:ind w:firstLineChars="201" w:firstLine="563"/>
        <w:rPr>
          <w:rFonts w:ascii="宋体" w:hAnsi="宋体" w:cs="宋体"/>
          <w:kern w:val="0"/>
          <w:sz w:val="28"/>
          <w:szCs w:val="28"/>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同一客户在不同期货公司会员处开有多个交易编码，各交易编码上所有持仓的合计数，不得超出一个客户的限仓数额。</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黑体" w:eastAsia="黑体" w:hAnsi="宋体" w:cs="黑体" w:hint="eastAsia"/>
          <w:kern w:val="0"/>
          <w:sz w:val="28"/>
          <w:szCs w:val="28"/>
        </w:rPr>
        <w:lastRenderedPageBreak/>
        <w:t xml:space="preserve">第二十八条 </w:t>
      </w:r>
      <w:r>
        <w:rPr>
          <w:rFonts w:ascii="宋体" w:hAnsi="宋体" w:cs="宋体" w:hint="eastAsia"/>
          <w:kern w:val="0"/>
          <w:sz w:val="28"/>
          <w:szCs w:val="28"/>
        </w:rPr>
        <w:t>非期货公司会员或者客户的持仓数量不得超过交易所规定的持仓限额。</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2605F3" w:rsidRDefault="002605F3" w:rsidP="002605F3">
      <w:pPr>
        <w:pStyle w:val="a4"/>
        <w:widowControl/>
        <w:numPr>
          <w:ilvl w:val="0"/>
          <w:numId w:val="1"/>
        </w:numPr>
        <w:spacing w:line="360" w:lineRule="auto"/>
        <w:ind w:firstLineChars="0"/>
        <w:jc w:val="center"/>
        <w:outlineLvl w:val="1"/>
        <w:rPr>
          <w:rFonts w:ascii="宋体" w:eastAsia="黑体" w:hAnsi="宋体" w:cs="宋体"/>
          <w:sz w:val="32"/>
          <w:szCs w:val="28"/>
        </w:rPr>
      </w:pPr>
      <w:r>
        <w:rPr>
          <w:rFonts w:ascii="宋体" w:eastAsia="黑体" w:hAnsi="宋体" w:cs="宋体" w:hint="eastAsia"/>
          <w:sz w:val="32"/>
          <w:szCs w:val="28"/>
        </w:rPr>
        <w:t>交易限额制度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套期保值交易和做市交易的开仓数量不受本条前款限制。</w:t>
      </w:r>
    </w:p>
    <w:p w:rsidR="002605F3" w:rsidRDefault="002605F3" w:rsidP="002605F3">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2605F3" w:rsidRDefault="002605F3" w:rsidP="002605F3">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2605F3" w:rsidRDefault="002605F3" w:rsidP="002605F3">
      <w:pPr>
        <w:pStyle w:val="a4"/>
        <w:widowControl/>
        <w:numPr>
          <w:ilvl w:val="0"/>
          <w:numId w:val="1"/>
        </w:numPr>
        <w:spacing w:line="360" w:lineRule="auto"/>
        <w:ind w:firstLineChars="0"/>
        <w:jc w:val="center"/>
        <w:outlineLvl w:val="1"/>
        <w:rPr>
          <w:rFonts w:ascii="宋体" w:eastAsia="黑体" w:hAnsi="宋体" w:cs="宋体"/>
          <w:sz w:val="32"/>
          <w:szCs w:val="28"/>
        </w:rPr>
      </w:pPr>
      <w:r>
        <w:rPr>
          <w:rFonts w:ascii="宋体" w:eastAsia="黑体" w:hAnsi="宋体" w:cs="宋体" w:hint="eastAsia"/>
          <w:sz w:val="32"/>
          <w:szCs w:val="28"/>
        </w:rPr>
        <w:t>大户报告制度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期货交易实行大户报告制度。</w:t>
      </w:r>
    </w:p>
    <w:p w:rsidR="002605F3" w:rsidRDefault="002605F3" w:rsidP="002605F3">
      <w:pPr>
        <w:tabs>
          <w:tab w:val="num" w:pos="1215"/>
        </w:tabs>
        <w:snapToGrid w:val="0"/>
        <w:spacing w:line="520" w:lineRule="exact"/>
        <w:ind w:firstLineChars="200" w:firstLine="560"/>
        <w:rPr>
          <w:rFonts w:ascii="宋体" w:hAnsi="宋体" w:cs="宋体"/>
          <w:kern w:val="0"/>
          <w:sz w:val="28"/>
          <w:szCs w:val="28"/>
        </w:rPr>
      </w:pPr>
      <w:r>
        <w:rPr>
          <w:rFonts w:ascii="宋体" w:hAnsi="宋体" w:cs="宋体" w:hint="eastAsia"/>
          <w:kern w:val="0"/>
          <w:sz w:val="28"/>
          <w:szCs w:val="28"/>
        </w:rPr>
        <w:t>非期货公司会员或者客户持有某期货合约数量达到交易所对其规定的持仓限量80%以上（含本数）或者交易所要求报告的，应当向交易所报告其资金、持仓等情况。根据市场风险状况，交易所可调整持仓报告水平。客户应当通过期货公司会员报告；委托境外经纪机构</w:t>
      </w:r>
      <w:r>
        <w:rPr>
          <w:rFonts w:ascii="宋体" w:hAnsi="宋体" w:cs="宋体" w:hint="eastAsia"/>
          <w:kern w:val="0"/>
          <w:sz w:val="28"/>
          <w:szCs w:val="28"/>
        </w:rPr>
        <w:lastRenderedPageBreak/>
        <w:t>从事期货交易的客户，应当委托其境外经纪机构报告，境外经纪机构再委托期货公司会员报告。</w:t>
      </w:r>
    </w:p>
    <w:p w:rsidR="002605F3" w:rsidRDefault="002605F3" w:rsidP="002605F3">
      <w:pPr>
        <w:widowControl/>
        <w:spacing w:line="520" w:lineRule="exact"/>
        <w:ind w:firstLineChars="200" w:firstLine="560"/>
        <w:outlineLvl w:val="3"/>
        <w:rPr>
          <w:rFonts w:ascii="宋体" w:hAnsi="宋体" w:cs="宋体"/>
          <w:kern w:val="0"/>
          <w:sz w:val="28"/>
          <w:szCs w:val="28"/>
        </w:rPr>
      </w:pPr>
      <w:r>
        <w:rPr>
          <w:rFonts w:ascii="宋体" w:hAnsi="宋体" w:cs="宋体" w:hint="eastAsia"/>
          <w:kern w:val="0"/>
          <w:sz w:val="28"/>
          <w:szCs w:val="28"/>
        </w:rPr>
        <w:t>非期货公司会员、客户应当保证所提供的大户持仓报告和其他材料的真实性、准确性和完整性。</w:t>
      </w:r>
    </w:p>
    <w:p w:rsidR="002605F3" w:rsidRDefault="002605F3" w:rsidP="002605F3">
      <w:pPr>
        <w:tabs>
          <w:tab w:val="num" w:pos="1215"/>
        </w:tabs>
        <w:snapToGrid w:val="0"/>
        <w:spacing w:line="520" w:lineRule="exact"/>
        <w:ind w:firstLineChars="200" w:firstLine="560"/>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符合大户报告条件的非期货公司会员或客户应当向交易所提供下列材料：</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（一）《郑州商品交易所大户报告表》；</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（二）开户资料及当日结算单据；</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（三）交易所要求提供的其他材料。</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期货公司会员、境外经纪机构应当对客户所提供的有关材料进行初审并保证报告材料的真实性和准确性。</w:t>
      </w:r>
    </w:p>
    <w:p w:rsidR="002605F3" w:rsidRDefault="002605F3" w:rsidP="002605F3">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38100" cy="38100"/>
            <wp:effectExtent l="0" t="0" r="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7"/>
                    <a:srcRect t="-99944" b="99944"/>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强行平仓制度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期货交易实行强行平仓制度。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强行平仓是指当会员、客户违反交易所相关业务规定时，交易所对其违规持有的相关期货合约持仓予以平仓的强制措施。</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会员或者客户有下列情形之一的，交易所有权进行强行平仓：</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（一）结算准备金余额小于零并未能在规定时间内补足的；</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（二）持仓量超出其限仓规定的；</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（三）进入交割月份的自然人持仓；</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（四）因违规受到交易所强行平仓处罚的；</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（五）根据交易所的紧急措施应予强行平仓的；</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（六）其他应予强行平仓的。</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强行平仓的原则和程序：</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强行平仓先由会员自行实施，除交易所特别规定的时限外，会员未在10时15分之前平仓完毕的，交易所强制执行。</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由交易所强行平仓的，按以下程序实施：</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（一）交易所按照会员提供的平仓名单进行强行平仓。</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（三）属前条第（二）项的，按照超仓量由大到小的顺序，对非期货公司会员或客户进行强行平仓。</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（四）会员没有提供平仓名单，属前条第（三）项的，按照上一交易日闭市后自然人期货合约持仓由大到小顺序进行强行平仓。</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由于市场原因无法满足上述原则和程序的，交易所有权择机强行平仓。</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交易所实施强行平仓，应当通知会员，会员应当通知客户。</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属第三十七条第（一）、（二）、（三）项情况的，以交易所提供的结算结果为通知依据；属第三十七条第（四）、（五）、（六）项情况的，交易所向有关会员下达《强行平仓通知书》。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会员未在规定时间内自行平仓完毕的，剩余部分由交易所按第三十八条所确定的原则以市场价对会员直接执行强行平仓。</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交易所强行平仓完毕后，应当将强行平仓结果随当日成交记录向会员发送，并将强行平仓记录予以存档。</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强行平仓的价格通过市场交易形成。</w:t>
      </w:r>
    </w:p>
    <w:p w:rsidR="002605F3" w:rsidRDefault="002605F3" w:rsidP="002605F3">
      <w:pPr>
        <w:tabs>
          <w:tab w:val="num" w:pos="1215"/>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2605F3" w:rsidRDefault="002605F3" w:rsidP="002605F3">
      <w:pPr>
        <w:tabs>
          <w:tab w:val="num" w:pos="1215"/>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由于涨跌停板或者其他市场原因有关持仓的强行平仓只能延时完成的，因此发生的亏损仍由会员或者客户承担；未能完成平仓的，该持仓持有者须继续对此承担持仓责任或者交割义务。</w:t>
      </w:r>
    </w:p>
    <w:p w:rsidR="002605F3" w:rsidRDefault="002605F3" w:rsidP="002605F3">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lastRenderedPageBreak/>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除第三十七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本办法第三十七条第（四）项实施的强行平仓，亏损由持仓人承担，盈利按国家有关规定执行。</w:t>
      </w:r>
    </w:p>
    <w:p w:rsidR="002605F3" w:rsidRDefault="002605F3" w:rsidP="002605F3">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异常情况处理</w:t>
      </w:r>
    </w:p>
    <w:p w:rsidR="002605F3" w:rsidRDefault="002605F3" w:rsidP="002605F3">
      <w:pPr>
        <w:ind w:firstLineChars="200" w:firstLine="560"/>
        <w:rPr>
          <w:rFonts w:ascii="宋体" w:hAnsi="宋体" w:cs="宋体"/>
          <w:kern w:val="0"/>
          <w:sz w:val="28"/>
          <w:szCs w:val="28"/>
        </w:rPr>
      </w:pPr>
      <w:r>
        <w:rPr>
          <w:rFonts w:ascii="宋体" w:eastAsia="黑体" w:hAnsi="宋体" w:cs="宋体" w:hint="eastAsia"/>
          <w:kern w:val="0"/>
          <w:sz w:val="28"/>
          <w:szCs w:val="28"/>
        </w:rPr>
        <w:t>第四十四条</w:t>
      </w:r>
      <w:r>
        <w:rPr>
          <w:rFonts w:ascii="宋体" w:hAnsi="宋体" w:cs="宋体" w:hint="eastAsia"/>
          <w:kern w:val="0"/>
          <w:sz w:val="28"/>
          <w:szCs w:val="28"/>
        </w:rPr>
        <w:t xml:space="preserve"> 期货交易过程中，出现以下情形之一的，交易所采取紧急措施化解风险，并可以宣布进入异常情况：</w:t>
      </w:r>
    </w:p>
    <w:p w:rsidR="002605F3" w:rsidRDefault="002605F3" w:rsidP="002605F3">
      <w:pPr>
        <w:ind w:firstLineChars="200" w:firstLine="560"/>
        <w:rPr>
          <w:rFonts w:ascii="宋体" w:hAnsi="宋体" w:cs="宋体"/>
          <w:kern w:val="0"/>
          <w:sz w:val="28"/>
          <w:szCs w:val="28"/>
        </w:rPr>
      </w:pPr>
      <w:r>
        <w:rPr>
          <w:rFonts w:ascii="宋体" w:hAnsi="宋体" w:cs="宋体" w:hint="eastAsia"/>
          <w:kern w:val="0"/>
          <w:sz w:val="28"/>
          <w:szCs w:val="28"/>
        </w:rPr>
        <w:t>（一）地震、水灾、火灾等不可抗力或者计算机系统故障、意外事件等原因导致交易、结算、交割、行权与履约等业务无法正常进行；</w:t>
      </w:r>
    </w:p>
    <w:p w:rsidR="002605F3" w:rsidRDefault="002605F3" w:rsidP="002605F3">
      <w:pPr>
        <w:ind w:firstLineChars="200" w:firstLine="560"/>
        <w:rPr>
          <w:rFonts w:ascii="宋体" w:hAnsi="宋体" w:cs="宋体"/>
          <w:kern w:val="0"/>
          <w:sz w:val="28"/>
          <w:szCs w:val="28"/>
        </w:rPr>
      </w:pPr>
      <w:r>
        <w:rPr>
          <w:rFonts w:ascii="宋体" w:hAnsi="宋体" w:cs="宋体" w:hint="eastAsia"/>
          <w:kern w:val="0"/>
          <w:sz w:val="28"/>
          <w:szCs w:val="28"/>
        </w:rPr>
        <w:t>（二）出现结算、交割、行权与履约危机，对市场正在产生或者将产生重大影响；</w:t>
      </w:r>
    </w:p>
    <w:p w:rsidR="002605F3" w:rsidRDefault="002605F3" w:rsidP="002605F3">
      <w:pPr>
        <w:ind w:firstLineChars="200" w:firstLine="560"/>
        <w:rPr>
          <w:rFonts w:ascii="宋体" w:hAnsi="宋体" w:cs="宋体"/>
          <w:kern w:val="0"/>
          <w:sz w:val="28"/>
          <w:szCs w:val="28"/>
        </w:rPr>
      </w:pPr>
      <w:r>
        <w:rPr>
          <w:rFonts w:ascii="宋体" w:hAnsi="宋体" w:cs="宋体" w:hint="eastAsia"/>
          <w:kern w:val="0"/>
          <w:sz w:val="28"/>
          <w:szCs w:val="28"/>
        </w:rPr>
        <w:t>（三）期货价格出现同方向连续涨跌停板，有根据认为会员、境外经纪机构或者客户违反交易所交易规则及其实施细则并且对市场正在产生或者即将产生重大影响；</w:t>
      </w:r>
    </w:p>
    <w:p w:rsidR="002605F3" w:rsidRDefault="002605F3" w:rsidP="002605F3">
      <w:pPr>
        <w:ind w:firstLineChars="200" w:firstLine="560"/>
        <w:rPr>
          <w:rFonts w:ascii="宋体" w:hAnsi="宋体" w:cs="宋体"/>
          <w:kern w:val="0"/>
          <w:sz w:val="28"/>
          <w:szCs w:val="28"/>
        </w:rPr>
      </w:pPr>
      <w:r>
        <w:rPr>
          <w:rFonts w:ascii="宋体" w:hAnsi="宋体" w:cs="宋体" w:hint="eastAsia"/>
          <w:kern w:val="0"/>
          <w:sz w:val="28"/>
          <w:szCs w:val="28"/>
        </w:rPr>
        <w:t>（四）交易所规定的其他情形。</w:t>
      </w:r>
    </w:p>
    <w:p w:rsidR="002605F3" w:rsidRDefault="002605F3" w:rsidP="002605F3">
      <w:pPr>
        <w:ind w:firstLineChars="200" w:firstLine="560"/>
        <w:rPr>
          <w:rFonts w:ascii="宋体" w:hAnsi="宋体" w:cs="宋体"/>
          <w:kern w:val="0"/>
          <w:sz w:val="28"/>
          <w:szCs w:val="28"/>
        </w:rPr>
      </w:pPr>
      <w:r>
        <w:rPr>
          <w:rFonts w:ascii="宋体" w:hAnsi="宋体" w:cs="宋体" w:hint="eastAsia"/>
          <w:kern w:val="0"/>
          <w:sz w:val="28"/>
          <w:szCs w:val="28"/>
        </w:rPr>
        <w:t>出现第一款第一项情形时，交易所总经理可以采取调整开市收市时间，暂停交易，调整交易时间，暂停挂牌新合约，调整相关合约最后交易日、到期日、最后交割日等日期，调整标准仓单和交割相关业</w:t>
      </w:r>
      <w:r>
        <w:rPr>
          <w:rFonts w:ascii="宋体" w:hAnsi="宋体" w:cs="宋体" w:hint="eastAsia"/>
          <w:kern w:val="0"/>
          <w:sz w:val="28"/>
          <w:szCs w:val="28"/>
        </w:rPr>
        <w:lastRenderedPageBreak/>
        <w:t>务，调整期权行权、履约及相关对冲业务，调整资产作为保证金业务，取消未办理的相关业务申请，调整强行平仓实施时间，调整保证金收取标准或者方式、涨跌停板幅度，调整合约结算价、交割结算价，调整相关费用收取标准及结算时间，调整结算数据发送方式等紧急措施；出现第一款第一项情形且相关交易指令、成交数据错误、丢失无法恢复的，交易所总经理可以决定取消未成交的交易指令，理事会可以决定取消交易。</w:t>
      </w:r>
    </w:p>
    <w:p w:rsidR="002605F3" w:rsidRDefault="002605F3" w:rsidP="002605F3">
      <w:pPr>
        <w:ind w:firstLineChars="200" w:firstLine="560"/>
        <w:rPr>
          <w:rFonts w:ascii="宋体" w:hAnsi="宋体" w:cs="宋体"/>
          <w:kern w:val="0"/>
          <w:sz w:val="28"/>
          <w:szCs w:val="28"/>
        </w:rPr>
      </w:pPr>
      <w:r>
        <w:rPr>
          <w:rFonts w:ascii="宋体" w:hAnsi="宋体" w:cs="宋体" w:hint="eastAsia"/>
          <w:kern w:val="0"/>
          <w:sz w:val="28"/>
          <w:szCs w:val="28"/>
        </w:rPr>
        <w:t>出现第一款第二、三、四项异常情况时，理事会可以决定采取调整开市收市时间、暂停交易、调整涨跌停板幅度、提高交易保证金、暂停开仓、限期平仓、强行平仓、限制出金、强制减仓等紧急措施。</w:t>
      </w:r>
    </w:p>
    <w:p w:rsidR="002605F3" w:rsidRDefault="002605F3" w:rsidP="002605F3">
      <w:pPr>
        <w:ind w:firstLineChars="200" w:firstLine="560"/>
        <w:rPr>
          <w:rFonts w:ascii="宋体" w:hAnsi="宋体" w:cs="宋体"/>
          <w:kern w:val="0"/>
          <w:sz w:val="28"/>
          <w:szCs w:val="28"/>
        </w:rPr>
      </w:pPr>
      <w:r>
        <w:rPr>
          <w:rFonts w:ascii="宋体" w:eastAsia="黑体" w:hAnsi="宋体" w:cs="宋体" w:hint="eastAsia"/>
          <w:kern w:val="0"/>
          <w:sz w:val="28"/>
          <w:szCs w:val="28"/>
        </w:rPr>
        <w:t>第四十五条</w:t>
      </w:r>
      <w:r>
        <w:rPr>
          <w:rFonts w:ascii="宋体" w:hAnsi="宋体" w:cs="宋体" w:hint="eastAsia"/>
          <w:kern w:val="0"/>
          <w:sz w:val="28"/>
          <w:szCs w:val="28"/>
        </w:rPr>
        <w:t xml:space="preserve"> 交易所宣布异常情况、采取紧急措施前应当报告中国证监会。</w:t>
      </w:r>
    </w:p>
    <w:p w:rsidR="002605F3" w:rsidRDefault="002605F3" w:rsidP="002605F3">
      <w:pPr>
        <w:ind w:firstLineChars="200" w:firstLine="560"/>
        <w:rPr>
          <w:rFonts w:ascii="宋体" w:hAnsi="宋体" w:cs="宋体"/>
          <w:kern w:val="0"/>
          <w:sz w:val="28"/>
          <w:szCs w:val="28"/>
        </w:rPr>
      </w:pPr>
      <w:r>
        <w:rPr>
          <w:rFonts w:ascii="宋体" w:eastAsia="黑体" w:hAnsi="宋体" w:cs="宋体" w:hint="eastAsia"/>
          <w:kern w:val="0"/>
          <w:sz w:val="28"/>
          <w:szCs w:val="28"/>
        </w:rPr>
        <w:t>第四十六条</w:t>
      </w:r>
      <w:r>
        <w:rPr>
          <w:rFonts w:ascii="宋体" w:hAnsi="宋体" w:cs="宋体" w:hint="eastAsia"/>
          <w:kern w:val="0"/>
          <w:sz w:val="28"/>
          <w:szCs w:val="28"/>
        </w:rPr>
        <w:t xml:space="preserve"> 交易所宣布进入异常情况并决定暂停交易时，暂停交易的期限不得超过3个交易日，但经中国证监会批准延长的除外。</w:t>
      </w:r>
    </w:p>
    <w:p w:rsidR="002605F3" w:rsidRDefault="002605F3" w:rsidP="002605F3">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风险警示制度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期货交易实行风险警示制度。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交易所认为必要时，可以分别或者同时采取要求报告情况、谈话提醒、发布风险提示函等措施，以警示和化解风险。</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（一）合约价格出现异常波动；</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（二）会员、境外经纪机构或者客户交易异常；</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（三）会员、境外经纪机构或者客户持仓异常；</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（四）会员资金异常；</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（五）会员、境外经纪机构或者客户涉嫌违规、违约；</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（六）交易所接到涉及会员、境外经纪机构或者客户的投诉；</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（七）会员、境外经纪机构涉及执法调查；</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（八）交易所认定的其他情况。</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交易所通过电话提醒的，应当保留电话录音；通过视频谈话的，应当保留视频录像；通过当面谈话的，应当保存谈话记录。</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交易所实施谈话提醒的，会员、境外经纪机构或者客户应当按照交易所要求的时间、地点和方式认真履行。</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2605F3" w:rsidRDefault="002605F3" w:rsidP="002605F3">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kern w:val="0"/>
          <w:sz w:val="28"/>
          <w:szCs w:val="28"/>
        </w:rPr>
        <w:t>发生下列情形之一的，交易所可以向全体或者部分会员、境外经纪机构和客户发出风险提示函：</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（一）期货价格出现异常；</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（二）期货价格和现货价格出现较大差距；</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（三）国内期货价格和国际市场价格出现较大差距；</w:t>
      </w:r>
    </w:p>
    <w:p w:rsidR="002605F3" w:rsidRDefault="002605F3" w:rsidP="002605F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（四）交易所认定的其他异常情况。</w:t>
      </w:r>
    </w:p>
    <w:p w:rsidR="002605F3" w:rsidRDefault="002605F3" w:rsidP="002605F3">
      <w:pPr>
        <w:widowControl/>
        <w:spacing w:line="360" w:lineRule="auto"/>
        <w:jc w:val="center"/>
        <w:outlineLvl w:val="1"/>
        <w:rPr>
          <w:rFonts w:ascii="宋体" w:eastAsia="黑体" w:hAnsi="宋体" w:cs="宋体"/>
          <w:kern w:val="0"/>
          <w:sz w:val="32"/>
          <w:szCs w:val="28"/>
        </w:rPr>
      </w:pPr>
      <w:bookmarkStart w:id="4" w:name="_Toc392878614"/>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附则</w:t>
      </w:r>
      <w:bookmarkEnd w:id="4"/>
    </w:p>
    <w:p w:rsidR="002605F3" w:rsidRDefault="002605F3" w:rsidP="002605F3">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违反本办法规定的，交易所按《郑州商品交易所违规处理办法》有关规定处理。</w:t>
      </w:r>
    </w:p>
    <w:p w:rsidR="002605F3" w:rsidRDefault="002605F3" w:rsidP="002605F3">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有关夜盘交易相关的风险控制业务，《郑州商品交易所夜盘交易细则》有特殊规定的，从其规定。</w:t>
      </w:r>
    </w:p>
    <w:p w:rsidR="002605F3" w:rsidRDefault="002605F3" w:rsidP="002605F3">
      <w:pPr>
        <w:tabs>
          <w:tab w:val="num" w:pos="1215"/>
          <w:tab w:val="left" w:pos="2310"/>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本办法解释权属郑州商品交易所。</w:t>
      </w:r>
    </w:p>
    <w:p w:rsidR="002605F3" w:rsidRDefault="002605F3" w:rsidP="002605F3">
      <w:pPr>
        <w:spacing w:line="360" w:lineRule="auto"/>
        <w:ind w:right="57" w:firstLineChars="200" w:firstLine="560"/>
        <w:rPr>
          <w:rFonts w:ascii="宋体"/>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sz w:val="28"/>
          <w:szCs w:val="28"/>
        </w:rPr>
        <w:t>本办法自</w:t>
      </w:r>
      <w:r w:rsidRPr="00552324">
        <w:rPr>
          <w:rFonts w:ascii="宋体" w:hAnsi="宋体" w:cs="宋体"/>
          <w:kern w:val="0"/>
          <w:sz w:val="28"/>
          <w:szCs w:val="28"/>
        </w:rPr>
        <w:t>2021年11月25</w:t>
      </w:r>
      <w:r w:rsidRPr="00552324">
        <w:rPr>
          <w:rFonts w:ascii="宋体" w:hAnsi="宋体" w:cs="宋体" w:hint="eastAsia"/>
          <w:kern w:val="0"/>
          <w:sz w:val="28"/>
          <w:szCs w:val="28"/>
        </w:rPr>
        <w:t>日</w:t>
      </w:r>
      <w:r>
        <w:rPr>
          <w:rFonts w:ascii="宋体" w:hAnsi="宋体" w:cs="宋体" w:hint="eastAsia"/>
          <w:kern w:val="0"/>
          <w:sz w:val="28"/>
          <w:szCs w:val="28"/>
        </w:rPr>
        <w:t>起施行。</w:t>
      </w:r>
    </w:p>
    <w:p w:rsidR="00275F8A" w:rsidRPr="002605F3" w:rsidRDefault="00275F8A"/>
    <w:sectPr w:rsidR="00275F8A" w:rsidRPr="002605F3" w:rsidSect="00275F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F56" w:rsidRDefault="00E31F56" w:rsidP="002605F3">
      <w:r>
        <w:separator/>
      </w:r>
    </w:p>
  </w:endnote>
  <w:endnote w:type="continuationSeparator" w:id="1">
    <w:p w:rsidR="00E31F56" w:rsidRDefault="00E31F56" w:rsidP="002605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F56" w:rsidRDefault="00E31F56" w:rsidP="002605F3">
      <w:r>
        <w:separator/>
      </w:r>
    </w:p>
  </w:footnote>
  <w:footnote w:type="continuationSeparator" w:id="1">
    <w:p w:rsidR="00E31F56" w:rsidRDefault="00E31F56" w:rsidP="002605F3">
      <w:r>
        <w:continuationSeparator/>
      </w:r>
    </w:p>
  </w:footnote>
  <w:footnote w:id="2">
    <w:p w:rsidR="002605F3" w:rsidRDefault="002605F3" w:rsidP="002605F3">
      <w:pPr>
        <w:pStyle w:val="a3"/>
      </w:pPr>
      <w:r>
        <w:rPr>
          <w:rStyle w:val="a5"/>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，干制红枣简称“红枣”，涤纶短纤简称“短纤”，花生仁简称“花生”。</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D09D9"/>
    <w:multiLevelType w:val="hybridMultilevel"/>
    <w:tmpl w:val="06EABE78"/>
    <w:lvl w:ilvl="0" w:tplc="C95A31AC">
      <w:start w:val="1"/>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05F3"/>
    <w:rsid w:val="002605F3"/>
    <w:rsid w:val="00275F8A"/>
    <w:rsid w:val="00E31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semiHidden/>
    <w:unhideWhenUsed/>
    <w:rsid w:val="002605F3"/>
    <w:pPr>
      <w:snapToGrid w:val="0"/>
      <w:jc w:val="left"/>
    </w:pPr>
    <w:rPr>
      <w:kern w:val="0"/>
      <w:sz w:val="18"/>
      <w:szCs w:val="18"/>
    </w:rPr>
  </w:style>
  <w:style w:type="character" w:customStyle="1" w:styleId="Char">
    <w:name w:val="脚注文本 Char"/>
    <w:basedOn w:val="a0"/>
    <w:link w:val="a3"/>
    <w:uiPriority w:val="99"/>
    <w:semiHidden/>
    <w:rsid w:val="002605F3"/>
    <w:rPr>
      <w:rFonts w:ascii="Times New Roman" w:eastAsia="宋体" w:hAnsi="Times New Roman" w:cs="Times New Roman"/>
      <w:sz w:val="18"/>
      <w:szCs w:val="18"/>
    </w:rPr>
  </w:style>
  <w:style w:type="character" w:customStyle="1" w:styleId="Char0">
    <w:name w:val="列出段落 Char"/>
    <w:link w:val="a4"/>
    <w:uiPriority w:val="34"/>
    <w:locked/>
    <w:rsid w:val="002605F3"/>
    <w:rPr>
      <w:rFonts w:ascii="Calibri" w:eastAsia="宋体" w:hAnsi="Calibri" w:cs="Times New Roman"/>
    </w:rPr>
  </w:style>
  <w:style w:type="paragraph" w:styleId="a4">
    <w:name w:val="List Paragraph"/>
    <w:basedOn w:val="a"/>
    <w:link w:val="Char0"/>
    <w:uiPriority w:val="34"/>
    <w:qFormat/>
    <w:rsid w:val="002605F3"/>
    <w:pPr>
      <w:ind w:firstLineChars="200" w:firstLine="420"/>
    </w:pPr>
    <w:rPr>
      <w:rFonts w:ascii="Calibri" w:hAnsi="Calibri"/>
      <w:szCs w:val="22"/>
    </w:rPr>
  </w:style>
  <w:style w:type="character" w:styleId="a5">
    <w:name w:val="footnote reference"/>
    <w:semiHidden/>
    <w:unhideWhenUsed/>
    <w:rsid w:val="002605F3"/>
    <w:rPr>
      <w:vertAlign w:val="superscript"/>
    </w:rPr>
  </w:style>
  <w:style w:type="character" w:customStyle="1" w:styleId="Char1">
    <w:name w:val="脚注文本 Char1"/>
    <w:basedOn w:val="a0"/>
    <w:link w:val="a3"/>
    <w:uiPriority w:val="99"/>
    <w:semiHidden/>
    <w:locked/>
    <w:rsid w:val="002605F3"/>
    <w:rPr>
      <w:rFonts w:ascii="Times New Roman" w:eastAsia="宋体" w:hAnsi="Times New Roman" w:cs="Times New Roman"/>
      <w:kern w:val="0"/>
      <w:sz w:val="18"/>
      <w:szCs w:val="18"/>
    </w:rPr>
  </w:style>
  <w:style w:type="paragraph" w:styleId="a6">
    <w:name w:val="Balloon Text"/>
    <w:basedOn w:val="a"/>
    <w:link w:val="Char2"/>
    <w:uiPriority w:val="99"/>
    <w:semiHidden/>
    <w:unhideWhenUsed/>
    <w:rsid w:val="002605F3"/>
    <w:rPr>
      <w:sz w:val="18"/>
      <w:szCs w:val="18"/>
    </w:rPr>
  </w:style>
  <w:style w:type="character" w:customStyle="1" w:styleId="Char2">
    <w:name w:val="批注框文本 Char"/>
    <w:basedOn w:val="a0"/>
    <w:link w:val="a6"/>
    <w:uiPriority w:val="99"/>
    <w:semiHidden/>
    <w:rsid w:val="002605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4795</Words>
  <Characters>5275</Characters>
  <Application>Microsoft Office Word</Application>
  <DocSecurity>0</DocSecurity>
  <Lines>439</Lines>
  <Paragraphs>335</Paragraphs>
  <ScaleCrop>false</ScaleCrop>
  <Company>Lenovo</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2021-11-24T08:01:00Z</dcterms:created>
  <dcterms:modified xsi:type="dcterms:W3CDTF">2021-11-24T08:01:00Z</dcterms:modified>
</cp:coreProperties>
</file>