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22" w:rsidRPr="006B40CF" w:rsidRDefault="00626D22" w:rsidP="00626D22">
      <w:pPr>
        <w:wordWrap w:val="0"/>
        <w:ind w:right="640"/>
        <w:rPr>
          <w:rFonts w:ascii="黑体" w:eastAsia="黑体" w:hAnsi="黑体"/>
          <w:bCs/>
          <w:sz w:val="32"/>
          <w:szCs w:val="32"/>
        </w:rPr>
      </w:pPr>
      <w:r w:rsidRPr="006B40CF">
        <w:rPr>
          <w:rFonts w:ascii="黑体" w:eastAsia="黑体" w:hAnsi="黑体" w:hint="eastAsia"/>
          <w:bCs/>
          <w:sz w:val="32"/>
          <w:szCs w:val="32"/>
        </w:rPr>
        <w:t>附</w:t>
      </w: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Pr="006B40CF">
        <w:rPr>
          <w:rFonts w:ascii="黑体" w:eastAsia="黑体" w:hAnsi="黑体" w:hint="eastAsia"/>
          <w:bCs/>
          <w:sz w:val="32"/>
          <w:szCs w:val="32"/>
        </w:rPr>
        <w:t>件</w:t>
      </w:r>
    </w:p>
    <w:p w:rsidR="00626D22" w:rsidRPr="00570D60" w:rsidRDefault="00626D22" w:rsidP="00626D22">
      <w:pPr>
        <w:spacing w:beforeLines="50" w:afterLines="50"/>
        <w:jc w:val="center"/>
        <w:rPr>
          <w:rFonts w:ascii="方正小标宋简体" w:eastAsia="方正小标宋简体" w:hAnsi="宋体"/>
          <w:sz w:val="44"/>
          <w:szCs w:val="32"/>
        </w:rPr>
      </w:pPr>
      <w:r w:rsidRPr="00570D60">
        <w:rPr>
          <w:rFonts w:ascii="方正小标宋简体" w:eastAsia="方正小标宋简体" w:hAnsi="宋体" w:hint="eastAsia"/>
          <w:bCs/>
          <w:sz w:val="44"/>
          <w:szCs w:val="32"/>
        </w:rPr>
        <w:t>“拆备兑组合参与自动对冲”功能说明</w:t>
      </w:r>
    </w:p>
    <w:p w:rsidR="00626D22" w:rsidRDefault="00626D22" w:rsidP="00626D2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为便利市场投资者</w:t>
      </w:r>
      <w:r>
        <w:rPr>
          <w:rFonts w:ascii="仿宋" w:eastAsia="仿宋" w:hAnsi="仿宋" w:hint="eastAsia"/>
          <w:sz w:val="32"/>
          <w:szCs w:val="32"/>
        </w:rPr>
        <w:t>，郑州商品交易所在会员服务系统“指定交易编码对冲”菜单下，增加“拆备兑组合参与自动对冲”功能，</w:t>
      </w:r>
      <w:proofErr w:type="gramStart"/>
      <w:r>
        <w:rPr>
          <w:rFonts w:eastAsia="仿宋" w:hint="eastAsia"/>
          <w:color w:val="000000"/>
          <w:sz w:val="32"/>
          <w:szCs w:val="32"/>
        </w:rPr>
        <w:t>供已开通</w:t>
      </w:r>
      <w:proofErr w:type="gramEnd"/>
      <w:r>
        <w:rPr>
          <w:rFonts w:eastAsia="仿宋" w:hint="eastAsia"/>
          <w:color w:val="000000"/>
          <w:sz w:val="32"/>
          <w:szCs w:val="32"/>
        </w:rPr>
        <w:t>对冲功能的投资者自行选择是否在对冲前先行拆解备兑组合</w:t>
      </w:r>
      <w:r w:rsidRPr="00364D16">
        <w:rPr>
          <w:rFonts w:eastAsia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现将有关功能说明如下：</w:t>
      </w:r>
    </w:p>
    <w:p w:rsidR="00626D22" w:rsidRPr="001E4EAF" w:rsidRDefault="00626D22" w:rsidP="00626D22">
      <w:pPr>
        <w:ind w:firstLineChars="200" w:firstLine="640"/>
        <w:jc w:val="left"/>
        <w:outlineLvl w:val="0"/>
        <w:rPr>
          <w:rFonts w:ascii="黑体" w:eastAsia="黑体" w:hAnsi="黑体"/>
          <w:i/>
          <w:iCs/>
          <w:color w:val="000000"/>
          <w:sz w:val="32"/>
          <w:szCs w:val="32"/>
        </w:rPr>
      </w:pPr>
      <w:r w:rsidRPr="001E4EAF">
        <w:rPr>
          <w:rFonts w:ascii="黑体" w:eastAsia="黑体" w:hAnsi="黑体" w:hint="eastAsia"/>
          <w:color w:val="000000"/>
          <w:sz w:val="32"/>
          <w:szCs w:val="32"/>
        </w:rPr>
        <w:t>一、会员服务系统</w:t>
      </w:r>
      <w:r>
        <w:rPr>
          <w:rFonts w:ascii="黑体" w:eastAsia="黑体" w:hAnsi="黑体" w:hint="eastAsia"/>
          <w:color w:val="000000"/>
          <w:sz w:val="32"/>
          <w:szCs w:val="32"/>
        </w:rPr>
        <w:t>功能介绍</w:t>
      </w:r>
    </w:p>
    <w:p w:rsidR="00626D22" w:rsidRDefault="00626D22" w:rsidP="00626D22">
      <w:pPr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针对投资者存在拆备兑组合参与指定交易编码对冲的需求，</w:t>
      </w:r>
      <w:r w:rsidRPr="004E34AD">
        <w:rPr>
          <w:rFonts w:eastAsia="仿宋" w:hint="eastAsia"/>
          <w:color w:val="000000"/>
          <w:sz w:val="32"/>
          <w:szCs w:val="32"/>
        </w:rPr>
        <w:t>在会员服务系统“指定交易编码对冲”菜单下增加</w:t>
      </w:r>
      <w:proofErr w:type="gramStart"/>
      <w:r w:rsidRPr="004E34AD">
        <w:rPr>
          <w:rFonts w:eastAsia="仿宋" w:hint="eastAsia"/>
          <w:color w:val="000000"/>
          <w:sz w:val="32"/>
          <w:szCs w:val="32"/>
        </w:rPr>
        <w:t>一</w:t>
      </w:r>
      <w:proofErr w:type="gramEnd"/>
      <w:r w:rsidRPr="004E34AD">
        <w:rPr>
          <w:rFonts w:eastAsia="仿宋" w:hint="eastAsia"/>
          <w:color w:val="000000"/>
          <w:sz w:val="32"/>
          <w:szCs w:val="32"/>
        </w:rPr>
        <w:t>个子选项，</w:t>
      </w:r>
      <w:r w:rsidRPr="00CF73DA">
        <w:rPr>
          <w:rFonts w:eastAsia="仿宋" w:hint="eastAsia"/>
          <w:color w:val="000000"/>
          <w:sz w:val="32"/>
          <w:szCs w:val="32"/>
        </w:rPr>
        <w:t>允许</w:t>
      </w:r>
      <w:r>
        <w:rPr>
          <w:rFonts w:eastAsia="仿宋" w:hint="eastAsia"/>
          <w:color w:val="000000"/>
          <w:sz w:val="32"/>
          <w:szCs w:val="32"/>
        </w:rPr>
        <w:t>开通</w:t>
      </w:r>
      <w:r w:rsidRPr="00CF73DA">
        <w:rPr>
          <w:rFonts w:eastAsia="仿宋" w:hint="eastAsia"/>
          <w:color w:val="000000"/>
          <w:sz w:val="32"/>
          <w:szCs w:val="32"/>
        </w:rPr>
        <w:t>对冲</w:t>
      </w:r>
      <w:r>
        <w:rPr>
          <w:rFonts w:eastAsia="仿宋" w:hint="eastAsia"/>
          <w:color w:val="000000"/>
          <w:sz w:val="32"/>
          <w:szCs w:val="32"/>
        </w:rPr>
        <w:t>功能</w:t>
      </w:r>
      <w:r w:rsidRPr="00CF73DA">
        <w:rPr>
          <w:rFonts w:eastAsia="仿宋" w:hint="eastAsia"/>
          <w:color w:val="000000"/>
          <w:sz w:val="32"/>
          <w:szCs w:val="32"/>
        </w:rPr>
        <w:t>的</w:t>
      </w:r>
      <w:r>
        <w:rPr>
          <w:rFonts w:eastAsia="仿宋" w:hint="eastAsia"/>
          <w:color w:val="000000"/>
          <w:sz w:val="32"/>
          <w:szCs w:val="32"/>
        </w:rPr>
        <w:t>投资者</w:t>
      </w:r>
      <w:r w:rsidRPr="00CF73DA">
        <w:rPr>
          <w:rFonts w:eastAsia="仿宋" w:hint="eastAsia"/>
          <w:color w:val="000000"/>
          <w:sz w:val="32"/>
          <w:szCs w:val="32"/>
        </w:rPr>
        <w:t>选择是否</w:t>
      </w:r>
      <w:r>
        <w:rPr>
          <w:rFonts w:eastAsia="仿宋" w:hint="eastAsia"/>
          <w:color w:val="000000"/>
          <w:sz w:val="32"/>
          <w:szCs w:val="32"/>
        </w:rPr>
        <w:t>在</w:t>
      </w:r>
      <w:r w:rsidRPr="00CF73DA">
        <w:rPr>
          <w:rFonts w:eastAsia="仿宋" w:hint="eastAsia"/>
          <w:color w:val="000000"/>
          <w:sz w:val="32"/>
          <w:szCs w:val="32"/>
        </w:rPr>
        <w:t>对冲前</w:t>
      </w:r>
      <w:r>
        <w:rPr>
          <w:rFonts w:eastAsia="仿宋" w:hint="eastAsia"/>
          <w:color w:val="000000"/>
          <w:sz w:val="32"/>
          <w:szCs w:val="32"/>
        </w:rPr>
        <w:t>先行拆解</w:t>
      </w:r>
      <w:r w:rsidRPr="00CF73DA">
        <w:rPr>
          <w:rFonts w:eastAsia="仿宋" w:hint="eastAsia"/>
          <w:color w:val="000000"/>
          <w:sz w:val="32"/>
          <w:szCs w:val="32"/>
        </w:rPr>
        <w:t>备兑</w:t>
      </w:r>
      <w:r>
        <w:rPr>
          <w:rFonts w:eastAsia="仿宋" w:hint="eastAsia"/>
          <w:color w:val="000000"/>
          <w:sz w:val="32"/>
          <w:szCs w:val="32"/>
        </w:rPr>
        <w:t>组合</w:t>
      </w:r>
      <w:r w:rsidRPr="00CF73DA">
        <w:rPr>
          <w:rFonts w:eastAsia="仿宋" w:hint="eastAsia"/>
          <w:color w:val="000000"/>
          <w:sz w:val="32"/>
          <w:szCs w:val="32"/>
        </w:rPr>
        <w:t>。</w:t>
      </w:r>
      <w:r>
        <w:rPr>
          <w:rFonts w:eastAsia="仿宋" w:hint="eastAsia"/>
          <w:color w:val="000000"/>
          <w:sz w:val="32"/>
          <w:szCs w:val="32"/>
        </w:rPr>
        <w:t>对于选择此功能的投资者，</w:t>
      </w:r>
      <w:r w:rsidRPr="00793346">
        <w:rPr>
          <w:rFonts w:eastAsia="仿宋" w:hint="eastAsia"/>
          <w:color w:val="000000"/>
          <w:sz w:val="32"/>
          <w:szCs w:val="32"/>
        </w:rPr>
        <w:t>每日闭市后结算前，</w:t>
      </w:r>
      <w:r>
        <w:rPr>
          <w:rFonts w:eastAsia="仿宋" w:hint="eastAsia"/>
          <w:color w:val="000000"/>
          <w:sz w:val="32"/>
          <w:szCs w:val="32"/>
        </w:rPr>
        <w:t>系统</w:t>
      </w:r>
      <w:r w:rsidRPr="00793346">
        <w:rPr>
          <w:rFonts w:eastAsia="仿宋" w:hint="eastAsia"/>
          <w:color w:val="000000"/>
          <w:sz w:val="32"/>
          <w:szCs w:val="32"/>
        </w:rPr>
        <w:t>先将</w:t>
      </w:r>
      <w:r>
        <w:rPr>
          <w:rFonts w:eastAsia="仿宋" w:hint="eastAsia"/>
          <w:color w:val="000000"/>
          <w:sz w:val="32"/>
          <w:szCs w:val="32"/>
        </w:rPr>
        <w:t>投资者</w:t>
      </w:r>
      <w:r w:rsidRPr="00793346">
        <w:rPr>
          <w:rFonts w:eastAsia="仿宋" w:hint="eastAsia"/>
          <w:color w:val="000000"/>
          <w:sz w:val="32"/>
          <w:szCs w:val="32"/>
        </w:rPr>
        <w:t>已有的备兑组合进行拆分，</w:t>
      </w:r>
      <w:r>
        <w:rPr>
          <w:rFonts w:eastAsia="仿宋" w:hint="eastAsia"/>
          <w:color w:val="000000"/>
          <w:sz w:val="32"/>
          <w:szCs w:val="32"/>
        </w:rPr>
        <w:t>拆解后的期货、期权单腿持仓</w:t>
      </w:r>
      <w:r w:rsidRPr="00793346">
        <w:rPr>
          <w:rFonts w:eastAsia="仿宋" w:hint="eastAsia"/>
          <w:color w:val="000000"/>
          <w:sz w:val="32"/>
          <w:szCs w:val="32"/>
        </w:rPr>
        <w:t>参与对冲，</w:t>
      </w:r>
      <w:r>
        <w:rPr>
          <w:rFonts w:eastAsia="仿宋" w:hint="eastAsia"/>
          <w:color w:val="000000"/>
          <w:sz w:val="32"/>
          <w:szCs w:val="32"/>
        </w:rPr>
        <w:t>对</w:t>
      </w:r>
      <w:proofErr w:type="gramStart"/>
      <w:r>
        <w:rPr>
          <w:rFonts w:eastAsia="仿宋" w:hint="eastAsia"/>
          <w:color w:val="000000"/>
          <w:sz w:val="32"/>
          <w:szCs w:val="32"/>
        </w:rPr>
        <w:t>冲完成</w:t>
      </w:r>
      <w:proofErr w:type="gramEnd"/>
      <w:r>
        <w:rPr>
          <w:rFonts w:eastAsia="仿宋" w:hint="eastAsia"/>
          <w:color w:val="000000"/>
          <w:sz w:val="32"/>
          <w:szCs w:val="32"/>
        </w:rPr>
        <w:t>后如有剩余持仓符合备兑组合条件，则由系统</w:t>
      </w:r>
      <w:r w:rsidRPr="00793346">
        <w:rPr>
          <w:rFonts w:eastAsia="仿宋" w:hint="eastAsia"/>
          <w:color w:val="000000"/>
          <w:sz w:val="32"/>
          <w:szCs w:val="32"/>
        </w:rPr>
        <w:t>将剩余持仓</w:t>
      </w:r>
      <w:r>
        <w:rPr>
          <w:rFonts w:eastAsia="仿宋" w:hint="eastAsia"/>
          <w:color w:val="000000"/>
          <w:sz w:val="32"/>
          <w:szCs w:val="32"/>
        </w:rPr>
        <w:t>再自动确认为备兑组合</w:t>
      </w:r>
      <w:r w:rsidRPr="00793346">
        <w:rPr>
          <w:rFonts w:eastAsia="仿宋" w:hint="eastAsia"/>
          <w:color w:val="000000"/>
          <w:sz w:val="32"/>
          <w:szCs w:val="32"/>
        </w:rPr>
        <w:t>。</w:t>
      </w:r>
    </w:p>
    <w:p w:rsidR="00626D22" w:rsidRPr="00BD1D21" w:rsidRDefault="00626D22" w:rsidP="00626D22">
      <w:pPr>
        <w:ind w:firstLineChars="200" w:firstLine="640"/>
        <w:jc w:val="left"/>
        <w:outlineLvl w:val="0"/>
        <w:rPr>
          <w:rFonts w:ascii="黑体" w:eastAsia="黑体" w:hAnsi="黑体"/>
          <w:color w:val="000000"/>
          <w:sz w:val="32"/>
          <w:szCs w:val="32"/>
        </w:rPr>
      </w:pPr>
      <w:r w:rsidRPr="00BD1D21">
        <w:rPr>
          <w:rFonts w:ascii="黑体" w:eastAsia="黑体" w:hAnsi="黑体" w:hint="eastAsia"/>
          <w:color w:val="000000"/>
          <w:sz w:val="32"/>
          <w:szCs w:val="32"/>
        </w:rPr>
        <w:t>二、会员服务系统功能展示</w:t>
      </w:r>
    </w:p>
    <w:p w:rsidR="00626D22" w:rsidRPr="00DD29F7" w:rsidRDefault="00626D22" w:rsidP="00626D22">
      <w:pPr>
        <w:ind w:firstLineChars="200" w:firstLine="640"/>
        <w:outlineLvl w:val="0"/>
        <w:rPr>
          <w:rFonts w:ascii="楷体" w:eastAsia="楷体" w:hAnsi="楷体"/>
          <w:color w:val="000000"/>
          <w:sz w:val="32"/>
          <w:szCs w:val="32"/>
        </w:rPr>
      </w:pPr>
      <w:r w:rsidRPr="00DD29F7">
        <w:rPr>
          <w:rFonts w:ascii="楷体" w:eastAsia="楷体" w:hAnsi="楷体" w:hint="eastAsia"/>
          <w:color w:val="000000"/>
          <w:sz w:val="32"/>
          <w:szCs w:val="32"/>
        </w:rPr>
        <w:t>（一）新增</w:t>
      </w:r>
      <w:proofErr w:type="gramStart"/>
      <w:r w:rsidRPr="00DD29F7">
        <w:rPr>
          <w:rFonts w:ascii="楷体" w:eastAsia="楷体" w:hAnsi="楷体" w:hint="eastAsia"/>
          <w:color w:val="000000"/>
          <w:sz w:val="32"/>
          <w:szCs w:val="32"/>
        </w:rPr>
        <w:t>菜单</w:t>
      </w:r>
      <w:r>
        <w:rPr>
          <w:rFonts w:ascii="楷体" w:eastAsia="楷体" w:hAnsi="楷体" w:hint="eastAsia"/>
          <w:color w:val="000000"/>
          <w:sz w:val="32"/>
          <w:szCs w:val="32"/>
        </w:rPr>
        <w:t>勾选框</w:t>
      </w:r>
      <w:proofErr w:type="gramEnd"/>
    </w:p>
    <w:p w:rsidR="00626D22" w:rsidRPr="001A5CA9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E4C96">
        <w:rPr>
          <w:rFonts w:ascii="仿宋" w:eastAsia="仿宋" w:hAnsi="仿宋" w:hint="eastAsia"/>
          <w:color w:val="000000"/>
          <w:sz w:val="32"/>
          <w:szCs w:val="32"/>
        </w:rPr>
        <w:t>在会员服务系统“指定交易编码对冲”菜单下增加“拆备兑组合参与自动对冲”</w:t>
      </w:r>
      <w:proofErr w:type="gramStart"/>
      <w:r w:rsidRPr="00FE4C96">
        <w:rPr>
          <w:rFonts w:ascii="仿宋" w:eastAsia="仿宋" w:hAnsi="仿宋" w:hint="eastAsia"/>
          <w:color w:val="000000"/>
          <w:sz w:val="32"/>
          <w:szCs w:val="32"/>
        </w:rPr>
        <w:t>功能勾选框</w:t>
      </w:r>
      <w:proofErr w:type="gramEnd"/>
      <w:r w:rsidRPr="00FE4C96"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000000"/>
          <w:sz w:val="32"/>
          <w:szCs w:val="32"/>
        </w:rPr>
        <w:t>投资者委托会员通过会员服务系统进行“</w:t>
      </w:r>
      <w:r w:rsidRPr="00FE4C96">
        <w:rPr>
          <w:rFonts w:ascii="仿宋" w:eastAsia="仿宋" w:hAnsi="仿宋" w:hint="eastAsia"/>
          <w:color w:val="000000"/>
          <w:sz w:val="32"/>
          <w:szCs w:val="32"/>
        </w:rPr>
        <w:t>拆备兑组合参与自动对冲</w:t>
      </w:r>
      <w:r>
        <w:rPr>
          <w:rFonts w:ascii="仿宋" w:eastAsia="仿宋" w:hAnsi="仿宋" w:hint="eastAsia"/>
          <w:color w:val="000000"/>
          <w:sz w:val="32"/>
          <w:szCs w:val="32"/>
        </w:rPr>
        <w:t>”的开通和解除。该功能为非必选项，需在开通“指定交易编码对冲”功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能后方可选择开通此项功能。功能申请开通和解除时间为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交易日</w:t>
      </w:r>
      <w:r w:rsidRPr="00192990">
        <w:rPr>
          <w:rFonts w:ascii="仿宋" w:eastAsia="仿宋" w:hAnsi="仿宋"/>
          <w:b/>
          <w:color w:val="000000"/>
          <w:sz w:val="32"/>
          <w:szCs w:val="32"/>
        </w:rPr>
        <w:t>9:00-15:00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26D22" w:rsidRPr="00DD29F7" w:rsidRDefault="00626D22" w:rsidP="00626D22">
      <w:pPr>
        <w:ind w:firstLineChars="200" w:firstLine="640"/>
        <w:outlineLvl w:val="0"/>
        <w:rPr>
          <w:rFonts w:ascii="楷体" w:eastAsia="楷体" w:hAnsi="楷体"/>
          <w:color w:val="000000"/>
          <w:sz w:val="32"/>
          <w:szCs w:val="32"/>
        </w:rPr>
      </w:pPr>
      <w:r w:rsidRPr="00DD29F7">
        <w:rPr>
          <w:rFonts w:ascii="楷体" w:eastAsia="楷体" w:hAnsi="楷体" w:hint="eastAsia"/>
          <w:color w:val="000000"/>
          <w:sz w:val="32"/>
          <w:szCs w:val="32"/>
        </w:rPr>
        <w:t>（二）设置方式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在会员服务系统“指定交易编码对冲”界面，弹出录入功能界面后，点击“拆备兑组合参与自动对冲”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功能勾选框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，点击提交功能申请后可查看申请状态，盘中查看显示“未生效”（图1），</w:t>
      </w:r>
      <w:r w:rsidRPr="00F0728A">
        <w:rPr>
          <w:rFonts w:ascii="仿宋" w:eastAsia="仿宋" w:hAnsi="仿宋" w:hint="eastAsia"/>
          <w:sz w:val="32"/>
          <w:szCs w:val="32"/>
        </w:rPr>
        <w:t>结算后</w:t>
      </w:r>
      <w:r>
        <w:rPr>
          <w:rFonts w:ascii="仿宋" w:eastAsia="仿宋" w:hAnsi="仿宋" w:hint="eastAsia"/>
          <w:sz w:val="32"/>
          <w:szCs w:val="32"/>
        </w:rPr>
        <w:t>可</w:t>
      </w:r>
      <w:r w:rsidRPr="00F0728A">
        <w:rPr>
          <w:rFonts w:ascii="仿宋" w:eastAsia="仿宋" w:hAnsi="仿宋" w:hint="eastAsia"/>
          <w:sz w:val="32"/>
          <w:szCs w:val="32"/>
        </w:rPr>
        <w:t>查看功能生效情况</w:t>
      </w:r>
      <w:r>
        <w:rPr>
          <w:rFonts w:ascii="仿宋" w:eastAsia="仿宋" w:hAnsi="仿宋" w:hint="eastAsia"/>
          <w:sz w:val="32"/>
          <w:szCs w:val="32"/>
        </w:rPr>
        <w:t>（图2）</w:t>
      </w:r>
      <w:r w:rsidRPr="00F0728A">
        <w:rPr>
          <w:rFonts w:ascii="仿宋" w:eastAsia="仿宋" w:hAnsi="仿宋" w:hint="eastAsia"/>
          <w:sz w:val="32"/>
          <w:szCs w:val="32"/>
        </w:rPr>
        <w:t>。</w:t>
      </w:r>
    </w:p>
    <w:p w:rsidR="00626D22" w:rsidRPr="00C406EA" w:rsidRDefault="00626D22" w:rsidP="00626D22">
      <w:pPr>
        <w:jc w:val="center"/>
        <w:rPr>
          <w:rFonts w:ascii="仿宋" w:eastAsia="仿宋" w:hAnsi="仿宋"/>
          <w:noProof/>
        </w:rPr>
      </w:pPr>
      <w:r w:rsidRPr="00C406EA">
        <w:rPr>
          <w:rFonts w:ascii="仿宋" w:eastAsia="仿宋" w:hAnsi="仿宋" w:hint="eastAsia"/>
          <w:noProof/>
        </w:rPr>
        <w:t>图1 拆备兑组合参与自动对冲</w:t>
      </w:r>
      <w:r>
        <w:rPr>
          <w:rFonts w:ascii="仿宋" w:eastAsia="仿宋" w:hAnsi="仿宋" w:hint="eastAsia"/>
          <w:noProof/>
        </w:rPr>
        <w:t>查询</w:t>
      </w:r>
      <w:r w:rsidRPr="00C406EA">
        <w:rPr>
          <w:rFonts w:ascii="仿宋" w:eastAsia="仿宋" w:hAnsi="仿宋" w:hint="eastAsia"/>
          <w:noProof/>
        </w:rPr>
        <w:t>界面</w:t>
      </w:r>
    </w:p>
    <w:p w:rsidR="00626D22" w:rsidRDefault="00626D22" w:rsidP="00626D22">
      <w:r>
        <w:rPr>
          <w:noProof/>
        </w:rPr>
        <w:drawing>
          <wp:inline distT="0" distB="0" distL="0" distR="0">
            <wp:extent cx="5273675" cy="1329055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22" w:rsidRPr="00C406EA" w:rsidRDefault="00626D22" w:rsidP="00626D22">
      <w:pPr>
        <w:jc w:val="center"/>
        <w:rPr>
          <w:rFonts w:ascii="仿宋" w:eastAsia="仿宋" w:hAnsi="仿宋"/>
          <w:noProof/>
        </w:rPr>
      </w:pPr>
      <w:r w:rsidRPr="00C406EA">
        <w:rPr>
          <w:rFonts w:ascii="仿宋" w:eastAsia="仿宋" w:hAnsi="仿宋" w:hint="eastAsia"/>
          <w:noProof/>
        </w:rPr>
        <w:t>图</w:t>
      </w:r>
      <w:r>
        <w:rPr>
          <w:rFonts w:ascii="仿宋" w:eastAsia="仿宋" w:hAnsi="仿宋" w:hint="eastAsia"/>
          <w:noProof/>
        </w:rPr>
        <w:t>2</w:t>
      </w:r>
      <w:r w:rsidRPr="00C406EA">
        <w:rPr>
          <w:rFonts w:ascii="仿宋" w:eastAsia="仿宋" w:hAnsi="仿宋" w:hint="eastAsia"/>
          <w:noProof/>
        </w:rPr>
        <w:t xml:space="preserve"> 拆备兑组合参与自动对冲</w:t>
      </w:r>
      <w:r>
        <w:rPr>
          <w:rFonts w:ascii="仿宋" w:eastAsia="仿宋" w:hAnsi="仿宋" w:hint="eastAsia"/>
          <w:noProof/>
        </w:rPr>
        <w:t>结算后</w:t>
      </w:r>
      <w:r w:rsidRPr="00C406EA">
        <w:rPr>
          <w:rFonts w:ascii="仿宋" w:eastAsia="仿宋" w:hAnsi="仿宋" w:hint="eastAsia"/>
          <w:noProof/>
        </w:rPr>
        <w:t>功能</w:t>
      </w:r>
      <w:r>
        <w:rPr>
          <w:rFonts w:ascii="仿宋" w:eastAsia="仿宋" w:hAnsi="仿宋" w:hint="eastAsia"/>
          <w:noProof/>
        </w:rPr>
        <w:t>生效</w:t>
      </w:r>
      <w:r w:rsidRPr="00C406EA">
        <w:rPr>
          <w:rFonts w:ascii="仿宋" w:eastAsia="仿宋" w:hAnsi="仿宋" w:hint="eastAsia"/>
          <w:noProof/>
        </w:rPr>
        <w:t>界面</w:t>
      </w:r>
    </w:p>
    <w:p w:rsidR="00626D22" w:rsidRDefault="00626D22" w:rsidP="00626D22">
      <w:r>
        <w:rPr>
          <w:noProof/>
        </w:rPr>
        <w:drawing>
          <wp:inline distT="0" distB="0" distL="0" distR="0">
            <wp:extent cx="5273675" cy="1073785"/>
            <wp:effectExtent l="19050" t="0" r="3175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22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该功能适用所有已开通“指定交易编码对冲”的客户，如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未开通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指定交易编码对冲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功能，则无法选择开通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拆备兑组合参与自动对冲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功能</w:t>
      </w:r>
      <w:r>
        <w:rPr>
          <w:rFonts w:ascii="仿宋" w:eastAsia="仿宋" w:hAnsi="仿宋" w:hint="eastAsia"/>
          <w:color w:val="000000"/>
          <w:sz w:val="32"/>
          <w:szCs w:val="32"/>
        </w:rPr>
        <w:t>。该新增功能与指定交易编码对冲功能一致，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盘中申请盘后生效，一次申请长期有效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品种：必选项（加星），可选择开通功能的期权品种，每个品种单独设置功能选项。品种代码升序排序，新增挂期权品种将自动增加，且需会员自行点选后生效。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期权对冲标识：必选项（加星），复选框点选，</w:t>
      </w:r>
      <w:r>
        <w:rPr>
          <w:rFonts w:ascii="仿宋" w:eastAsia="仿宋" w:hAnsi="仿宋" w:hint="eastAsia"/>
          <w:sz w:val="32"/>
          <w:szCs w:val="32"/>
        </w:rPr>
        <w:t>包括期</w:t>
      </w:r>
      <w:r>
        <w:rPr>
          <w:rFonts w:ascii="仿宋" w:eastAsia="仿宋" w:hAnsi="仿宋" w:hint="eastAsia"/>
          <w:sz w:val="32"/>
          <w:szCs w:val="32"/>
        </w:rPr>
        <w:lastRenderedPageBreak/>
        <w:t>权全部对冲（非到期日及到期日均对冲）、非到期日对冲、到期日对冲和不对冲四类。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期货对冲标识：必选项（加星），复选框点选，</w:t>
      </w:r>
      <w:r>
        <w:rPr>
          <w:rFonts w:ascii="仿宋" w:eastAsia="仿宋" w:hAnsi="仿宋" w:hint="eastAsia"/>
          <w:sz w:val="32"/>
          <w:szCs w:val="32"/>
        </w:rPr>
        <w:t>包括期权</w:t>
      </w:r>
      <w:r>
        <w:rPr>
          <w:rFonts w:ascii="仿宋" w:eastAsia="仿宋" w:hAnsi="仿宋" w:hint="eastAsia"/>
          <w:sz w:val="32"/>
        </w:rPr>
        <w:t>行权及履约后获得的</w:t>
      </w:r>
      <w:r>
        <w:rPr>
          <w:rFonts w:ascii="仿宋" w:eastAsia="仿宋" w:hAnsi="仿宋" w:hint="eastAsia"/>
          <w:sz w:val="32"/>
          <w:szCs w:val="32"/>
        </w:rPr>
        <w:t>期货对冲和不对冲两类。</w:t>
      </w:r>
    </w:p>
    <w:p w:rsidR="00626D22" w:rsidRPr="008A6891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拆备兑组合参与自动对冲（</w:t>
      </w:r>
      <w:r w:rsidRPr="00192990">
        <w:rPr>
          <w:rFonts w:ascii="仿宋" w:eastAsia="仿宋" w:hAnsi="仿宋" w:hint="eastAsia"/>
          <w:b/>
          <w:sz w:val="32"/>
          <w:szCs w:val="32"/>
        </w:rPr>
        <w:t>本次新增</w:t>
      </w:r>
      <w:r>
        <w:rPr>
          <w:rFonts w:ascii="仿宋" w:eastAsia="仿宋" w:hAnsi="仿宋" w:hint="eastAsia"/>
          <w:sz w:val="32"/>
          <w:szCs w:val="32"/>
        </w:rPr>
        <w:t>）：非必选项，默认不选，点选提交当日盘后生效。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录入完成后，点击“确定”按钮提示“操作成功”，在列表中展示，会员可查看并下载全部开通客户列表。列表展示内容见下图。</w:t>
      </w:r>
    </w:p>
    <w:p w:rsidR="00626D22" w:rsidRDefault="00626D22" w:rsidP="00626D22">
      <w:pPr>
        <w:ind w:firstLine="420"/>
        <w:jc w:val="center"/>
        <w:rPr>
          <w:rFonts w:ascii="仿宋" w:eastAsia="仿宋" w:hAnsi="仿宋"/>
          <w:color w:val="000000"/>
          <w:sz w:val="24"/>
        </w:rPr>
      </w:pPr>
      <w:r w:rsidRPr="009056FF">
        <w:rPr>
          <w:rFonts w:ascii="仿宋" w:eastAsia="仿宋" w:hAnsi="仿宋" w:hint="eastAsia"/>
          <w:color w:val="000000"/>
          <w:sz w:val="24"/>
        </w:rPr>
        <w:t>图</w:t>
      </w:r>
      <w:r>
        <w:rPr>
          <w:rFonts w:ascii="仿宋" w:eastAsia="仿宋" w:hAnsi="仿宋" w:hint="eastAsia"/>
          <w:color w:val="000000"/>
          <w:sz w:val="24"/>
        </w:rPr>
        <w:t>3 功能</w:t>
      </w:r>
      <w:r>
        <w:rPr>
          <w:rFonts w:ascii="仿宋" w:eastAsia="仿宋" w:hAnsi="仿宋" w:hint="eastAsia"/>
          <w:color w:val="000000"/>
          <w:sz w:val="24"/>
          <w:szCs w:val="32"/>
        </w:rPr>
        <w:t>录入完成</w:t>
      </w:r>
      <w:r>
        <w:rPr>
          <w:rFonts w:ascii="仿宋" w:eastAsia="仿宋" w:hAnsi="仿宋" w:hint="eastAsia"/>
          <w:color w:val="000000"/>
          <w:sz w:val="24"/>
        </w:rPr>
        <w:t>列表展示界</w:t>
      </w:r>
      <w:r w:rsidRPr="009056FF">
        <w:rPr>
          <w:rFonts w:ascii="仿宋" w:eastAsia="仿宋" w:hAnsi="仿宋" w:hint="eastAsia"/>
          <w:color w:val="000000"/>
          <w:sz w:val="24"/>
        </w:rPr>
        <w:t>面</w:t>
      </w:r>
    </w:p>
    <w:p w:rsidR="00626D22" w:rsidRPr="00B25030" w:rsidRDefault="00626D22" w:rsidP="00626D22">
      <w:pPr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noProof/>
          <w:color w:val="000000"/>
          <w:sz w:val="24"/>
        </w:rPr>
        <w:drawing>
          <wp:inline distT="0" distB="0" distL="0" distR="0">
            <wp:extent cx="5273675" cy="2296795"/>
            <wp:effectExtent l="19050" t="0" r="3175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22" w:rsidRPr="00DD29F7" w:rsidRDefault="00626D22" w:rsidP="00626D22">
      <w:pPr>
        <w:pStyle w:val="2"/>
        <w:ind w:firstLine="640"/>
        <w:outlineLvl w:val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三</w:t>
      </w:r>
      <w:r w:rsidRPr="00DD29F7">
        <w:rPr>
          <w:rFonts w:ascii="黑体" w:eastAsia="黑体" w:hAnsi="黑体" w:hint="eastAsia"/>
          <w:color w:val="000000"/>
          <w:szCs w:val="32"/>
        </w:rPr>
        <w:t>、</w:t>
      </w:r>
      <w:r>
        <w:rPr>
          <w:rFonts w:ascii="黑体" w:eastAsia="黑体" w:hAnsi="黑体" w:hint="eastAsia"/>
          <w:color w:val="000000"/>
          <w:szCs w:val="32"/>
        </w:rPr>
        <w:t>有关功能说明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作为“指定交易编码对冲”菜单下的子选项，客户已开通的期权或期货对冲功能依旧有效，对冲处理规则和对</w:t>
      </w:r>
      <w:proofErr w:type="gramStart"/>
      <w:r>
        <w:rPr>
          <w:rFonts w:ascii="仿宋" w:eastAsia="仿宋" w:hAnsi="仿宋" w:hint="eastAsia"/>
          <w:sz w:val="32"/>
          <w:szCs w:val="32"/>
        </w:rPr>
        <w:t>冲数量</w:t>
      </w:r>
      <w:proofErr w:type="gramEnd"/>
      <w:r>
        <w:rPr>
          <w:rFonts w:ascii="仿宋" w:eastAsia="仿宋" w:hAnsi="仿宋" w:hint="eastAsia"/>
          <w:sz w:val="32"/>
          <w:szCs w:val="32"/>
        </w:rPr>
        <w:t>维持不变。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如果客户开通了</w:t>
      </w:r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期权</w:t>
      </w:r>
      <w:r w:rsidRPr="00192990">
        <w:rPr>
          <w:rFonts w:ascii="仿宋" w:eastAsia="仿宋" w:hAnsi="仿宋" w:hint="eastAsia"/>
          <w:b/>
          <w:sz w:val="32"/>
          <w:szCs w:val="32"/>
        </w:rPr>
        <w:t>到期日</w:t>
      </w:r>
      <w:r>
        <w:rPr>
          <w:rFonts w:ascii="仿宋" w:eastAsia="仿宋" w:hAnsi="仿宋" w:hint="eastAsia"/>
          <w:color w:val="000000"/>
          <w:sz w:val="32"/>
          <w:szCs w:val="32"/>
        </w:rPr>
        <w:t>指定交易编码对冲，在此基础上点选“拆备兑组合参与自动对冲”功能，则只拆期权到期日的备兑组合参与对冲。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如果</w:t>
      </w:r>
      <w:r>
        <w:rPr>
          <w:rFonts w:ascii="仿宋" w:eastAsia="仿宋" w:hAnsi="仿宋" w:hint="eastAsia"/>
          <w:sz w:val="32"/>
          <w:szCs w:val="32"/>
        </w:rPr>
        <w:t>客户开通了</w:t>
      </w:r>
      <w:proofErr w:type="gramStart"/>
      <w:r w:rsidRPr="00192990">
        <w:rPr>
          <w:rFonts w:ascii="仿宋" w:eastAsia="仿宋" w:hAnsi="仿宋" w:hint="eastAsia"/>
          <w:b/>
          <w:sz w:val="32"/>
          <w:szCs w:val="32"/>
        </w:rPr>
        <w:t>期权非</w:t>
      </w:r>
      <w:proofErr w:type="gramEnd"/>
      <w:r w:rsidRPr="00192990">
        <w:rPr>
          <w:rFonts w:ascii="仿宋" w:eastAsia="仿宋" w:hAnsi="仿宋" w:hint="eastAsia"/>
          <w:b/>
          <w:sz w:val="32"/>
          <w:szCs w:val="32"/>
        </w:rPr>
        <w:t>到期日</w:t>
      </w:r>
      <w:r>
        <w:rPr>
          <w:rFonts w:ascii="仿宋" w:eastAsia="仿宋" w:hAnsi="仿宋" w:hint="eastAsia"/>
          <w:color w:val="000000"/>
          <w:sz w:val="32"/>
          <w:szCs w:val="32"/>
        </w:rPr>
        <w:t>指定交易编码对冲，在此基础上点选“拆备兑组合参与自动对冲”功能，则只在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期权非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到期日拆备兑组合参与对冲。</w:t>
      </w:r>
    </w:p>
    <w:p w:rsidR="00626D22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如果客户开通了</w:t>
      </w:r>
      <w:proofErr w:type="gramStart"/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期权非</w:t>
      </w:r>
      <w:proofErr w:type="gramEnd"/>
      <w:r w:rsidRPr="00192990">
        <w:rPr>
          <w:rFonts w:ascii="仿宋" w:eastAsia="仿宋" w:hAnsi="仿宋" w:hint="eastAsia"/>
          <w:b/>
          <w:color w:val="000000"/>
          <w:sz w:val="32"/>
          <w:szCs w:val="32"/>
        </w:rPr>
        <w:t>到期日和期权到期日</w:t>
      </w:r>
      <w:r>
        <w:rPr>
          <w:rFonts w:ascii="仿宋" w:eastAsia="仿宋" w:hAnsi="仿宋" w:hint="eastAsia"/>
          <w:color w:val="000000"/>
          <w:sz w:val="32"/>
          <w:szCs w:val="32"/>
        </w:rPr>
        <w:t>指定交易编码对冲，在此基础上点选“拆备兑组合参与自动对冲”功能，则每个交易日备兑组合都被拆解并参与对冲。</w:t>
      </w:r>
    </w:p>
    <w:p w:rsidR="00626D22" w:rsidRPr="007848A7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如果客户开通了期货指定交易编码对冲，并在此基础上点选“拆备兑组合参与自动对冲”功能，则每个交易日备兑组合都被拆解并参与对冲。</w:t>
      </w:r>
    </w:p>
    <w:p w:rsidR="00626D22" w:rsidRPr="007848A7" w:rsidRDefault="00626D22" w:rsidP="00626D2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848A7">
        <w:rPr>
          <w:rFonts w:ascii="仿宋" w:eastAsia="仿宋" w:hAnsi="仿宋" w:hint="eastAsia"/>
          <w:color w:val="000000"/>
          <w:sz w:val="32"/>
          <w:szCs w:val="32"/>
        </w:rPr>
        <w:t>指定交易编码</w:t>
      </w:r>
      <w:r>
        <w:rPr>
          <w:rFonts w:ascii="仿宋" w:eastAsia="仿宋" w:hAnsi="仿宋" w:hint="eastAsia"/>
          <w:color w:val="000000"/>
          <w:sz w:val="32"/>
          <w:szCs w:val="32"/>
        </w:rPr>
        <w:t>下</w:t>
      </w:r>
      <w:r w:rsidRPr="007848A7">
        <w:rPr>
          <w:rFonts w:ascii="仿宋" w:eastAsia="仿宋" w:hAnsi="仿宋" w:hint="eastAsia"/>
          <w:color w:val="000000"/>
          <w:sz w:val="32"/>
          <w:szCs w:val="32"/>
        </w:rPr>
        <w:t>备兑</w:t>
      </w:r>
      <w:r>
        <w:rPr>
          <w:rFonts w:ascii="仿宋" w:eastAsia="仿宋" w:hAnsi="仿宋" w:hint="eastAsia"/>
          <w:color w:val="000000"/>
          <w:sz w:val="32"/>
          <w:szCs w:val="32"/>
        </w:rPr>
        <w:t>组合</w:t>
      </w:r>
      <w:r w:rsidRPr="007848A7">
        <w:rPr>
          <w:rFonts w:ascii="仿宋" w:eastAsia="仿宋" w:hAnsi="仿宋" w:hint="eastAsia"/>
          <w:color w:val="000000"/>
          <w:sz w:val="32"/>
          <w:szCs w:val="32"/>
        </w:rPr>
        <w:t>分拆为期权单腿和</w:t>
      </w:r>
      <w:proofErr w:type="gramStart"/>
      <w:r w:rsidRPr="007848A7">
        <w:rPr>
          <w:rFonts w:ascii="仿宋" w:eastAsia="仿宋" w:hAnsi="仿宋" w:hint="eastAsia"/>
          <w:color w:val="000000"/>
          <w:sz w:val="32"/>
          <w:szCs w:val="32"/>
        </w:rPr>
        <w:t>期货单腿参与</w:t>
      </w:r>
      <w:proofErr w:type="gramEnd"/>
      <w:r w:rsidRPr="007848A7">
        <w:rPr>
          <w:rFonts w:ascii="仿宋" w:eastAsia="仿宋" w:hAnsi="仿宋" w:hint="eastAsia"/>
          <w:color w:val="000000"/>
          <w:sz w:val="32"/>
          <w:szCs w:val="32"/>
        </w:rPr>
        <w:t>自动对冲，对冲后剩余的持仓按顺序会依次参与行权、</w:t>
      </w:r>
      <w:proofErr w:type="gramStart"/>
      <w:r w:rsidRPr="007848A7">
        <w:rPr>
          <w:rFonts w:ascii="仿宋" w:eastAsia="仿宋" w:hAnsi="仿宋" w:hint="eastAsia"/>
          <w:color w:val="000000"/>
          <w:sz w:val="32"/>
          <w:szCs w:val="32"/>
        </w:rPr>
        <w:t>期转现</w:t>
      </w:r>
      <w:proofErr w:type="gramEnd"/>
      <w:r w:rsidRPr="007848A7">
        <w:rPr>
          <w:rFonts w:ascii="仿宋" w:eastAsia="仿宋" w:hAnsi="仿宋" w:hint="eastAsia"/>
          <w:color w:val="000000"/>
          <w:sz w:val="32"/>
          <w:szCs w:val="32"/>
        </w:rPr>
        <w:t>、期货交割配对、手工确认的组合持仓（跨期、跨品种、跨式</w:t>
      </w:r>
      <w:proofErr w:type="gramStart"/>
      <w:r w:rsidRPr="007848A7">
        <w:rPr>
          <w:rFonts w:ascii="仿宋" w:eastAsia="仿宋" w:hAnsi="仿宋" w:hint="eastAsia"/>
          <w:color w:val="000000"/>
          <w:sz w:val="32"/>
          <w:szCs w:val="32"/>
        </w:rPr>
        <w:t>和宽跨式</w:t>
      </w:r>
      <w:proofErr w:type="gramEnd"/>
      <w:r w:rsidRPr="007848A7">
        <w:rPr>
          <w:rFonts w:ascii="仿宋" w:eastAsia="仿宋" w:hAnsi="仿宋" w:hint="eastAsia"/>
          <w:color w:val="000000"/>
          <w:sz w:val="32"/>
          <w:szCs w:val="32"/>
        </w:rPr>
        <w:t>组合）配对以及</w:t>
      </w:r>
      <w:proofErr w:type="gramStart"/>
      <w:r w:rsidRPr="007848A7">
        <w:rPr>
          <w:rFonts w:ascii="仿宋" w:eastAsia="仿宋" w:hAnsi="仿宋" w:hint="eastAsia"/>
          <w:color w:val="000000"/>
          <w:sz w:val="32"/>
          <w:szCs w:val="32"/>
        </w:rPr>
        <w:t>投机转套保</w:t>
      </w:r>
      <w:proofErr w:type="gramEnd"/>
      <w:r w:rsidRPr="007848A7">
        <w:rPr>
          <w:rFonts w:ascii="仿宋" w:eastAsia="仿宋" w:hAnsi="仿宋" w:hint="eastAsia"/>
          <w:color w:val="000000"/>
          <w:sz w:val="32"/>
          <w:szCs w:val="32"/>
        </w:rPr>
        <w:t>处理等，依旧维持先</w:t>
      </w:r>
      <w:proofErr w:type="gramStart"/>
      <w:r w:rsidRPr="007848A7">
        <w:rPr>
          <w:rFonts w:ascii="仿宋" w:eastAsia="仿宋" w:hAnsi="仿宋" w:hint="eastAsia"/>
          <w:color w:val="000000"/>
          <w:sz w:val="32"/>
          <w:szCs w:val="32"/>
        </w:rPr>
        <w:t>建仓先</w:t>
      </w:r>
      <w:proofErr w:type="gramEnd"/>
      <w:r w:rsidRPr="007848A7">
        <w:rPr>
          <w:rFonts w:ascii="仿宋" w:eastAsia="仿宋" w:hAnsi="仿宋" w:hint="eastAsia"/>
          <w:color w:val="000000"/>
          <w:sz w:val="32"/>
          <w:szCs w:val="32"/>
        </w:rPr>
        <w:t>处理的原则，可能会动用</w:t>
      </w:r>
      <w:r>
        <w:rPr>
          <w:rFonts w:ascii="仿宋" w:eastAsia="仿宋" w:hAnsi="仿宋" w:hint="eastAsia"/>
          <w:color w:val="000000"/>
          <w:sz w:val="32"/>
          <w:szCs w:val="32"/>
        </w:rPr>
        <w:t>备兑</w:t>
      </w:r>
      <w:r w:rsidRPr="00192990">
        <w:rPr>
          <w:rFonts w:ascii="仿宋" w:eastAsia="仿宋" w:hAnsi="仿宋" w:hint="eastAsia"/>
          <w:color w:val="000000"/>
          <w:sz w:val="32"/>
          <w:szCs w:val="32"/>
        </w:rPr>
        <w:t>组合</w:t>
      </w:r>
      <w:r w:rsidRPr="007848A7">
        <w:rPr>
          <w:rFonts w:ascii="仿宋" w:eastAsia="仿宋" w:hAnsi="仿宋" w:hint="eastAsia"/>
          <w:color w:val="000000"/>
          <w:sz w:val="32"/>
          <w:szCs w:val="32"/>
        </w:rPr>
        <w:t>拆分出的单腿持仓。</w:t>
      </w:r>
    </w:p>
    <w:p w:rsidR="00873AA3" w:rsidRPr="00626D22" w:rsidRDefault="00873AA3"/>
    <w:sectPr w:rsidR="00873AA3" w:rsidRPr="00626D22" w:rsidSect="00570A87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02" w:rsidRDefault="00626D22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702" w:rsidRDefault="00626D22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D22"/>
    <w:rsid w:val="00626D22"/>
    <w:rsid w:val="0087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26D2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6D22"/>
  </w:style>
  <w:style w:type="paragraph" w:customStyle="1" w:styleId="2">
    <w:name w:val="列出段落2"/>
    <w:basedOn w:val="a"/>
    <w:uiPriority w:val="99"/>
    <w:unhideWhenUsed/>
    <w:qFormat/>
    <w:rsid w:val="00626D22"/>
    <w:pPr>
      <w:ind w:firstLineChars="200" w:firstLine="420"/>
    </w:pPr>
    <w:rPr>
      <w:rFonts w:ascii="Calibri" w:eastAsia="仿宋" w:hAnsi="Calibri"/>
      <w:sz w:val="3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626D2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26D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819</Characters>
  <Application>Microsoft Office Word</Application>
  <DocSecurity>0</DocSecurity>
  <Lines>63</Lines>
  <Paragraphs>65</Paragraphs>
  <ScaleCrop>false</ScaleCrop>
  <Company>Lenovo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2021-11-08T07:45:00Z</dcterms:created>
  <dcterms:modified xsi:type="dcterms:W3CDTF">2021-11-08T07:45:00Z</dcterms:modified>
</cp:coreProperties>
</file>