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B5" w:rsidRDefault="005477B5" w:rsidP="005477B5">
      <w:pPr>
        <w:widowControl/>
        <w:jc w:val="left"/>
        <w:rPr>
          <w:rFonts w:ascii="宋体" w:hAnsi="宋体"/>
          <w:sz w:val="24"/>
        </w:rPr>
      </w:pPr>
      <w:r w:rsidRPr="007E2C94">
        <w:rPr>
          <w:rFonts w:ascii="黑体" w:eastAsia="黑体" w:hAnsi="黑体" w:cs="仿宋" w:hint="eastAsia"/>
          <w:sz w:val="32"/>
          <w:szCs w:val="32"/>
        </w:rPr>
        <w:t>附件</w:t>
      </w:r>
      <w:r>
        <w:rPr>
          <w:rFonts w:ascii="黑体" w:eastAsia="黑体" w:hAnsi="黑体" w:cs="仿宋"/>
          <w:sz w:val="32"/>
          <w:szCs w:val="32"/>
        </w:rPr>
        <w:t>4</w:t>
      </w:r>
    </w:p>
    <w:p w:rsidR="005477B5" w:rsidRPr="002A79B1" w:rsidRDefault="005477B5" w:rsidP="005477B5">
      <w:pPr>
        <w:widowControl/>
        <w:spacing w:line="360" w:lineRule="auto"/>
        <w:jc w:val="center"/>
        <w:outlineLvl w:val="3"/>
        <w:rPr>
          <w:rFonts w:ascii="宋体" w:hAnsi="宋体"/>
          <w:b/>
          <w:sz w:val="44"/>
          <w:szCs w:val="36"/>
        </w:rPr>
      </w:pPr>
      <w:r w:rsidRPr="002A79B1">
        <w:rPr>
          <w:rFonts w:ascii="宋体" w:hAnsi="宋体" w:hint="eastAsia"/>
          <w:b/>
          <w:sz w:val="44"/>
          <w:szCs w:val="36"/>
        </w:rPr>
        <w:t>郑州商品交易所期货交易风险控制管理办法</w:t>
      </w:r>
      <w:r w:rsidRPr="00126C0F">
        <w:rPr>
          <w:rFonts w:ascii="宋体" w:hAnsi="宋体" w:hint="eastAsia"/>
          <w:b/>
          <w:sz w:val="44"/>
          <w:szCs w:val="44"/>
        </w:rPr>
        <w:t>（修订草案征求意见稿）</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第一章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总则</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期货交易风险管理实行保证金制度、涨跌停板制度、限仓制度、交易限额制度、大户报告制度、强行平仓制度、风险警示制度。</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保证金制度</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期货交易实行保证金制度。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w:t>
      </w:r>
      <w:r w:rsidRPr="002A79B1">
        <w:rPr>
          <w:rStyle w:val="a6"/>
          <w:rFonts w:ascii="宋体" w:hAnsi="宋体" w:cs="宋体"/>
          <w:kern w:val="0"/>
          <w:sz w:val="28"/>
          <w:szCs w:val="28"/>
        </w:rPr>
        <w:footnoteReference w:id="2"/>
      </w:r>
      <w:r w:rsidRPr="002A79B1">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5477B5" w:rsidRPr="002A79B1" w:rsidTr="00511E62">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spacing w:line="500" w:lineRule="exact"/>
              <w:jc w:val="center"/>
              <w:rPr>
                <w:rFonts w:ascii="宋体"/>
                <w:bCs/>
                <w:kern w:val="0"/>
                <w:sz w:val="24"/>
              </w:rPr>
            </w:pPr>
            <w:r w:rsidRPr="002A79B1">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spacing w:line="500" w:lineRule="exact"/>
              <w:jc w:val="center"/>
              <w:rPr>
                <w:rFonts w:ascii="宋体"/>
                <w:kern w:val="0"/>
                <w:sz w:val="28"/>
                <w:szCs w:val="28"/>
              </w:rPr>
            </w:pPr>
            <w:r w:rsidRPr="002A79B1">
              <w:rPr>
                <w:rFonts w:ascii="宋体" w:hAnsi="宋体" w:cs="宋体" w:hint="eastAsia"/>
                <w:bCs/>
                <w:kern w:val="0"/>
                <w:sz w:val="24"/>
              </w:rPr>
              <w:t>最低交易保证金标准</w:t>
            </w:r>
          </w:p>
        </w:tc>
      </w:tr>
      <w:tr w:rsidR="005477B5" w:rsidRPr="002A79B1" w:rsidTr="00511E62">
        <w:tc>
          <w:tcPr>
            <w:tcW w:w="5637"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jc w:val="center"/>
              <w:rPr>
                <w:rFonts w:ascii="宋体"/>
                <w:kern w:val="0"/>
                <w:sz w:val="16"/>
                <w:szCs w:val="16"/>
              </w:rPr>
            </w:pPr>
            <w:r>
              <w:rPr>
                <w:rFonts w:ascii="宋体" w:hAnsi="宋体" w:cs="宋体" w:hint="eastAsia"/>
                <w:kern w:val="0"/>
                <w:sz w:val="24"/>
              </w:rPr>
              <w:t>普麦、强麦、</w:t>
            </w:r>
            <w:r w:rsidRPr="002A79B1">
              <w:rPr>
                <w:rFonts w:ascii="宋体" w:hAnsi="宋体" w:cs="宋体" w:hint="eastAsia"/>
                <w:kern w:val="0"/>
                <w:sz w:val="24"/>
              </w:rPr>
              <w:t>棉</w:t>
            </w:r>
            <w:r>
              <w:rPr>
                <w:rFonts w:ascii="宋体" w:hAnsi="宋体" w:cs="宋体" w:hint="eastAsia"/>
                <w:kern w:val="0"/>
                <w:sz w:val="24"/>
              </w:rPr>
              <w:t>花</w:t>
            </w:r>
            <w:r w:rsidRPr="002A79B1">
              <w:rPr>
                <w:rFonts w:ascii="宋体" w:hAnsi="宋体" w:cs="宋体" w:hint="eastAsia"/>
                <w:kern w:val="0"/>
                <w:sz w:val="24"/>
              </w:rPr>
              <w:t>、菜油、菜籽、菜粕、动力煤、早籼稻、晚籼稻</w:t>
            </w:r>
            <w:r w:rsidRPr="002A79B1">
              <w:rPr>
                <w:rFonts w:ascii="宋体" w:hAnsi="宋体" w:hint="eastAsia"/>
                <w:bCs/>
                <w:sz w:val="24"/>
              </w:rPr>
              <w:t>、粳稻、甲醇</w:t>
            </w:r>
            <w:r w:rsidRPr="002A79B1">
              <w:rPr>
                <w:rFonts w:ascii="宋体" w:hAnsi="宋体" w:hint="eastAsia"/>
                <w:sz w:val="24"/>
              </w:rPr>
              <w:t>、硅铁、锰硅、</w:t>
            </w:r>
            <w:r w:rsidRPr="002A79B1">
              <w:rPr>
                <w:rFonts w:ascii="宋体" w:hAnsi="宋体" w:cs="宋体" w:hint="eastAsia"/>
                <w:kern w:val="0"/>
                <w:sz w:val="24"/>
              </w:rPr>
              <w:t>白糖、PTA、玻璃、棉纱、尿素、纯碱</w:t>
            </w:r>
            <w:r w:rsidRPr="00D603F9">
              <w:rPr>
                <w:rFonts w:ascii="宋体" w:hAnsi="宋体" w:cs="宋体" w:hint="eastAsia"/>
                <w:kern w:val="0"/>
                <w:sz w:val="24"/>
                <w:shd w:val="pct15" w:color="auto" w:fill="FFFFFF"/>
              </w:rPr>
              <w:t>、短纤</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spacing w:line="500" w:lineRule="exact"/>
              <w:jc w:val="center"/>
              <w:rPr>
                <w:rFonts w:ascii="宋体"/>
                <w:kern w:val="0"/>
                <w:sz w:val="28"/>
                <w:szCs w:val="28"/>
              </w:rPr>
            </w:pPr>
            <w:r w:rsidRPr="002A79B1">
              <w:rPr>
                <w:rFonts w:ascii="宋体" w:hAnsi="宋体" w:cs="宋体" w:hint="eastAsia"/>
                <w:kern w:val="0"/>
                <w:sz w:val="24"/>
              </w:rPr>
              <w:t>5%</w:t>
            </w:r>
          </w:p>
        </w:tc>
      </w:tr>
      <w:tr w:rsidR="005477B5" w:rsidRPr="002A79B1" w:rsidTr="00511E62">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jc w:val="center"/>
              <w:rPr>
                <w:rFonts w:ascii="宋体" w:hAnsi="宋体" w:cs="宋体"/>
                <w:kern w:val="0"/>
                <w:sz w:val="24"/>
              </w:rPr>
            </w:pPr>
            <w:r w:rsidRPr="002A79B1">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5477B5" w:rsidRPr="002A79B1" w:rsidRDefault="005477B5" w:rsidP="00511E62">
            <w:pPr>
              <w:snapToGrid w:val="0"/>
              <w:jc w:val="center"/>
              <w:rPr>
                <w:rFonts w:ascii="宋体" w:hAnsi="宋体" w:cs="宋体"/>
                <w:kern w:val="0"/>
                <w:sz w:val="24"/>
              </w:rPr>
            </w:pPr>
            <w:r w:rsidRPr="002A79B1">
              <w:rPr>
                <w:rFonts w:ascii="宋体" w:hAnsi="宋体" w:cs="宋体" w:hint="eastAsia"/>
                <w:kern w:val="0"/>
                <w:sz w:val="24"/>
              </w:rPr>
              <w:t>7%</w:t>
            </w:r>
          </w:p>
        </w:tc>
      </w:tr>
    </w:tbl>
    <w:p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期货合约的交易保证金标准按照该期货合约上市交易的</w:t>
      </w:r>
      <w:r w:rsidRPr="002A79B1">
        <w:rPr>
          <w:rFonts w:ascii="宋体" w:hAnsi="宋体" w:cs="宋体" w:hint="eastAsia"/>
          <w:kern w:val="0"/>
          <w:sz w:val="28"/>
          <w:szCs w:val="28"/>
        </w:rPr>
        <w:lastRenderedPageBreak/>
        <w:t>时间分期间依次管理，除苹果、红枣外，各期间交易保证金标准见下表：</w:t>
      </w:r>
    </w:p>
    <w:tbl>
      <w:tblPr>
        <w:tblW w:w="8506" w:type="dxa"/>
        <w:tblInd w:w="-34" w:type="dxa"/>
        <w:tblLook w:val="04A0"/>
      </w:tblPr>
      <w:tblGrid>
        <w:gridCol w:w="5326"/>
        <w:gridCol w:w="3180"/>
      </w:tblGrid>
      <w:tr w:rsidR="005477B5" w:rsidRPr="002A79B1"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rsidTr="00511E62">
        <w:trPr>
          <w:trHeight w:val="624"/>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5%</w:t>
            </w:r>
          </w:p>
        </w:tc>
      </w:tr>
      <w:tr w:rsidR="005477B5" w:rsidRPr="002A79B1" w:rsidTr="00511E62">
        <w:trPr>
          <w:trHeight w:val="624"/>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rsidTr="00511E62">
        <w:trPr>
          <w:trHeight w:val="312"/>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5477B5" w:rsidRPr="002A79B1"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rsidTr="00511E62">
        <w:trPr>
          <w:trHeight w:val="624"/>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7%</w:t>
            </w:r>
          </w:p>
        </w:tc>
      </w:tr>
      <w:tr w:rsidR="005477B5" w:rsidRPr="002A79B1" w:rsidTr="00511E62">
        <w:trPr>
          <w:trHeight w:val="624"/>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rsidTr="00511E62">
        <w:trPr>
          <w:trHeight w:val="312"/>
        </w:trPr>
        <w:tc>
          <w:tcPr>
            <w:tcW w:w="5326" w:type="dxa"/>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rsidR="005477B5" w:rsidRPr="002A79B1" w:rsidRDefault="005477B5" w:rsidP="005477B5">
      <w:pPr>
        <w:snapToGrid w:val="0"/>
        <w:spacing w:before="240" w:line="360" w:lineRule="auto"/>
        <w:ind w:firstLineChars="200" w:firstLine="560"/>
        <w:rPr>
          <w:rFonts w:ascii="宋体" w:hAnsi="宋体" w:cs="宋体"/>
          <w:kern w:val="0"/>
          <w:sz w:val="28"/>
          <w:szCs w:val="28"/>
        </w:rPr>
      </w:pPr>
      <w:r w:rsidRPr="002A79B1">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5477B5" w:rsidRPr="002A79B1" w:rsidTr="00511E62">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交易保证金标准</w:t>
            </w:r>
          </w:p>
        </w:tc>
      </w:tr>
      <w:tr w:rsidR="005477B5" w:rsidRPr="002A79B1" w:rsidTr="00511E62">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7%</w:t>
            </w:r>
          </w:p>
        </w:tc>
      </w:tr>
      <w:tr w:rsidR="005477B5" w:rsidRPr="002A79B1" w:rsidTr="00511E62">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10%</w:t>
            </w:r>
          </w:p>
        </w:tc>
      </w:tr>
      <w:tr w:rsidR="005477B5" w:rsidRPr="002A79B1" w:rsidTr="00511E62">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15%</w:t>
            </w:r>
          </w:p>
        </w:tc>
      </w:tr>
      <w:tr w:rsidR="005477B5" w:rsidRPr="002A79B1" w:rsidTr="00511E62">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宋体" w:hint="eastAsia"/>
                <w:kern w:val="0"/>
                <w:sz w:val="24"/>
              </w:rPr>
              <w:t>20%</w:t>
            </w:r>
          </w:p>
        </w:tc>
      </w:tr>
    </w:tbl>
    <w:p w:rsidR="005477B5" w:rsidRPr="002A79B1" w:rsidRDefault="005477B5" w:rsidP="005477B5">
      <w:pPr>
        <w:snapToGrid w:val="0"/>
        <w:spacing w:line="360" w:lineRule="auto"/>
        <w:rPr>
          <w:rFonts w:ascii="宋体" w:hAnsi="宋体" w:cs="宋体"/>
          <w:kern w:val="0"/>
          <w:sz w:val="28"/>
          <w:szCs w:val="28"/>
        </w:rPr>
      </w:pP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5477B5" w:rsidRPr="002A79B1" w:rsidRDefault="005477B5" w:rsidP="005477B5">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N的计算公式如下：</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N＝(P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×100%   t=4，5</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0</w:t>
      </w:r>
      <w:r w:rsidRPr="002A79B1">
        <w:rPr>
          <w:rFonts w:ascii="宋体" w:hAnsi="宋体" w:cs="宋体" w:hint="eastAsia"/>
          <w:kern w:val="0"/>
          <w:sz w:val="28"/>
          <w:szCs w:val="28"/>
        </w:rPr>
        <w:t>为D1交易日前一交易日结算价</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P</w:t>
      </w:r>
      <w:r w:rsidRPr="002A79B1">
        <w:rPr>
          <w:rFonts w:ascii="宋体" w:hAnsi="宋体" w:cs="宋体" w:hint="eastAsia"/>
          <w:kern w:val="0"/>
          <w:sz w:val="28"/>
          <w:szCs w:val="28"/>
          <w:vertAlign w:val="subscript"/>
        </w:rPr>
        <w:t>t</w:t>
      </w:r>
      <w:r w:rsidRPr="002A79B1">
        <w:rPr>
          <w:rFonts w:ascii="宋体" w:hAnsi="宋体" w:cs="宋体" w:hint="eastAsia"/>
          <w:kern w:val="0"/>
          <w:sz w:val="28"/>
          <w:szCs w:val="28"/>
        </w:rPr>
        <w:t>为t交易日结算价，t=4，5</w:t>
      </w:r>
    </w:p>
    <w:p w:rsidR="005477B5" w:rsidRPr="002A79B1" w:rsidRDefault="005477B5" w:rsidP="005477B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遇法定节假日休市时间较长的，交易所可以在休市前调整期货合约交易保证金标准和涨跌停板幅度。</w:t>
      </w:r>
    </w:p>
    <w:p w:rsidR="005477B5" w:rsidRPr="002A79B1" w:rsidRDefault="005477B5" w:rsidP="005477B5">
      <w:pPr>
        <w:snapToGrid w:val="0"/>
        <w:spacing w:line="360" w:lineRule="auto"/>
        <w:ind w:firstLineChars="198" w:firstLine="554"/>
        <w:rPr>
          <w:rFonts w:ascii="宋体" w:hAnsi="宋体" w:cs="宋体"/>
          <w:kern w:val="0"/>
          <w:sz w:val="28"/>
          <w:szCs w:val="28"/>
        </w:rPr>
      </w:pPr>
      <w:r w:rsidRPr="002A79B1">
        <w:rPr>
          <w:rFonts w:ascii="宋体" w:eastAsia="黑体" w:hAnsi="宋体" w:cs="宋体" w:hint="eastAsia"/>
          <w:kern w:val="0"/>
          <w:sz w:val="28"/>
          <w:szCs w:val="28"/>
        </w:rPr>
        <w:t>第十条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某期货合约市场风险明显增大时，交易所可根据某期货合约市场风险情况采取下列措施：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（一）对全部或者部分会员、境外经纪机构、客户限制出入金；</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（二）对全部或者部分非期货公司会员、客户限制开平仓；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（三）调整该期货合约交易保证金标准；</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（四）调整该期货合约涨跌停板幅度。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当某期货合约市场行情趋于平缓时，交易所可以将上述措施恢复到正常水平。</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交易所调整交易保证金标准或者涨跌停板幅度的，应予公告，并报中国证监会备案。</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同时适用本办法规定的两种或者两种以上有关调整交</w:t>
      </w:r>
      <w:r w:rsidRPr="002A79B1">
        <w:rPr>
          <w:rFonts w:ascii="宋体" w:hAnsi="宋体" w:cs="宋体" w:hint="eastAsia"/>
          <w:kern w:val="0"/>
          <w:sz w:val="28"/>
          <w:szCs w:val="28"/>
        </w:rPr>
        <w:lastRenderedPageBreak/>
        <w:t>易保证金标准的期货合约，其交易保证金标准按照最高值收取。</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第三章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涨跌停板制度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期货交易实行价格涨跌停板制度，由交易所规定各上市期货合约的每日最大价格波动幅度。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对同时满足本办法有关调整涨跌停板幅度规定的合约，其涨跌停板幅度按照规定涨跌停板幅度数值中的较大值确定。</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苹果、红枣期货合约每日涨跌停板幅度为前一交易日结算价的±5%。</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除苹果、红枣外，其他品种期货合约每日涨跌停板幅度为前一交易日结算价的±4%。</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新期货合约上市当日至成交首日，涨跌停板幅度为期货合约实际执行的涨跌停板幅度的2倍。</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新期货合约成交首日的下一交易日，涨跌停板幅度恢复为期货合约实际执行的涨跌停板幅度。</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某期货合约以涨跌停板价格成交的，成交撮合原则为平仓优先和时间优先。</w:t>
      </w:r>
    </w:p>
    <w:p w:rsidR="005477B5" w:rsidRPr="002A79B1" w:rsidRDefault="005477B5" w:rsidP="005477B5">
      <w:pPr>
        <w:tabs>
          <w:tab w:val="left" w:pos="1854"/>
          <w:tab w:val="left" w:pos="2100"/>
        </w:tabs>
        <w:snapToGrid w:val="0"/>
        <w:spacing w:line="360" w:lineRule="auto"/>
        <w:ind w:firstLineChars="200" w:firstLine="560"/>
        <w:rPr>
          <w:rFonts w:ascii="宋体" w:hAnsi="宋体" w:cs="宋体"/>
          <w:kern w:val="0"/>
          <w:sz w:val="28"/>
          <w:szCs w:val="28"/>
        </w:rPr>
      </w:pPr>
      <w:r w:rsidRPr="002A79B1">
        <w:rPr>
          <w:rFonts w:ascii="黑体" w:eastAsia="黑体" w:hAnsi="宋体" w:cs="黑体" w:hint="eastAsia"/>
          <w:sz w:val="28"/>
          <w:szCs w:val="28"/>
        </w:rPr>
        <w:t xml:space="preserve">第十七条 </w:t>
      </w:r>
      <w:r w:rsidRPr="002A79B1">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5477B5" w:rsidRPr="002A79B1" w:rsidRDefault="005477B5" w:rsidP="005477B5">
      <w:pPr>
        <w:widowControl/>
        <w:spacing w:line="360" w:lineRule="auto"/>
        <w:ind w:firstLineChars="200" w:firstLine="560"/>
        <w:outlineLvl w:val="3"/>
        <w:rPr>
          <w:rFonts w:ascii="宋体" w:hAnsi="宋体" w:cs="宋体"/>
          <w:b/>
          <w:bCs/>
          <w:kern w:val="0"/>
          <w:sz w:val="28"/>
          <w:szCs w:val="28"/>
        </w:rPr>
      </w:pPr>
      <w:r w:rsidRPr="002A79B1">
        <w:rPr>
          <w:rFonts w:ascii="宋体" w:eastAsia="黑体" w:hAnsi="宋体" w:cs="宋体" w:hint="eastAsia"/>
          <w:kern w:val="0"/>
          <w:sz w:val="28"/>
          <w:szCs w:val="28"/>
        </w:rPr>
        <w:t>第二十一条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强制减仓的方法和程序：</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（一）申报数量的确定</w:t>
      </w:r>
    </w:p>
    <w:p w:rsidR="005477B5" w:rsidRPr="002A79B1" w:rsidRDefault="005477B5" w:rsidP="005477B5">
      <w:pPr>
        <w:widowControl/>
        <w:spacing w:line="360" w:lineRule="auto"/>
        <w:ind w:firstLineChars="200" w:firstLine="420"/>
        <w:outlineLvl w:val="3"/>
        <w:rPr>
          <w:rFonts w:ascii="宋体" w:hAnsi="宋体" w:cs="宋体"/>
          <w:kern w:val="0"/>
          <w:sz w:val="28"/>
          <w:szCs w:val="28"/>
        </w:rPr>
      </w:pPr>
      <w:r w:rsidRPr="00AB47F6">
        <w:rPr>
          <w:noProof/>
        </w:rPr>
        <w:pict>
          <v:shapetype id="_x0000_t202" coordsize="21600,21600" o:spt="202" path="m,l,21600r21600,l21600,xe">
            <v:stroke joinstyle="miter"/>
            <v:path gradientshapeok="t" o:connecttype="rect"/>
          </v:shapetype>
          <v:shape id="文本框 3" o:spid="_x0000_s1027" type="#_x0000_t202" style="position:absolute;left:0;text-align:left;margin-left:230.75pt;margin-top:185.95pt;width:223.25pt;height:38.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" filled="f" strokecolor="white">
            <v:textbox>
              <w:txbxContent>
                <w:p w:rsidR="005477B5" w:rsidRDefault="005477B5" w:rsidP="005477B5">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sidRPr="002A79B1">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客户单位持仓盈亏的计算方法：</w:t>
      </w:r>
    </w:p>
    <w:p w:rsidR="005477B5" w:rsidRDefault="005477B5" w:rsidP="005477B5">
      <w:pPr>
        <w:adjustRightInd w:val="0"/>
        <w:snapToGrid w:val="0"/>
        <w:ind w:right="-21" w:firstLineChars="200" w:firstLine="420"/>
        <w:rPr>
          <w:rFonts w:ascii="宋体" w:hAnsi="宋体" w:cs="宋体"/>
          <w:spacing w:val="10"/>
          <w:sz w:val="24"/>
        </w:rPr>
      </w:pPr>
      <w:r w:rsidRPr="00AB47F6">
        <w:rPr>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241.05pt;margin-top:10.75pt;width:179.1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"/>
        </w:pict>
      </w:r>
      <w:r w:rsidRPr="002A79B1">
        <w:rPr>
          <w:rFonts w:ascii="宋体" w:hAnsi="宋体" w:cs="宋体" w:hint="eastAsia"/>
          <w:spacing w:val="10"/>
          <w:sz w:val="28"/>
          <w:szCs w:val="28"/>
        </w:rPr>
        <w:t>客户该期货合约单位持仓盈亏 =</w:t>
      </w:r>
    </w:p>
    <w:p w:rsidR="005477B5" w:rsidRPr="002A79B1" w:rsidRDefault="005477B5" w:rsidP="005477B5">
      <w:pPr>
        <w:adjustRightInd w:val="0"/>
        <w:snapToGrid w:val="0"/>
        <w:ind w:firstLineChars="1918" w:firstLine="4987"/>
        <w:rPr>
          <w:rFonts w:ascii="宋体"/>
          <w:spacing w:val="-2"/>
          <w:sz w:val="24"/>
        </w:rPr>
      </w:pPr>
      <w:r w:rsidRPr="002A79B1">
        <w:rPr>
          <w:rFonts w:ascii="宋体" w:hAnsi="宋体" w:cs="宋体" w:hint="eastAsia"/>
          <w:spacing w:val="10"/>
          <w:sz w:val="24"/>
        </w:rPr>
        <w:t>客户</w:t>
      </w:r>
      <w:r w:rsidRPr="002A79B1">
        <w:rPr>
          <w:rFonts w:ascii="宋体" w:hAnsi="宋体" w:cs="宋体" w:hint="eastAsia"/>
          <w:spacing w:val="-2"/>
          <w:sz w:val="24"/>
        </w:rPr>
        <w:t>该</w:t>
      </w:r>
      <w:r w:rsidRPr="002A79B1">
        <w:rPr>
          <w:rFonts w:ascii="宋体" w:hAnsi="宋体" w:cs="宋体" w:hint="eastAsia"/>
          <w:sz w:val="24"/>
        </w:rPr>
        <w:t>期货</w:t>
      </w:r>
      <w:r w:rsidRPr="002A79B1">
        <w:rPr>
          <w:rFonts w:ascii="宋体" w:hAnsi="宋体" w:cs="宋体" w:hint="eastAsia"/>
          <w:spacing w:val="-2"/>
          <w:sz w:val="24"/>
        </w:rPr>
        <w:t>合约的持仓量(手)</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客户该期货合约持仓盈亏总和，是指客户该期货合约的持仓按其实际成交价与当日结算价之差计算的盈亏总和。</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（二）持仓盈利客户平仓范围的确定</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（三）平仓数量的分配原则及方法</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1.平仓数量的分配原则</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（1）在平仓范围内按盈利的大小和投机与保值的不同分成四级，逐级进行分配。</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再次分配给单位持仓盈利大于或者等于期货合约规定价幅1倍以下的投机持仓(以下简称盈利1倍以下的投机持仓)。</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最后分配给单位持仓盈利大于或等于合约规定价幅2倍的保值持仓(以下简称盈利2倍的保值持仓)。</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（2）以上各级分配比例均按申报平仓数量(剩余申报平仓数量)与各级可平仓的盈利持仓数量之比进行分配。</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2.平仓数量的分配方法及步骤</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5477B5" w:rsidRPr="002A79B1" w:rsidRDefault="005477B5" w:rsidP="005477B5">
      <w:pPr>
        <w:widowControl/>
        <w:spacing w:line="360" w:lineRule="auto"/>
        <w:ind w:firstLineChars="202" w:firstLine="566"/>
        <w:rPr>
          <w:rFonts w:ascii="宋体" w:hAnsi="宋体" w:cs="宋体"/>
          <w:kern w:val="0"/>
          <w:sz w:val="28"/>
          <w:szCs w:val="28"/>
        </w:rPr>
      </w:pPr>
      <w:r w:rsidRPr="002A79B1">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5477B5" w:rsidRPr="002A79B1" w:rsidRDefault="005477B5" w:rsidP="005477B5">
      <w:pPr>
        <w:tabs>
          <w:tab w:val="left" w:pos="1620"/>
          <w:tab w:val="left" w:pos="198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采取上述措施后该期货合约风险仍未释放的，交易</w:t>
      </w:r>
      <w:r w:rsidRPr="002A79B1">
        <w:rPr>
          <w:rFonts w:ascii="宋体" w:hAnsi="宋体" w:cs="宋体" w:hint="eastAsia"/>
          <w:kern w:val="0"/>
          <w:sz w:val="28"/>
          <w:szCs w:val="28"/>
        </w:rPr>
        <w:lastRenderedPageBreak/>
        <w:t>所宣布进入异常情况，并按有关规定采取风险控制措施。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新期货合约成交首日以前（含该日）出现单边市的，该期货合约的涨跌停板幅度和交易保证金标准不受本章第十八条限制。</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限仓制度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第二十四条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期货交易实行限仓制度。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限仓是指交易所规定会员或者客户按单边计算的、可以持有某一期货合约投机持仓的最大数量。</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第二十五条</w:t>
      </w:r>
      <w:r w:rsidRPr="002A79B1">
        <w:rPr>
          <w:rFonts w:ascii="宋体" w:hAnsi="宋体" w:cs="宋体" w:hint="eastAsia"/>
          <w:kern w:val="0"/>
          <w:sz w:val="28"/>
          <w:szCs w:val="28"/>
        </w:rPr>
        <w:t xml:space="preserve"> 各品种期货合约对期货公司会员不限仓。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黑体" w:cs="宋体" w:hint="eastAsia"/>
          <w:kern w:val="0"/>
          <w:sz w:val="28"/>
          <w:szCs w:val="28"/>
        </w:rPr>
        <w:t>第二十六条</w:t>
      </w:r>
      <w:r w:rsidRPr="002A79B1">
        <w:rPr>
          <w:rFonts w:ascii="宋体" w:hAnsi="宋体" w:cs="宋体" w:hint="eastAsia"/>
          <w:kern w:val="0"/>
          <w:sz w:val="28"/>
          <w:szCs w:val="28"/>
        </w:rPr>
        <w:t xml:space="preserve"> 棉</w:t>
      </w:r>
      <w:r>
        <w:rPr>
          <w:rFonts w:ascii="宋体" w:hAnsi="宋体" w:cs="宋体" w:hint="eastAsia"/>
          <w:kern w:val="0"/>
          <w:sz w:val="28"/>
          <w:szCs w:val="28"/>
        </w:rPr>
        <w:t>花</w:t>
      </w:r>
      <w:r w:rsidRPr="002A79B1">
        <w:rPr>
          <w:rFonts w:ascii="宋体" w:hAnsi="宋体" w:cs="宋体" w:hint="eastAsia"/>
          <w:kern w:val="0"/>
          <w:sz w:val="28"/>
          <w:szCs w:val="28"/>
        </w:rPr>
        <w:t>、白糖、PTA、菜油、甲醇、玻璃、菜粕、动力煤、尿素</w:t>
      </w:r>
      <w:r w:rsidRPr="0019482F">
        <w:rPr>
          <w:rFonts w:ascii="宋体" w:hAnsi="宋体" w:cs="宋体" w:hint="eastAsia"/>
          <w:strike/>
          <w:kern w:val="0"/>
          <w:sz w:val="28"/>
          <w:szCs w:val="28"/>
        </w:rPr>
        <w:t>和</w:t>
      </w:r>
      <w:r w:rsidRPr="00B5550F">
        <w:rPr>
          <w:rFonts w:ascii="宋体" w:hAnsi="宋体" w:cs="宋体" w:hint="eastAsia"/>
          <w:kern w:val="0"/>
          <w:sz w:val="28"/>
          <w:szCs w:val="28"/>
          <w:shd w:val="pct15" w:color="auto" w:fill="FFFFFF"/>
        </w:rPr>
        <w:t>、</w:t>
      </w:r>
      <w:r w:rsidRPr="002A79B1">
        <w:rPr>
          <w:rFonts w:ascii="宋体" w:hAnsi="宋体" w:cs="宋体" w:hint="eastAsia"/>
          <w:kern w:val="0"/>
          <w:sz w:val="28"/>
          <w:szCs w:val="28"/>
        </w:rPr>
        <w:t>纯碱</w:t>
      </w:r>
      <w:r w:rsidRPr="00D603F9">
        <w:rPr>
          <w:rFonts w:ascii="宋体" w:hAnsi="宋体" w:cs="宋体" w:hint="eastAsia"/>
          <w:kern w:val="0"/>
          <w:sz w:val="28"/>
          <w:szCs w:val="28"/>
          <w:shd w:val="pct15" w:color="auto" w:fill="FFFFFF"/>
        </w:rPr>
        <w:t>和短纤</w:t>
      </w:r>
      <w:r w:rsidRPr="002A79B1">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5477B5" w:rsidRPr="002A79B1" w:rsidTr="00511E62">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非期货公司会员及客户最大单边持仓</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50000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60000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rsidTr="00511E62">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纯碱</w:t>
            </w:r>
          </w:p>
        </w:tc>
        <w:tc>
          <w:tcPr>
            <w:tcW w:w="2058" w:type="pct"/>
            <w:tcBorders>
              <w:top w:val="nil"/>
              <w:left w:val="nil"/>
              <w:bottom w:val="single" w:sz="4" w:space="0" w:color="auto"/>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0" w:type="auto"/>
            <w:vMerge/>
            <w:tcBorders>
              <w:top w:val="nil"/>
              <w:left w:val="single" w:sz="4" w:space="0" w:color="auto"/>
              <w:bottom w:val="nil"/>
              <w:right w:val="single" w:sz="4" w:space="0" w:color="auto"/>
            </w:tcBorders>
            <w:vAlign w:val="center"/>
            <w:hideMark/>
          </w:tcPr>
          <w:p w:rsidR="005477B5" w:rsidRPr="002A79B1" w:rsidRDefault="005477B5" w:rsidP="00511E62">
            <w:pPr>
              <w:widowControl/>
              <w:snapToGrid w:val="0"/>
              <w:jc w:val="left"/>
              <w:rPr>
                <w:rFonts w:ascii="宋体" w:hAnsi="宋体" w:cs="楷体_GB2312"/>
                <w:kern w:val="0"/>
                <w:sz w:val="24"/>
              </w:rPr>
            </w:pPr>
          </w:p>
        </w:tc>
        <w:tc>
          <w:tcPr>
            <w:tcW w:w="2058" w:type="pct"/>
            <w:tcBorders>
              <w:top w:val="nil"/>
              <w:left w:val="nil"/>
              <w:bottom w:val="nil"/>
              <w:right w:val="single" w:sz="4" w:space="0" w:color="auto"/>
            </w:tcBorders>
            <w:noWrap/>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单边持仓量≥20万</w:t>
            </w:r>
          </w:p>
        </w:tc>
        <w:tc>
          <w:tcPr>
            <w:tcW w:w="2177" w:type="pct"/>
            <w:tcBorders>
              <w:top w:val="nil"/>
              <w:left w:val="nil"/>
              <w:bottom w:val="nil"/>
              <w:right w:val="single" w:sz="4" w:space="0" w:color="auto"/>
            </w:tcBorders>
            <w:vAlign w:val="center"/>
            <w:hideMark/>
          </w:tcPr>
          <w:p w:rsidR="005477B5" w:rsidRPr="002A79B1" w:rsidRDefault="005477B5" w:rsidP="00511E62">
            <w:pPr>
              <w:widowControl/>
              <w:snapToGrid w:val="0"/>
              <w:jc w:val="center"/>
              <w:rPr>
                <w:rFonts w:ascii="宋体" w:hAnsi="宋体" w:cs="楷体_GB2312"/>
                <w:kern w:val="0"/>
                <w:sz w:val="24"/>
              </w:rPr>
            </w:pPr>
            <w:r w:rsidRPr="002A79B1">
              <w:rPr>
                <w:rFonts w:ascii="宋体" w:hAnsi="宋体" w:cs="楷体_GB2312" w:hint="eastAsia"/>
                <w:kern w:val="0"/>
                <w:sz w:val="24"/>
              </w:rPr>
              <w:t>单边持仓量×10%</w:t>
            </w:r>
          </w:p>
        </w:tc>
      </w:tr>
      <w:tr w:rsidR="005477B5" w:rsidRPr="002A79B1" w:rsidTr="00511E62">
        <w:trPr>
          <w:trHeight w:val="250"/>
          <w:jc w:val="center"/>
        </w:trPr>
        <w:tc>
          <w:tcPr>
            <w:tcW w:w="0" w:type="auto"/>
            <w:vMerge w:val="restart"/>
            <w:tcBorders>
              <w:top w:val="single" w:sz="4" w:space="0" w:color="auto"/>
              <w:left w:val="single" w:sz="4" w:space="0" w:color="auto"/>
              <w:right w:val="single" w:sz="4" w:space="0" w:color="auto"/>
            </w:tcBorders>
            <w:vAlign w:val="center"/>
          </w:tcPr>
          <w:p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短纤</w:t>
            </w:r>
          </w:p>
        </w:tc>
        <w:tc>
          <w:tcPr>
            <w:tcW w:w="2058" w:type="pct"/>
            <w:tcBorders>
              <w:top w:val="single" w:sz="4" w:space="0" w:color="auto"/>
              <w:left w:val="nil"/>
              <w:bottom w:val="single" w:sz="4" w:space="0" w:color="auto"/>
              <w:right w:val="single" w:sz="4" w:space="0" w:color="auto"/>
            </w:tcBorders>
            <w:noWrap/>
            <w:vAlign w:val="center"/>
          </w:tcPr>
          <w:p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w:t>
            </w:r>
            <w:r w:rsidRPr="00D603F9">
              <w:rPr>
                <w:rFonts w:ascii="宋体" w:hAnsi="宋体" w:cs="楷体_GB2312"/>
                <w:kern w:val="0"/>
                <w:sz w:val="24"/>
                <w:shd w:val="pct15" w:color="auto" w:fill="FFFFFF"/>
              </w:rPr>
              <w:t>0万</w:t>
            </w:r>
          </w:p>
        </w:tc>
        <w:tc>
          <w:tcPr>
            <w:tcW w:w="2177" w:type="pct"/>
            <w:tcBorders>
              <w:top w:val="single" w:sz="4" w:space="0" w:color="auto"/>
              <w:left w:val="nil"/>
              <w:bottom w:val="single" w:sz="4" w:space="0" w:color="auto"/>
              <w:right w:val="single" w:sz="4" w:space="0" w:color="auto"/>
            </w:tcBorders>
            <w:vAlign w:val="center"/>
          </w:tcPr>
          <w:p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1</w:t>
            </w:r>
            <w:r w:rsidRPr="00D603F9">
              <w:rPr>
                <w:rFonts w:ascii="宋体" w:hAnsi="宋体" w:cs="楷体_GB2312"/>
                <w:kern w:val="0"/>
                <w:sz w:val="24"/>
                <w:shd w:val="pct15" w:color="auto" w:fill="FFFFFF"/>
              </w:rPr>
              <w:t>0000</w:t>
            </w:r>
          </w:p>
        </w:tc>
      </w:tr>
      <w:tr w:rsidR="005477B5" w:rsidRPr="002A79B1" w:rsidTr="00511E62">
        <w:trPr>
          <w:trHeight w:val="250"/>
          <w:jc w:val="center"/>
        </w:trPr>
        <w:tc>
          <w:tcPr>
            <w:tcW w:w="0" w:type="auto"/>
            <w:vMerge/>
            <w:tcBorders>
              <w:left w:val="single" w:sz="4" w:space="0" w:color="auto"/>
              <w:bottom w:val="single" w:sz="4" w:space="0" w:color="000000"/>
              <w:right w:val="single" w:sz="4" w:space="0" w:color="auto"/>
            </w:tcBorders>
            <w:vAlign w:val="center"/>
          </w:tcPr>
          <w:p w:rsidR="005477B5" w:rsidRPr="002A79B1" w:rsidRDefault="005477B5" w:rsidP="00511E62">
            <w:pPr>
              <w:widowControl/>
              <w:snapToGrid w:val="0"/>
              <w:jc w:val="left"/>
              <w:rPr>
                <w:rFonts w:ascii="宋体" w:hAnsi="宋体" w:cs="楷体_GB2312"/>
                <w:kern w:val="0"/>
                <w:sz w:val="24"/>
              </w:rPr>
            </w:pPr>
          </w:p>
        </w:tc>
        <w:tc>
          <w:tcPr>
            <w:tcW w:w="2058" w:type="pct"/>
            <w:tcBorders>
              <w:top w:val="single" w:sz="4" w:space="0" w:color="auto"/>
              <w:left w:val="nil"/>
              <w:bottom w:val="single" w:sz="4" w:space="0" w:color="auto"/>
              <w:right w:val="single" w:sz="4" w:space="0" w:color="auto"/>
            </w:tcBorders>
            <w:noWrap/>
            <w:vAlign w:val="center"/>
          </w:tcPr>
          <w:p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单边持仓量≥10万</w:t>
            </w:r>
          </w:p>
        </w:tc>
        <w:tc>
          <w:tcPr>
            <w:tcW w:w="2177" w:type="pct"/>
            <w:tcBorders>
              <w:top w:val="single" w:sz="4" w:space="0" w:color="auto"/>
              <w:left w:val="nil"/>
              <w:bottom w:val="single" w:sz="4" w:space="0" w:color="auto"/>
              <w:right w:val="single" w:sz="4" w:space="0" w:color="auto"/>
            </w:tcBorders>
            <w:vAlign w:val="center"/>
          </w:tcPr>
          <w:p w:rsidR="005477B5" w:rsidRPr="002A79B1" w:rsidRDefault="005477B5" w:rsidP="00511E62">
            <w:pPr>
              <w:widowControl/>
              <w:snapToGrid w:val="0"/>
              <w:jc w:val="center"/>
              <w:rPr>
                <w:rFonts w:ascii="宋体" w:hAnsi="宋体" w:cs="楷体_GB2312"/>
                <w:kern w:val="0"/>
                <w:sz w:val="24"/>
              </w:rPr>
            </w:pPr>
            <w:r w:rsidRPr="00D603F9">
              <w:rPr>
                <w:rFonts w:ascii="宋体" w:hAnsi="宋体" w:cs="楷体_GB2312" w:hint="eastAsia"/>
                <w:kern w:val="0"/>
                <w:sz w:val="24"/>
                <w:shd w:val="pct15" w:color="auto" w:fill="FFFFFF"/>
              </w:rPr>
              <w:t>单边持仓量×10%</w:t>
            </w:r>
          </w:p>
        </w:tc>
      </w:tr>
    </w:tbl>
    <w:p w:rsidR="005477B5" w:rsidRPr="002A79B1" w:rsidRDefault="005477B5" w:rsidP="005477B5">
      <w:pPr>
        <w:rPr>
          <w:vanish/>
        </w:rPr>
      </w:pPr>
    </w:p>
    <w:p w:rsidR="005477B5" w:rsidRPr="002A79B1" w:rsidRDefault="005477B5" w:rsidP="005477B5">
      <w:pPr>
        <w:snapToGrid w:val="0"/>
        <w:spacing w:line="520" w:lineRule="exact"/>
        <w:rPr>
          <w:rFonts w:ascii="宋体" w:hAnsi="宋体" w:cs="楷体_GB2312"/>
          <w:kern w:val="0"/>
          <w:szCs w:val="21"/>
        </w:rPr>
      </w:pPr>
      <w:r w:rsidRPr="002A79B1">
        <w:rPr>
          <w:rFonts w:ascii="宋体" w:hAnsi="宋体" w:cs="楷体_GB2312" w:hint="eastAsia"/>
          <w:kern w:val="0"/>
          <w:szCs w:val="21"/>
        </w:rPr>
        <w:t>注：单位，手。</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3"/>
        <w:gridCol w:w="5165"/>
      </w:tblGrid>
      <w:tr w:rsidR="005477B5" w:rsidRPr="002A79B1" w:rsidTr="00511E62">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宋体"/>
                <w:kern w:val="0"/>
                <w:sz w:val="24"/>
              </w:rPr>
            </w:pPr>
            <w:r w:rsidRPr="002A79B1">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rsidR="005477B5" w:rsidRPr="002A79B1" w:rsidRDefault="005477B5" w:rsidP="00511E62">
            <w:pPr>
              <w:widowControl/>
              <w:jc w:val="center"/>
              <w:rPr>
                <w:rFonts w:ascii="宋体" w:hAnsi="宋体" w:cs="宋体"/>
                <w:kern w:val="0"/>
                <w:sz w:val="22"/>
              </w:rPr>
            </w:pPr>
            <w:r w:rsidRPr="002A79B1">
              <w:rPr>
                <w:rFonts w:ascii="宋体" w:hAnsi="宋体" w:cs="楷体_GB2312" w:hint="eastAsia"/>
                <w:kern w:val="0"/>
                <w:sz w:val="24"/>
              </w:rPr>
              <w:t>非期货公司会员及客户最大单边持仓（手）</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7500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8000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30000</w:t>
            </w:r>
          </w:p>
        </w:tc>
      </w:tr>
      <w:tr w:rsidR="005477B5" w:rsidRPr="002A79B1" w:rsidTr="00511E62">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r>
      <w:tr w:rsidR="005477B5" w:rsidRPr="002A79B1" w:rsidTr="00511E62">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3028" w:type="pct"/>
            <w:tcBorders>
              <w:top w:val="single" w:sz="4" w:space="0" w:color="auto"/>
              <w:left w:val="nil"/>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bl>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5477B5" w:rsidRPr="002A79B1" w:rsidTr="00511E62">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5477B5" w:rsidRPr="002A79B1" w:rsidTr="00511E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自交割月前一个月第一个日历日至交割月前一个月第15个日历日期间的交易日</w:t>
            </w:r>
          </w:p>
        </w:tc>
      </w:tr>
      <w:tr w:rsidR="005477B5" w:rsidRPr="002A79B1" w:rsidTr="00511E62">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lastRenderedPageBreak/>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w:t>
            </w:r>
          </w:p>
        </w:tc>
      </w:tr>
    </w:tbl>
    <w:p w:rsidR="005477B5" w:rsidRPr="002A79B1" w:rsidRDefault="005477B5" w:rsidP="005477B5">
      <w:pPr>
        <w:widowControl/>
        <w:spacing w:line="360" w:lineRule="auto"/>
        <w:ind w:firstLineChars="200" w:firstLine="560"/>
        <w:outlineLvl w:val="3"/>
        <w:rPr>
          <w:rFonts w:ascii="宋体" w:hAnsi="宋体" w:cs="宋体"/>
          <w:kern w:val="0"/>
          <w:sz w:val="28"/>
          <w:szCs w:val="28"/>
        </w:rPr>
      </w:pP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5"/>
        <w:gridCol w:w="3454"/>
      </w:tblGrid>
      <w:tr w:rsidR="005477B5" w:rsidRPr="002A79B1" w:rsidTr="00511E62">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品  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非期货公司会员及客户最大单边持仓（手）</w:t>
            </w:r>
          </w:p>
        </w:tc>
      </w:tr>
      <w:tr w:rsidR="005477B5" w:rsidRPr="002A79B1" w:rsidTr="00511E62">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left"/>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交割月前一个月第16个日历日至交割月前一个月最后一个日历日期间的交易日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交割月份</w:t>
            </w:r>
          </w:p>
          <w:p w:rsidR="005477B5" w:rsidRPr="002A79B1" w:rsidRDefault="005477B5" w:rsidP="00511E62">
            <w:pPr>
              <w:jc w:val="center"/>
              <w:rPr>
                <w:rFonts w:ascii="宋体" w:hAnsi="宋体" w:cs="楷体_GB2312"/>
                <w:kern w:val="0"/>
                <w:sz w:val="24"/>
              </w:rPr>
            </w:pPr>
            <w:r w:rsidRPr="002A79B1">
              <w:rPr>
                <w:rFonts w:ascii="宋体" w:hAnsi="宋体" w:cs="楷体_GB2312" w:hint="eastAsia"/>
                <w:kern w:val="0"/>
                <w:sz w:val="24"/>
              </w:rPr>
              <w:t>（自然人客户限仓为0）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w:t>
            </w:r>
            <w:r>
              <w:rPr>
                <w:rFonts w:ascii="宋体" w:hAnsi="宋体" w:cs="楷体_GB2312" w:hint="eastAsia"/>
                <w:kern w:val="0"/>
                <w:sz w:val="24"/>
              </w:rPr>
              <w:t>花</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800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4000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2000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100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苹果</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10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6</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1000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jc w:val="center"/>
              <w:rPr>
                <w:rFonts w:ascii="宋体" w:hAnsi="宋体" w:cs="楷体_GB2312"/>
                <w:kern w:val="0"/>
                <w:sz w:val="24"/>
              </w:rPr>
            </w:pPr>
            <w:r w:rsidRPr="002A79B1">
              <w:rPr>
                <w:rFonts w:ascii="宋体" w:hAnsi="宋体" w:cs="楷体_GB2312" w:hint="eastAsia"/>
                <w:kern w:val="0"/>
                <w:sz w:val="24"/>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5477B5" w:rsidRPr="002A79B1" w:rsidRDefault="005477B5" w:rsidP="00511E62">
            <w:pPr>
              <w:widowControl/>
              <w:snapToGrid w:val="0"/>
              <w:jc w:val="center"/>
              <w:rPr>
                <w:rFonts w:ascii="宋体" w:hAnsi="宋体"/>
                <w:sz w:val="24"/>
              </w:rPr>
            </w:pPr>
            <w:r w:rsidRPr="002A79B1">
              <w:rPr>
                <w:rFonts w:ascii="宋体" w:hAnsi="宋体" w:hint="eastAsia"/>
                <w:sz w:val="24"/>
              </w:rPr>
              <w:t>800</w:t>
            </w:r>
          </w:p>
        </w:tc>
      </w:tr>
      <w:tr w:rsidR="005477B5" w:rsidRPr="002A79B1" w:rsidTr="00511E62">
        <w:trPr>
          <w:trHeight w:val="300"/>
        </w:trPr>
        <w:tc>
          <w:tcPr>
            <w:tcW w:w="1061" w:type="pct"/>
            <w:tcBorders>
              <w:top w:val="single" w:sz="8" w:space="0" w:color="auto"/>
              <w:left w:val="single" w:sz="8" w:space="0" w:color="auto"/>
              <w:bottom w:val="single" w:sz="8" w:space="0" w:color="auto"/>
              <w:right w:val="single" w:sz="8" w:space="0" w:color="auto"/>
            </w:tcBorders>
            <w:vAlign w:val="center"/>
          </w:tcPr>
          <w:p w:rsidR="005477B5" w:rsidRPr="002A79B1" w:rsidRDefault="005477B5" w:rsidP="00511E62">
            <w:pPr>
              <w:widowControl/>
              <w:jc w:val="center"/>
              <w:rPr>
                <w:rFonts w:ascii="宋体" w:hAnsi="宋体" w:cs="楷体_GB2312"/>
                <w:kern w:val="0"/>
                <w:sz w:val="24"/>
              </w:rPr>
            </w:pPr>
            <w:r w:rsidRPr="00D603F9">
              <w:rPr>
                <w:rFonts w:ascii="宋体" w:hAnsi="宋体" w:cs="楷体_GB2312" w:hint="eastAsia"/>
                <w:kern w:val="0"/>
                <w:sz w:val="24"/>
                <w:shd w:val="pct15" w:color="auto" w:fill="FFFFFF"/>
              </w:rPr>
              <w:t>短纤</w:t>
            </w:r>
          </w:p>
        </w:tc>
        <w:tc>
          <w:tcPr>
            <w:tcW w:w="1914" w:type="pct"/>
            <w:tcBorders>
              <w:top w:val="single" w:sz="8" w:space="0" w:color="auto"/>
              <w:left w:val="single" w:sz="8" w:space="0" w:color="auto"/>
              <w:bottom w:val="single" w:sz="8" w:space="0" w:color="auto"/>
              <w:right w:val="single" w:sz="8" w:space="0" w:color="auto"/>
            </w:tcBorders>
            <w:vAlign w:val="center"/>
          </w:tcPr>
          <w:p w:rsidR="005477B5" w:rsidRPr="002A79B1" w:rsidRDefault="005477B5" w:rsidP="00511E62">
            <w:pPr>
              <w:widowControl/>
              <w:snapToGrid w:val="0"/>
              <w:jc w:val="center"/>
              <w:rPr>
                <w:rFonts w:ascii="宋体" w:hAnsi="宋体"/>
                <w:sz w:val="24"/>
              </w:rPr>
            </w:pPr>
            <w:r w:rsidRPr="00D603F9">
              <w:rPr>
                <w:rFonts w:ascii="宋体" w:hAnsi="宋体" w:hint="eastAsia"/>
                <w:sz w:val="24"/>
                <w:shd w:val="pct15" w:color="auto" w:fill="FFFFFF"/>
              </w:rPr>
              <w:t>1</w:t>
            </w:r>
            <w:r w:rsidRPr="00D603F9">
              <w:rPr>
                <w:rFonts w:ascii="宋体" w:hAnsi="宋体"/>
                <w:sz w:val="24"/>
                <w:shd w:val="pct15" w:color="auto" w:fill="FFFFFF"/>
              </w:rPr>
              <w:t>500</w:t>
            </w:r>
          </w:p>
        </w:tc>
        <w:tc>
          <w:tcPr>
            <w:tcW w:w="2025" w:type="pct"/>
            <w:tcBorders>
              <w:top w:val="single" w:sz="8" w:space="0" w:color="auto"/>
              <w:left w:val="single" w:sz="8" w:space="0" w:color="auto"/>
              <w:bottom w:val="single" w:sz="8" w:space="0" w:color="auto"/>
              <w:right w:val="single" w:sz="8" w:space="0" w:color="auto"/>
            </w:tcBorders>
            <w:vAlign w:val="center"/>
          </w:tcPr>
          <w:p w:rsidR="005477B5" w:rsidRPr="002A79B1" w:rsidRDefault="005477B5" w:rsidP="00511E62">
            <w:pPr>
              <w:widowControl/>
              <w:snapToGrid w:val="0"/>
              <w:jc w:val="center"/>
              <w:rPr>
                <w:rFonts w:ascii="宋体" w:hAnsi="宋体"/>
                <w:sz w:val="24"/>
              </w:rPr>
            </w:pPr>
            <w:r w:rsidRPr="00D603F9">
              <w:rPr>
                <w:rFonts w:ascii="宋体" w:hAnsi="宋体" w:hint="eastAsia"/>
                <w:sz w:val="24"/>
                <w:shd w:val="pct15" w:color="auto" w:fill="FFFFFF"/>
              </w:rPr>
              <w:t>3</w:t>
            </w:r>
            <w:r w:rsidRPr="00D603F9">
              <w:rPr>
                <w:rFonts w:ascii="宋体" w:hAnsi="宋体"/>
                <w:sz w:val="24"/>
                <w:shd w:val="pct15" w:color="auto" w:fill="FFFFFF"/>
              </w:rPr>
              <w:t>00</w:t>
            </w:r>
          </w:p>
        </w:tc>
      </w:tr>
    </w:tbl>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不得交割的客户具体见《郑州商品交易所期货交割细则》相关规定。</w:t>
      </w:r>
    </w:p>
    <w:p w:rsidR="005477B5" w:rsidRPr="002A79B1" w:rsidRDefault="005477B5" w:rsidP="005477B5">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第二十七条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5477B5" w:rsidRPr="002A79B1" w:rsidRDefault="005477B5" w:rsidP="005477B5">
      <w:pPr>
        <w:snapToGrid w:val="0"/>
        <w:spacing w:line="360" w:lineRule="auto"/>
        <w:ind w:firstLineChars="201" w:firstLine="563"/>
        <w:rPr>
          <w:rFonts w:ascii="宋体" w:hAnsi="宋体" w:cs="宋体"/>
          <w:kern w:val="0"/>
          <w:sz w:val="28"/>
          <w:szCs w:val="28"/>
        </w:rPr>
      </w:pPr>
      <w:r w:rsidRPr="002A79B1">
        <w:rPr>
          <w:rFonts w:ascii="宋体" w:eastAsia="黑体" w:hAnsi="宋体" w:cs="宋体" w:hint="eastAsia"/>
          <w:kern w:val="0"/>
          <w:sz w:val="28"/>
          <w:szCs w:val="28"/>
        </w:rPr>
        <w:lastRenderedPageBreak/>
        <w:t>第二十八条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同一客户在不同期货公司会员处开有多个交易编码，各交易编码上所有持仓的合计数，不得超出一个客户的限仓数额。</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黑体" w:eastAsia="黑体" w:hAnsi="宋体" w:cs="黑体" w:hint="eastAsia"/>
          <w:kern w:val="0"/>
          <w:sz w:val="28"/>
          <w:szCs w:val="28"/>
        </w:rPr>
        <w:t xml:space="preserve">第二十九条 </w:t>
      </w:r>
      <w:r w:rsidRPr="002A79B1">
        <w:rPr>
          <w:rFonts w:ascii="宋体" w:hAnsi="宋体" w:cs="宋体" w:hint="eastAsia"/>
          <w:kern w:val="0"/>
          <w:sz w:val="28"/>
          <w:szCs w:val="28"/>
        </w:rPr>
        <w:t>非期货公司会员或者客户的持仓数量不得超过交易所规定的持仓限额。</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交易限额制度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套期保值交易和做市交易的开仓数量不受本条前款限制。</w:t>
      </w:r>
    </w:p>
    <w:p w:rsidR="005477B5" w:rsidRPr="002A79B1" w:rsidRDefault="005477B5" w:rsidP="005477B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5477B5" w:rsidRPr="002A79B1" w:rsidRDefault="005477B5" w:rsidP="005477B5">
      <w:pPr>
        <w:snapToGrid w:val="0"/>
        <w:spacing w:line="520" w:lineRule="exact"/>
        <w:ind w:firstLineChars="201" w:firstLine="563"/>
        <w:rPr>
          <w:rFonts w:ascii="宋体" w:hAnsi="宋体" w:cs="宋体"/>
          <w:kern w:val="0"/>
          <w:sz w:val="28"/>
          <w:szCs w:val="28"/>
        </w:rPr>
      </w:pPr>
      <w:r w:rsidRPr="002A79B1">
        <w:rPr>
          <w:rFonts w:ascii="宋体" w:eastAsia="黑体" w:hAnsi="宋体" w:cs="宋体" w:hint="eastAsia"/>
          <w:kern w:val="0"/>
          <w:sz w:val="28"/>
          <w:szCs w:val="28"/>
        </w:rPr>
        <w:t>第三十二条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第六章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大户报告制度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期货交易实行大户报告制度。</w:t>
      </w:r>
    </w:p>
    <w:p w:rsidR="005477B5" w:rsidRPr="002A79B1" w:rsidRDefault="005477B5" w:rsidP="005477B5">
      <w:pPr>
        <w:tabs>
          <w:tab w:val="num" w:pos="1215"/>
        </w:tabs>
        <w:snapToGrid w:val="0"/>
        <w:spacing w:line="520" w:lineRule="exact"/>
        <w:ind w:firstLineChars="200" w:firstLine="560"/>
        <w:rPr>
          <w:rFonts w:ascii="宋体" w:hAnsi="宋体" w:cs="宋体"/>
          <w:kern w:val="0"/>
          <w:sz w:val="28"/>
          <w:szCs w:val="28"/>
        </w:rPr>
      </w:pPr>
      <w:r w:rsidRPr="002A79B1">
        <w:rPr>
          <w:rFonts w:ascii="宋体" w:hAnsi="宋体" w:cs="宋体" w:hint="eastAsia"/>
          <w:kern w:val="0"/>
          <w:sz w:val="28"/>
          <w:szCs w:val="28"/>
        </w:rPr>
        <w:t>非期货公司会员或者客户持有某期货合约数量达到交易所对其规定的持仓限量80%以上（含本数）或者交易所要求报告的，应当向</w:t>
      </w:r>
      <w:r w:rsidRPr="002A79B1">
        <w:rPr>
          <w:rFonts w:ascii="宋体" w:hAnsi="宋体" w:cs="宋体" w:hint="eastAsia"/>
          <w:kern w:val="0"/>
          <w:sz w:val="28"/>
          <w:szCs w:val="28"/>
        </w:rPr>
        <w:lastRenderedPageBreak/>
        <w:t>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5477B5" w:rsidRPr="002A79B1" w:rsidRDefault="005477B5" w:rsidP="005477B5">
      <w:pPr>
        <w:widowControl/>
        <w:spacing w:line="520" w:lineRule="exact"/>
        <w:ind w:firstLineChars="200" w:firstLine="560"/>
        <w:outlineLvl w:val="3"/>
        <w:rPr>
          <w:rFonts w:ascii="宋体" w:hAnsi="宋体" w:cs="宋体"/>
          <w:kern w:val="0"/>
          <w:sz w:val="28"/>
          <w:szCs w:val="28"/>
        </w:rPr>
      </w:pPr>
      <w:r w:rsidRPr="002A79B1">
        <w:rPr>
          <w:rFonts w:ascii="宋体" w:hAnsi="宋体" w:cs="宋体" w:hint="eastAsia"/>
          <w:kern w:val="0"/>
          <w:sz w:val="28"/>
          <w:szCs w:val="28"/>
        </w:rPr>
        <w:t>非期货公司会员、客户应当保证所提供的大户持仓报告和其他材料的真实性、准确性和完整性。</w:t>
      </w:r>
    </w:p>
    <w:p w:rsidR="005477B5" w:rsidRPr="002A79B1" w:rsidRDefault="005477B5" w:rsidP="005477B5">
      <w:pPr>
        <w:tabs>
          <w:tab w:val="num" w:pos="1215"/>
        </w:tabs>
        <w:snapToGrid w:val="0"/>
        <w:spacing w:line="520" w:lineRule="exact"/>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第三十四条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符合大户报告条件的非期货公司会员或客户应当向交易所提供下列材料：</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（一）《郑州商品交易所大户报告表》；</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（二）开户资料及当日结算单据；</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（三）交易所要求提供的其他材料。</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期货公司会员、境外经纪机构应当对客户所提供的有关材料进行初审并保证报告材料的真实性和准确性。</w:t>
      </w:r>
    </w:p>
    <w:p w:rsidR="005477B5" w:rsidRPr="002A79B1" w:rsidRDefault="005477B5" w:rsidP="005477B5">
      <w:pPr>
        <w:widowControl/>
        <w:spacing w:line="360" w:lineRule="auto"/>
        <w:jc w:val="center"/>
        <w:outlineLvl w:val="1"/>
        <w:rPr>
          <w:rFonts w:ascii="黑体" w:eastAsia="黑体" w:hAnsi="宋体" w:cs="宋体"/>
          <w:kern w:val="0"/>
          <w:sz w:val="32"/>
          <w:szCs w:val="28"/>
        </w:rPr>
      </w:pPr>
      <w:r>
        <w:rPr>
          <w:rFonts w:ascii="黑体" w:eastAsia="黑体" w:hAnsi="宋体" w:cs="宋体"/>
          <w:noProof/>
          <w:kern w:val="0"/>
          <w:sz w:val="32"/>
          <w:szCs w:val="28"/>
        </w:rPr>
        <w:drawing>
          <wp:inline distT="0" distB="0" distL="0" distR="0">
            <wp:extent cx="25400" cy="25400"/>
            <wp:effectExtent l="0" t="0" r="0" b="0"/>
            <wp:docPr id="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
                    <a:srcRect t="-99944" b="99944"/>
                    <a:stretch>
                      <a:fillRect/>
                    </a:stretch>
                  </pic:blipFill>
                  <pic:spPr bwMode="auto">
                    <a:xfrm>
                      <a:off x="0" y="0"/>
                      <a:ext cx="25400" cy="25400"/>
                    </a:xfrm>
                    <a:prstGeom prst="rect">
                      <a:avLst/>
                    </a:prstGeom>
                    <a:noFill/>
                    <a:ln w="9525">
                      <a:noFill/>
                      <a:miter lim="800000"/>
                      <a:headEnd/>
                      <a:tailEnd/>
                    </a:ln>
                  </pic:spPr>
                </pic:pic>
              </a:graphicData>
            </a:graphic>
          </wp:inline>
        </w:drawing>
      </w:r>
      <w:r w:rsidRPr="002A79B1">
        <w:rPr>
          <w:rFonts w:ascii="宋体" w:eastAsia="黑体" w:hAnsi="宋体" w:cs="宋体" w:hint="eastAsia"/>
          <w:kern w:val="0"/>
          <w:sz w:val="32"/>
          <w:szCs w:val="28"/>
        </w:rPr>
        <w:t>第七章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强行平仓制度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期货交易实行强行平仓制度。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强行平仓是指当会员、客户违反交易所相关业务规定时，交易所对其违规持有的相关期货合约持仓予以平仓的强制措施。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会员或者客户有下列情形之一的，交易所有权进行强行平仓：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（一）结算准备金余额小于零并未能在规定时间内补足的；</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（二）持仓量超出其限仓规定的；</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（三）进入交割月份的自然人持仓；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（四）因违规受到交易所强行平仓处罚的；</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（五）根据交易所的紧急措施应予强行平仓的；</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（六）其他应予强行平仓的。</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强行平仓的原则和程序：</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强行平仓先由会员自行实施，除交易所特别规定的时限外，会员未在10时15分之前平仓完毕的，交易所强制执行。</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由交易所强行平仓的，按以下程序实施：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（一）交易所按照会员提供的平仓名单进行强行平仓。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（三）属前条第（二）项的，按照超仓量由大到小的顺序，对非期货公司会员或客户进行强行平仓。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（四）会员没有提供平仓名单，属前条第（三）项的，按照上一交易日闭市后自然人期货合约持仓由大到小顺序进行强行平仓。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由于市场原因无法满足上述原则和程序的，交易所有权择机强行平仓。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交易所实施强行平仓，应当通知会员，会员应当通知客户。</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交易所强行平仓完毕后，应当将强行平仓结果随当日成交记录向会员发送，并将强行平仓记录予以存档。</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强行平仓的价格通过市场交易形成。</w:t>
      </w:r>
    </w:p>
    <w:p w:rsidR="005477B5" w:rsidRPr="002A79B1" w:rsidRDefault="005477B5" w:rsidP="005477B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第四十二条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5477B5" w:rsidRPr="002A79B1" w:rsidRDefault="005477B5" w:rsidP="005477B5">
      <w:pPr>
        <w:tabs>
          <w:tab w:val="num" w:pos="1215"/>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第四十三条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由于涨跌停板或者其他市场原因有关持仓的强行平仓只能延时完成的，因此发生的亏损仍由会员或者客户承担；未能完</w:t>
      </w:r>
      <w:r w:rsidRPr="002A79B1">
        <w:rPr>
          <w:rFonts w:ascii="宋体" w:hAnsi="宋体" w:cs="宋体" w:hint="eastAsia"/>
          <w:kern w:val="0"/>
          <w:sz w:val="28"/>
          <w:szCs w:val="28"/>
        </w:rPr>
        <w:lastRenderedPageBreak/>
        <w:t>成平仓的，该持仓持有者须继续对此承担持仓责任或者交割义务。</w:t>
      </w:r>
    </w:p>
    <w:p w:rsidR="005477B5" w:rsidRPr="002A79B1" w:rsidRDefault="005477B5" w:rsidP="005477B5">
      <w:pPr>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第四十四条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本办法第三十八条第（四）项实施的强行平仓，亏损由持仓人承担，盈利按国家有关规定执行。</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风险警示制度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第四十五条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期货交易实行风险警示制度。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交易所认为必要时，可以分别或者同时采取要求报告情况、谈话提醒、发布风险提示函等措施，以警示和化解风险。</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第四十六条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（一）合约价格出现异常波动；</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（二）会员、境外经纪机构或者客户交易异常；</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（三）会员、境外经纪机构或者客户持仓异常；</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（四）会员资金异常；</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（五）会员、境外经纪机构或者客户涉嫌违规、违约；</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（六）交易所接到涉及会员、境外经纪机构或者客户的投诉；</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（七）会员、境外经纪机构涉及执法调查；</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（八）交易所认定的其他情况。</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交易所通过电话提醒的，应当保留电话录音；通过当面谈话的，应当保存谈话记录。</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交易所实施谈话提醒的，会员、境外经纪机构或者客户应当按照交易所要求的时间、地点和方式认真履行。</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第四十七条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第四十八条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发生下列情形之一的，交易所可以向全体或者部分会员、境外经纪机构和客户发出风险提示函：</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（一）期货价格出现异常；</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（二）期货价格和现货价格出现较大差距；</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（三）国内期货价格和国际市场价格出现较大差距；</w:t>
      </w:r>
    </w:p>
    <w:p w:rsidR="005477B5" w:rsidRPr="002A79B1" w:rsidRDefault="005477B5" w:rsidP="005477B5">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（四）交易所认定的其他异常情况。</w:t>
      </w:r>
    </w:p>
    <w:p w:rsidR="005477B5" w:rsidRPr="002A79B1" w:rsidRDefault="005477B5" w:rsidP="005477B5">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sidRPr="002A79B1">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附则</w:t>
      </w:r>
    </w:p>
    <w:p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第四十九条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违反本办法规定的，交易所按《郑州商品交易所违规处理办法》有关规定处理。</w:t>
      </w:r>
    </w:p>
    <w:p w:rsidR="005477B5" w:rsidRPr="002A79B1" w:rsidRDefault="005477B5" w:rsidP="005477B5">
      <w:pPr>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t>第五十条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有关夜盘交易相关的风险控制业务，《郑州商品交易所夜盘交易细则》有特殊规定的，从其规定。</w:t>
      </w:r>
    </w:p>
    <w:p w:rsidR="005477B5" w:rsidRPr="002A79B1" w:rsidRDefault="005477B5" w:rsidP="005477B5">
      <w:pPr>
        <w:tabs>
          <w:tab w:val="num" w:pos="1215"/>
          <w:tab w:val="left" w:pos="2310"/>
        </w:tabs>
        <w:adjustRightInd w:val="0"/>
        <w:snapToGrid w:val="0"/>
        <w:spacing w:line="360" w:lineRule="auto"/>
        <w:ind w:firstLineChars="200" w:firstLine="560"/>
        <w:rPr>
          <w:rFonts w:ascii="宋体" w:hAnsi="宋体" w:cs="宋体"/>
          <w:kern w:val="0"/>
          <w:sz w:val="28"/>
          <w:szCs w:val="28"/>
        </w:rPr>
      </w:pPr>
      <w:r w:rsidRPr="002A79B1">
        <w:rPr>
          <w:rFonts w:ascii="宋体" w:eastAsia="黑体" w:hAnsi="宋体" w:cs="宋体" w:hint="eastAsia"/>
          <w:kern w:val="0"/>
          <w:sz w:val="28"/>
          <w:szCs w:val="28"/>
        </w:rPr>
        <w:lastRenderedPageBreak/>
        <w:t>第五十一条</w:t>
      </w:r>
      <w:r w:rsidRPr="002A79B1">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本办法解释权属郑州商品交易所。</w:t>
      </w:r>
    </w:p>
    <w:p w:rsidR="005477B5" w:rsidRPr="002A79B1" w:rsidRDefault="005477B5" w:rsidP="005477B5">
      <w:pPr>
        <w:spacing w:line="360" w:lineRule="auto"/>
        <w:ind w:right="57" w:firstLineChars="200" w:firstLine="560"/>
        <w:rPr>
          <w:rFonts w:ascii="宋体"/>
          <w:sz w:val="28"/>
          <w:szCs w:val="28"/>
        </w:rPr>
      </w:pPr>
      <w:r w:rsidRPr="002A79B1">
        <w:rPr>
          <w:rFonts w:ascii="宋体" w:eastAsia="黑体" w:hAnsi="宋体" w:cs="宋体" w:hint="eastAsia"/>
          <w:kern w:val="0"/>
          <w:sz w:val="28"/>
          <w:szCs w:val="28"/>
        </w:rPr>
        <w:t>第五十二条</w:t>
      </w:r>
      <w:r w:rsidRPr="002A79B1">
        <w:rPr>
          <w:rFonts w:ascii="宋体" w:eastAsia="黑体" w:hAnsi="宋体" w:cs="宋体" w:hint="eastAsia"/>
          <w:kern w:val="0"/>
          <w:sz w:val="28"/>
          <w:szCs w:val="28"/>
        </w:rPr>
        <w:t xml:space="preserve"> </w:t>
      </w:r>
      <w:r w:rsidRPr="002A79B1">
        <w:rPr>
          <w:rFonts w:ascii="宋体" w:hAnsi="宋体" w:cs="宋体" w:hint="eastAsia"/>
          <w:sz w:val="28"/>
          <w:szCs w:val="28"/>
        </w:rPr>
        <w:t>本办法自</w:t>
      </w:r>
      <w:r>
        <w:rPr>
          <w:rFonts w:ascii="宋体" w:hAnsi="宋体" w:cs="宋体" w:hint="eastAsia"/>
          <w:sz w:val="28"/>
          <w:szCs w:val="28"/>
        </w:rPr>
        <w:t>2020</w:t>
      </w:r>
      <w:r w:rsidRPr="002A79B1">
        <w:rPr>
          <w:rFonts w:ascii="宋体" w:hAnsi="宋体" w:cs="宋体" w:hint="eastAsia"/>
          <w:sz w:val="28"/>
          <w:szCs w:val="28"/>
        </w:rPr>
        <w:t>年</w:t>
      </w:r>
      <w:r>
        <w:rPr>
          <w:rFonts w:ascii="宋体" w:hAnsi="宋体" w:cs="宋体"/>
          <w:sz w:val="28"/>
          <w:szCs w:val="28"/>
        </w:rPr>
        <w:t>XX</w:t>
      </w:r>
      <w:r w:rsidRPr="003B7BCE">
        <w:rPr>
          <w:rFonts w:ascii="宋体" w:hAnsi="宋体" w:cs="宋体" w:hint="eastAsia"/>
          <w:sz w:val="28"/>
          <w:szCs w:val="28"/>
        </w:rPr>
        <w:t>月</w:t>
      </w:r>
      <w:r>
        <w:rPr>
          <w:rFonts w:ascii="宋体" w:hAnsi="宋体" w:cs="宋体"/>
          <w:sz w:val="28"/>
          <w:szCs w:val="28"/>
        </w:rPr>
        <w:t>XX</w:t>
      </w:r>
      <w:r w:rsidRPr="003B7BCE">
        <w:rPr>
          <w:rFonts w:ascii="宋体" w:hAnsi="宋体" w:cs="宋体" w:hint="eastAsia"/>
          <w:sz w:val="28"/>
          <w:szCs w:val="28"/>
        </w:rPr>
        <w:t>日</w:t>
      </w:r>
      <w:r w:rsidRPr="002A79B1">
        <w:rPr>
          <w:rFonts w:ascii="宋体" w:hAnsi="宋体" w:cs="宋体" w:hint="eastAsia"/>
          <w:sz w:val="28"/>
          <w:szCs w:val="28"/>
        </w:rPr>
        <w:t>起施行。</w:t>
      </w:r>
    </w:p>
    <w:p w:rsidR="005477B5" w:rsidRPr="002A79B1" w:rsidRDefault="005477B5" w:rsidP="005477B5">
      <w:pPr>
        <w:adjustRightInd w:val="0"/>
        <w:snapToGrid w:val="0"/>
        <w:spacing w:line="520" w:lineRule="exact"/>
        <w:ind w:firstLineChars="200" w:firstLine="560"/>
        <w:rPr>
          <w:rFonts w:ascii="宋体" w:hAnsi="宋体" w:cs="黑体"/>
          <w:sz w:val="28"/>
          <w:szCs w:val="28"/>
        </w:rPr>
      </w:pPr>
      <w:r w:rsidRPr="002A79B1">
        <w:rPr>
          <w:rFonts w:ascii="宋体" w:hint="eastAsia"/>
          <w:kern w:val="0"/>
          <w:sz w:val="28"/>
          <w:szCs w:val="28"/>
        </w:rPr>
        <w:br w:type="page"/>
      </w:r>
      <w:r w:rsidRPr="002A79B1">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8"/>
        <w:gridCol w:w="1277"/>
        <w:gridCol w:w="2129"/>
        <w:gridCol w:w="1132"/>
        <w:gridCol w:w="1084"/>
      </w:tblGrid>
      <w:tr w:rsidR="005477B5" w:rsidRPr="002A79B1" w:rsidTr="00511E62">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jc w:val="center"/>
              <w:rPr>
                <w:rFonts w:ascii="宋体" w:cs="宋体"/>
                <w:bCs/>
                <w:spacing w:val="10"/>
                <w:sz w:val="24"/>
              </w:rPr>
            </w:pPr>
            <w:r w:rsidRPr="002A79B1">
              <w:rPr>
                <w:rFonts w:ascii="宋体" w:hAnsi="宋体" w:cs="宋体" w:hint="eastAsia"/>
                <w:bCs/>
                <w:spacing w:val="10"/>
                <w:sz w:val="24"/>
              </w:rPr>
              <w:t>结果</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有剩余再按步骤3，4分配</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有剩余再按步骤5，6分配</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有剩余再按步骤7，8分配</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分配完毕</w:t>
            </w:r>
          </w:p>
        </w:tc>
      </w:tr>
      <w:tr w:rsidR="005477B5" w:rsidRPr="002A79B1" w:rsidTr="00511E62">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center"/>
              <w:rPr>
                <w:rFonts w:ascii="宋体" w:hAnsi="宋体" w:cs="宋体"/>
                <w:spacing w:val="10"/>
                <w:sz w:val="24"/>
              </w:rPr>
            </w:pPr>
            <w:r w:rsidRPr="002A79B1">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hAnsi="宋体" w:cs="宋体"/>
                <w:spacing w:val="10"/>
                <w:sz w:val="24"/>
              </w:rPr>
            </w:pPr>
            <w:r w:rsidRPr="002A79B1">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5477B5" w:rsidRPr="002A79B1" w:rsidRDefault="005477B5" w:rsidP="00511E62">
            <w:pPr>
              <w:tabs>
                <w:tab w:val="left" w:pos="1854"/>
                <w:tab w:val="left" w:pos="2100"/>
              </w:tabs>
              <w:adjustRightInd w:val="0"/>
              <w:snapToGrid w:val="0"/>
              <w:spacing w:line="240" w:lineRule="atLeast"/>
              <w:jc w:val="left"/>
              <w:rPr>
                <w:rFonts w:ascii="宋体" w:cs="宋体"/>
                <w:spacing w:val="10"/>
                <w:sz w:val="24"/>
              </w:rPr>
            </w:pPr>
            <w:r w:rsidRPr="002A79B1">
              <w:rPr>
                <w:rFonts w:ascii="宋体" w:hAnsi="宋体" w:cs="宋体" w:hint="eastAsia"/>
                <w:spacing w:val="10"/>
                <w:sz w:val="24"/>
              </w:rPr>
              <w:t>有剩余不再分配</w:t>
            </w:r>
          </w:p>
        </w:tc>
      </w:tr>
    </w:tbl>
    <w:p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注：1.剩余申报平仓数量1=申报平仓数量-盈利2倍的投机持仓数量；</w:t>
      </w:r>
    </w:p>
    <w:p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2.剩余申报平仓数量2=剩余申报平仓数量1-盈利1倍的投机持仓数量；</w:t>
      </w:r>
    </w:p>
    <w:p w:rsidR="005477B5" w:rsidRPr="002A79B1" w:rsidRDefault="005477B5" w:rsidP="005477B5">
      <w:pPr>
        <w:widowControl/>
        <w:ind w:firstLineChars="200" w:firstLine="560"/>
        <w:outlineLvl w:val="3"/>
        <w:rPr>
          <w:rFonts w:ascii="宋体" w:hAnsi="宋体" w:cs="宋体"/>
          <w:kern w:val="0"/>
          <w:sz w:val="28"/>
          <w:szCs w:val="28"/>
        </w:rPr>
      </w:pPr>
      <w:r w:rsidRPr="002A79B1">
        <w:rPr>
          <w:rFonts w:ascii="宋体" w:hAnsi="宋体" w:cs="宋体" w:hint="eastAsia"/>
          <w:kern w:val="0"/>
          <w:sz w:val="28"/>
          <w:szCs w:val="28"/>
        </w:rPr>
        <w:t>3.剩余申报平仓数量3=剩余申报平仓数量2-盈利1倍以下的投机持仓数量；</w:t>
      </w:r>
    </w:p>
    <w:p w:rsidR="00D71A04" w:rsidRPr="005477B5" w:rsidRDefault="005477B5" w:rsidP="005477B5">
      <w:pPr>
        <w:ind w:firstLineChars="200" w:firstLine="560"/>
      </w:pPr>
      <w:r w:rsidRPr="002A79B1">
        <w:rPr>
          <w:rFonts w:ascii="宋体" w:hAnsi="宋体" w:cs="宋体" w:hint="eastAsia"/>
          <w:kern w:val="0"/>
          <w:sz w:val="28"/>
          <w:szCs w:val="28"/>
        </w:rPr>
        <w:t>4.投机持仓数量和保值持仓数量是指在平仓范围内盈利客户的持仓数量。</w:t>
      </w:r>
    </w:p>
    <w:sectPr w:rsidR="00D71A04" w:rsidRPr="005477B5" w:rsidSect="003239F8">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C7" w:rsidRDefault="00923BC7" w:rsidP="005477B5">
      <w:r>
        <w:separator/>
      </w:r>
    </w:p>
  </w:endnote>
  <w:endnote w:type="continuationSeparator" w:id="1">
    <w:p w:rsidR="00923BC7" w:rsidRDefault="00923BC7" w:rsidP="005477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B4" w:rsidRDefault="00923BC7">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B4" w:rsidRDefault="00923BC7">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sidR="005477B5">
      <w:rPr>
        <w:rStyle w:val="a4"/>
        <w:noProof/>
        <w:sz w:val="28"/>
      </w:rPr>
      <w:t>19</w:t>
    </w:r>
    <w:r>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C7" w:rsidRDefault="00923BC7" w:rsidP="005477B5">
      <w:r>
        <w:separator/>
      </w:r>
    </w:p>
  </w:footnote>
  <w:footnote w:type="continuationSeparator" w:id="1">
    <w:p w:rsidR="00923BC7" w:rsidRDefault="00923BC7" w:rsidP="005477B5">
      <w:r>
        <w:continuationSeparator/>
      </w:r>
    </w:p>
  </w:footnote>
  <w:footnote w:id="2">
    <w:p w:rsidR="005477B5" w:rsidRDefault="005477B5" w:rsidP="005477B5">
      <w:pPr>
        <w:pStyle w:val="a5"/>
      </w:pPr>
      <w:r>
        <w:rPr>
          <w:rStyle w:val="a6"/>
        </w:rPr>
        <w:footnoteRef/>
      </w:r>
      <w:r>
        <w:rPr>
          <w:rFonts w:cs="宋体" w:hint="eastAsia"/>
        </w:rPr>
        <w:t>各品种中，普通小麦简称“普麦”，优质强筋小麦简称“强麦”，精对苯二甲酸统称“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干制红枣简称“红枣”，涤纶短纤简称“短纤”。</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77B5"/>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1127"/>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3C0"/>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190"/>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0F06"/>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3AD"/>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287F"/>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3C3"/>
    <w:rsid w:val="002C563E"/>
    <w:rsid w:val="002C6944"/>
    <w:rsid w:val="002C705C"/>
    <w:rsid w:val="002C70ED"/>
    <w:rsid w:val="002C7C6A"/>
    <w:rsid w:val="002D049A"/>
    <w:rsid w:val="002D19ED"/>
    <w:rsid w:val="002D2F14"/>
    <w:rsid w:val="002D431C"/>
    <w:rsid w:val="002D4D7C"/>
    <w:rsid w:val="002D6520"/>
    <w:rsid w:val="002D777F"/>
    <w:rsid w:val="002D77B4"/>
    <w:rsid w:val="002D7FFA"/>
    <w:rsid w:val="002E0A33"/>
    <w:rsid w:val="002E0E53"/>
    <w:rsid w:val="002E0EA0"/>
    <w:rsid w:val="002E1435"/>
    <w:rsid w:val="002E16DA"/>
    <w:rsid w:val="002E3409"/>
    <w:rsid w:val="002E3604"/>
    <w:rsid w:val="002E3DD0"/>
    <w:rsid w:val="002E738A"/>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593F"/>
    <w:rsid w:val="00365A9E"/>
    <w:rsid w:val="003668C3"/>
    <w:rsid w:val="003668FB"/>
    <w:rsid w:val="00366AC5"/>
    <w:rsid w:val="00367510"/>
    <w:rsid w:val="00367B79"/>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3BFC"/>
    <w:rsid w:val="0048573C"/>
    <w:rsid w:val="00485B09"/>
    <w:rsid w:val="00486659"/>
    <w:rsid w:val="0048795F"/>
    <w:rsid w:val="004907BC"/>
    <w:rsid w:val="004909B3"/>
    <w:rsid w:val="00490F21"/>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685"/>
    <w:rsid w:val="004C193D"/>
    <w:rsid w:val="004C203C"/>
    <w:rsid w:val="004C290F"/>
    <w:rsid w:val="004C30AE"/>
    <w:rsid w:val="004C30EE"/>
    <w:rsid w:val="004C31FB"/>
    <w:rsid w:val="004C42F4"/>
    <w:rsid w:val="004C47F5"/>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7B5"/>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1094"/>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3B49"/>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1B7"/>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57FF"/>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4ADF"/>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4C8"/>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07BB0"/>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3BC7"/>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4AE"/>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075F"/>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1DCF"/>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3A7"/>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5EF"/>
    <w:rsid w:val="00B44A89"/>
    <w:rsid w:val="00B44C74"/>
    <w:rsid w:val="00B44F40"/>
    <w:rsid w:val="00B45653"/>
    <w:rsid w:val="00B45FC9"/>
    <w:rsid w:val="00B46007"/>
    <w:rsid w:val="00B46BF1"/>
    <w:rsid w:val="00B50269"/>
    <w:rsid w:val="00B5058C"/>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66B8"/>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6C8"/>
    <w:rsid w:val="00CA1BE8"/>
    <w:rsid w:val="00CA290E"/>
    <w:rsid w:val="00CA2EDE"/>
    <w:rsid w:val="00CA3796"/>
    <w:rsid w:val="00CA4437"/>
    <w:rsid w:val="00CA5820"/>
    <w:rsid w:val="00CA6482"/>
    <w:rsid w:val="00CB08D0"/>
    <w:rsid w:val="00CB0B34"/>
    <w:rsid w:val="00CB13CA"/>
    <w:rsid w:val="00CB17D7"/>
    <w:rsid w:val="00CB19A3"/>
    <w:rsid w:val="00CB3C9C"/>
    <w:rsid w:val="00CB523D"/>
    <w:rsid w:val="00CB54DF"/>
    <w:rsid w:val="00CB5998"/>
    <w:rsid w:val="00CB5F96"/>
    <w:rsid w:val="00CB6871"/>
    <w:rsid w:val="00CC0295"/>
    <w:rsid w:val="00CC04F8"/>
    <w:rsid w:val="00CC142B"/>
    <w:rsid w:val="00CC1DCC"/>
    <w:rsid w:val="00CC1FD1"/>
    <w:rsid w:val="00CC2BDC"/>
    <w:rsid w:val="00CC2E6D"/>
    <w:rsid w:val="00CC2EB2"/>
    <w:rsid w:val="00CC34F4"/>
    <w:rsid w:val="00CC3E24"/>
    <w:rsid w:val="00CC484E"/>
    <w:rsid w:val="00CC5274"/>
    <w:rsid w:val="00CC53D6"/>
    <w:rsid w:val="00CC5AC4"/>
    <w:rsid w:val="00CC6699"/>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215B"/>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2BD"/>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005"/>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4EE5"/>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4F63"/>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1B9A"/>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13AE"/>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05"/>
    <w:rsid w:val="00F47EC5"/>
    <w:rsid w:val="00F50D28"/>
    <w:rsid w:val="00F50D75"/>
    <w:rsid w:val="00F510E1"/>
    <w:rsid w:val="00F512EC"/>
    <w:rsid w:val="00F51588"/>
    <w:rsid w:val="00F52310"/>
    <w:rsid w:val="00F52391"/>
    <w:rsid w:val="00F52A78"/>
    <w:rsid w:val="00F52DD8"/>
    <w:rsid w:val="00F53CE0"/>
    <w:rsid w:val="00F54316"/>
    <w:rsid w:val="00F54671"/>
    <w:rsid w:val="00F553DE"/>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6659"/>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314"/>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CBF"/>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7B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77B5"/>
    <w:pPr>
      <w:tabs>
        <w:tab w:val="center" w:pos="4153"/>
        <w:tab w:val="right" w:pos="8306"/>
      </w:tabs>
      <w:snapToGrid w:val="0"/>
      <w:jc w:val="left"/>
    </w:pPr>
    <w:rPr>
      <w:sz w:val="18"/>
      <w:szCs w:val="18"/>
    </w:rPr>
  </w:style>
  <w:style w:type="character" w:customStyle="1" w:styleId="Char">
    <w:name w:val="页脚 Char"/>
    <w:basedOn w:val="a0"/>
    <w:link w:val="a3"/>
    <w:uiPriority w:val="99"/>
    <w:rsid w:val="005477B5"/>
    <w:rPr>
      <w:rFonts w:ascii="Times New Roman" w:eastAsia="宋体" w:hAnsi="Times New Roman" w:cs="Times New Roman"/>
      <w:sz w:val="18"/>
      <w:szCs w:val="18"/>
    </w:rPr>
  </w:style>
  <w:style w:type="character" w:styleId="a4">
    <w:name w:val="page number"/>
    <w:basedOn w:val="a0"/>
    <w:rsid w:val="005477B5"/>
  </w:style>
  <w:style w:type="paragraph" w:styleId="a5">
    <w:name w:val="footnote text"/>
    <w:basedOn w:val="a"/>
    <w:link w:val="Char1"/>
    <w:uiPriority w:val="99"/>
    <w:unhideWhenUsed/>
    <w:rsid w:val="005477B5"/>
    <w:pPr>
      <w:snapToGrid w:val="0"/>
      <w:jc w:val="left"/>
    </w:pPr>
    <w:rPr>
      <w:kern w:val="0"/>
      <w:sz w:val="18"/>
      <w:szCs w:val="18"/>
    </w:rPr>
  </w:style>
  <w:style w:type="character" w:customStyle="1" w:styleId="Char0">
    <w:name w:val="脚注文本 Char"/>
    <w:basedOn w:val="a0"/>
    <w:link w:val="a5"/>
    <w:uiPriority w:val="99"/>
    <w:semiHidden/>
    <w:rsid w:val="005477B5"/>
    <w:rPr>
      <w:rFonts w:ascii="Times New Roman" w:eastAsia="宋体" w:hAnsi="Times New Roman" w:cs="Times New Roman"/>
      <w:sz w:val="18"/>
      <w:szCs w:val="18"/>
    </w:rPr>
  </w:style>
  <w:style w:type="character" w:styleId="a6">
    <w:name w:val="footnote reference"/>
    <w:unhideWhenUsed/>
    <w:rsid w:val="005477B5"/>
    <w:rPr>
      <w:vertAlign w:val="superscript"/>
    </w:rPr>
  </w:style>
  <w:style w:type="character" w:customStyle="1" w:styleId="Char1">
    <w:name w:val="脚注文本 Char1"/>
    <w:link w:val="a5"/>
    <w:uiPriority w:val="99"/>
    <w:locked/>
    <w:rsid w:val="005477B5"/>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1510</Words>
  <Characters>8608</Characters>
  <Application>Microsoft Office Word</Application>
  <DocSecurity>0</DocSecurity>
  <Lines>71</Lines>
  <Paragraphs>20</Paragraphs>
  <ScaleCrop>false</ScaleCrop>
  <Company>Lenovo</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2020-09-10T11:11:00Z</dcterms:created>
  <dcterms:modified xsi:type="dcterms:W3CDTF">2020-09-10T11:11:00Z</dcterms:modified>
</cp:coreProperties>
</file>