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2C" w:rsidRPr="00222005" w:rsidRDefault="00375F2C" w:rsidP="00375F2C">
      <w:pPr>
        <w:rPr>
          <w:rFonts w:ascii="黑体" w:eastAsia="黑体" w:hAnsi="黑体"/>
          <w:sz w:val="32"/>
          <w:szCs w:val="32"/>
        </w:rPr>
      </w:pPr>
      <w:r w:rsidRPr="00222005">
        <w:rPr>
          <w:rFonts w:ascii="黑体" w:eastAsia="黑体" w:hAnsi="黑体" w:hint="eastAsia"/>
          <w:sz w:val="32"/>
          <w:szCs w:val="32"/>
        </w:rPr>
        <w:t>附件4</w:t>
      </w:r>
    </w:p>
    <w:p w:rsidR="00375F2C" w:rsidRDefault="00375F2C" w:rsidP="00375F2C">
      <w:pPr>
        <w:jc w:val="center"/>
        <w:rPr>
          <w:rFonts w:ascii="宋体" w:hAnsi="宋体"/>
          <w:b/>
          <w:sz w:val="44"/>
          <w:szCs w:val="36"/>
        </w:rPr>
      </w:pPr>
      <w:r>
        <w:rPr>
          <w:rFonts w:ascii="宋体" w:hAnsi="宋体" w:hint="eastAsia"/>
          <w:b/>
          <w:sz w:val="44"/>
          <w:szCs w:val="36"/>
        </w:rPr>
        <w:t>郑州商品交易所期货交割细则</w:t>
      </w:r>
    </w:p>
    <w:p w:rsidR="00375F2C" w:rsidRPr="007E3294" w:rsidRDefault="00375F2C" w:rsidP="00375F2C">
      <w:pPr>
        <w:spacing w:before="240" w:after="240"/>
      </w:pPr>
      <w:r w:rsidRPr="002D4476">
        <w:rPr>
          <w:rFonts w:ascii="宋体" w:hAnsi="宋体" w:hint="eastAsia"/>
          <w:sz w:val="24"/>
        </w:rPr>
        <w:t>（2018年5月18</w:t>
      </w:r>
      <w:r>
        <w:rPr>
          <w:rFonts w:ascii="宋体" w:hAnsi="宋体" w:hint="eastAsia"/>
          <w:sz w:val="24"/>
        </w:rPr>
        <w:t>日第六届理事会第八次会议修订，</w:t>
      </w:r>
      <w:r w:rsidRPr="002D4476">
        <w:rPr>
          <w:rFonts w:ascii="宋体" w:hAnsi="宋体" w:hint="eastAsia"/>
          <w:sz w:val="24"/>
        </w:rPr>
        <w:t>2018年6月7日发布，</w:t>
      </w:r>
      <w:r>
        <w:rPr>
          <w:rFonts w:ascii="宋体" w:hAnsi="宋体" w:hint="eastAsia"/>
          <w:sz w:val="24"/>
        </w:rPr>
        <w:t>修订</w:t>
      </w:r>
      <w:r w:rsidRPr="002D4476">
        <w:rPr>
          <w:rFonts w:ascii="宋体" w:hAnsi="宋体" w:hint="eastAsia"/>
          <w:sz w:val="24"/>
        </w:rPr>
        <w:t>部分自2019年12月1</w:t>
      </w:r>
      <w:r>
        <w:rPr>
          <w:rFonts w:ascii="宋体" w:hAnsi="宋体" w:hint="eastAsia"/>
          <w:sz w:val="24"/>
        </w:rPr>
        <w:t>日起施行；2018年10月16日第六届理事会第十一次会议修订，2018年10月</w:t>
      </w:r>
      <w:r w:rsidRPr="002C7078">
        <w:rPr>
          <w:rFonts w:ascii="宋体" w:hAnsi="宋体" w:hint="eastAsia"/>
          <w:sz w:val="24"/>
        </w:rPr>
        <w:t>17</w:t>
      </w:r>
      <w:r>
        <w:rPr>
          <w:rFonts w:ascii="宋体" w:hAnsi="宋体" w:hint="eastAsia"/>
          <w:sz w:val="24"/>
        </w:rPr>
        <w:t>日发布，修订部分自苹果1910合约起施行；</w:t>
      </w:r>
      <w:r w:rsidRPr="00E25D5D">
        <w:rPr>
          <w:rFonts w:ascii="宋体" w:hAnsi="宋体" w:hint="eastAsia"/>
          <w:sz w:val="24"/>
        </w:rPr>
        <w:t>2018年10月23日第六届理事会第十二次会议修订，2018年11月9日发布，</w:t>
      </w:r>
      <w:r>
        <w:rPr>
          <w:rFonts w:ascii="宋体" w:hAnsi="宋体" w:hint="eastAsia"/>
          <w:sz w:val="24"/>
        </w:rPr>
        <w:t>除</w:t>
      </w:r>
      <w:r w:rsidRPr="00B403F9">
        <w:rPr>
          <w:rFonts w:ascii="宋体" w:hAnsi="宋体" w:hint="eastAsia"/>
          <w:sz w:val="24"/>
        </w:rPr>
        <w:t>第七十一条、第七十五条、第九十一条、第一百零六条</w:t>
      </w:r>
      <w:r>
        <w:rPr>
          <w:rFonts w:ascii="宋体" w:hAnsi="宋体" w:hint="eastAsia"/>
          <w:sz w:val="24"/>
        </w:rPr>
        <w:t>修订部分</w:t>
      </w:r>
      <w:r w:rsidRPr="00B403F9">
        <w:rPr>
          <w:rFonts w:ascii="宋体" w:hAnsi="宋体" w:hint="eastAsia"/>
          <w:sz w:val="24"/>
        </w:rPr>
        <w:t>自2019年5月2日起施行之外</w:t>
      </w:r>
      <w:r>
        <w:rPr>
          <w:rFonts w:ascii="宋体" w:hAnsi="宋体" w:hint="eastAsia"/>
          <w:sz w:val="24"/>
        </w:rPr>
        <w:t>，其他修订</w:t>
      </w:r>
      <w:r w:rsidRPr="00E25D5D">
        <w:rPr>
          <w:rFonts w:ascii="宋体" w:hAnsi="宋体" w:hint="eastAsia"/>
          <w:sz w:val="24"/>
        </w:rPr>
        <w:t>部分自2018年11月9日起施行</w:t>
      </w:r>
      <w:r>
        <w:rPr>
          <w:rFonts w:ascii="宋体" w:hAnsi="宋体" w:hint="eastAsia"/>
          <w:sz w:val="24"/>
        </w:rPr>
        <w:t>；</w:t>
      </w:r>
      <w:r w:rsidRPr="004407AF">
        <w:rPr>
          <w:rFonts w:ascii="宋体" w:hAnsi="宋体" w:hint="eastAsia"/>
          <w:sz w:val="24"/>
        </w:rPr>
        <w:t>2019年2月28日第六届理事会第十五次会议</w:t>
      </w:r>
      <w:r>
        <w:rPr>
          <w:rFonts w:ascii="宋体" w:hAnsi="宋体" w:hint="eastAsia"/>
          <w:sz w:val="24"/>
        </w:rPr>
        <w:t>修订，2019年3月4日发布，修订部分自</w:t>
      </w:r>
      <w:r w:rsidRPr="00707035">
        <w:rPr>
          <w:rFonts w:ascii="宋体" w:hAnsi="宋体" w:hint="eastAsia"/>
          <w:sz w:val="24"/>
        </w:rPr>
        <w:t>棉纱1910合约</w:t>
      </w:r>
      <w:r>
        <w:rPr>
          <w:rFonts w:ascii="宋体" w:hAnsi="宋体" w:hint="eastAsia"/>
          <w:sz w:val="24"/>
        </w:rPr>
        <w:t>起施行；2019年4月16日第六届理事会第十七次会议修订，2019年4月24日发布，修订部分自2019年4月30日起施行；</w:t>
      </w:r>
      <w:r w:rsidRPr="001515A5">
        <w:rPr>
          <w:rFonts w:ascii="宋体" w:hAnsi="宋体" w:hint="eastAsia"/>
          <w:sz w:val="24"/>
        </w:rPr>
        <w:t>2019年5月8日第六届理事会第十八次会议修订,</w:t>
      </w:r>
      <w:r>
        <w:rPr>
          <w:rFonts w:ascii="宋体" w:hAnsi="宋体" w:hint="eastAsia"/>
          <w:sz w:val="24"/>
        </w:rPr>
        <w:t>2019年5月15日发布，</w:t>
      </w:r>
      <w:r w:rsidRPr="001515A5">
        <w:rPr>
          <w:rFonts w:ascii="宋体" w:hAnsi="宋体" w:hint="eastAsia"/>
          <w:sz w:val="24"/>
        </w:rPr>
        <w:t>修订部分自</w:t>
      </w:r>
      <w:r>
        <w:rPr>
          <w:rFonts w:ascii="宋体" w:hAnsi="宋体" w:hint="eastAsia"/>
          <w:sz w:val="24"/>
        </w:rPr>
        <w:t>玻璃2005合约</w:t>
      </w:r>
      <w:r w:rsidRPr="001515A5">
        <w:rPr>
          <w:rFonts w:ascii="宋体" w:hAnsi="宋体" w:hint="eastAsia"/>
          <w:sz w:val="24"/>
        </w:rPr>
        <w:t>起施行</w:t>
      </w:r>
      <w:r>
        <w:rPr>
          <w:rFonts w:ascii="宋体" w:hAnsi="宋体" w:hint="eastAsia"/>
          <w:sz w:val="24"/>
        </w:rPr>
        <w:t>；</w:t>
      </w:r>
      <w:r>
        <w:rPr>
          <w:rFonts w:ascii="宋体" w:hAnsi="宋体" w:hint="eastAsia"/>
          <w:sz w:val="24"/>
          <w:szCs w:val="23"/>
        </w:rPr>
        <w:t>2019年7月23日第六届理事会第二十一次会议修订，2019年8月2日发布，修订部分自2019年8月9日起施行；</w:t>
      </w:r>
      <w:r w:rsidRPr="007D7291">
        <w:rPr>
          <w:rFonts w:ascii="宋体" w:hAnsi="宋体" w:hint="eastAsia"/>
          <w:sz w:val="24"/>
        </w:rPr>
        <w:t>2019年6月19日第六届理事会第二十次会议修订,</w:t>
      </w:r>
      <w:r w:rsidRPr="00345463">
        <w:rPr>
          <w:rFonts w:ascii="宋体" w:hAnsi="宋体" w:hint="eastAsia"/>
          <w:sz w:val="24"/>
        </w:rPr>
        <w:t>2019年9月24日发布，</w:t>
      </w:r>
      <w:r w:rsidRPr="007D7291">
        <w:rPr>
          <w:rFonts w:ascii="宋体" w:hAnsi="宋体" w:hint="eastAsia"/>
          <w:sz w:val="24"/>
        </w:rPr>
        <w:t>修订部分自</w:t>
      </w:r>
      <w:r>
        <w:rPr>
          <w:rFonts w:ascii="宋体" w:hAnsi="宋体" w:hint="eastAsia"/>
          <w:sz w:val="24"/>
        </w:rPr>
        <w:t>强麦</w:t>
      </w:r>
      <w:r w:rsidRPr="007D7291">
        <w:rPr>
          <w:rFonts w:ascii="宋体" w:hAnsi="宋体" w:hint="eastAsia"/>
          <w:sz w:val="24"/>
        </w:rPr>
        <w:t>2003合约起施行</w:t>
      </w:r>
      <w:r w:rsidRPr="00E25D5D">
        <w:rPr>
          <w:rFonts w:ascii="宋体" w:hAnsi="宋体" w:hint="eastAsia"/>
          <w:sz w:val="24"/>
        </w:rPr>
        <w:t>）</w:t>
      </w:r>
    </w:p>
    <w:p w:rsidR="00375F2C" w:rsidRDefault="00375F2C" w:rsidP="00375F2C">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总则</w:t>
      </w:r>
    </w:p>
    <w:p w:rsidR="00375F2C" w:rsidRDefault="00375F2C" w:rsidP="00375F2C">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交易所交割业务按本细则进行，交易所、会员、客户、境外经纪机构、交割仓库（以下简称仓库）、交割中转仓库（以下简称中转仓库）、交割厂库（以下简称厂库）及指定质检机构必须遵守本细则。</w:t>
      </w:r>
    </w:p>
    <w:p w:rsidR="00375F2C" w:rsidRDefault="00375F2C" w:rsidP="00375F2C">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375F2C" w:rsidRDefault="00375F2C" w:rsidP="00375F2C">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标准仓单的期货交割实行三日交割法。</w:t>
      </w:r>
    </w:p>
    <w:p w:rsidR="00375F2C" w:rsidRDefault="00375F2C" w:rsidP="00375F2C">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标准仓单以外的期货交割根据品种不同确定具体的交货流程。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交易所上市期货品种采用仓库交割、中转仓库交割、厂库交割、车（船）板交割等交割方式。</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仓库交割是指卖方通过将指定交割仓库开具的相关商品仓库仓单转移给买方以完成实物交割的交割方式。</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中转仓库交割是指卖方通过将中转仓库开具的相关商品中转仓单转移给买方以完成实物交割的交割方式。</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厂库交割是指卖方通过将指定交割厂库开具的相关商品标准仓单转移给买方以完成实物交割的交割方式。</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车（船）板交割是指卖方在交易所指定交割计价点将货物装至买方汽车板、火车板或轮船板，完成货物交收的一种实物交割方式。</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交割计价点是指车（船）板交割时由交易所指定的用于计算双方各自应承担交割费用的地点。</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交易所在交割计价点设置指定交割仓库或者其他交割服务机构，买卖双方选择在交割计价点交割的，应通过以上机构开展，并须交付一定的费用。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各品种采用的交割方式如下：</w:t>
      </w:r>
    </w:p>
    <w:p w:rsidR="00375F2C" w:rsidRDefault="00375F2C" w:rsidP="00375F2C">
      <w:pPr>
        <w:widowControl/>
        <w:spacing w:line="360" w:lineRule="auto"/>
        <w:ind w:firstLineChars="200" w:firstLine="560"/>
        <w:outlineLvl w:val="3"/>
        <w:rPr>
          <w:rFonts w:ascii="宋体" w:hAnsi="宋体" w:cs="宋体"/>
          <w:kern w:val="0"/>
          <w:sz w:val="28"/>
          <w:szCs w:val="28"/>
        </w:rPr>
      </w:pPr>
      <w:r w:rsidRPr="00222F7F">
        <w:rPr>
          <w:rFonts w:ascii="宋体" w:hAnsi="宋体" w:cs="宋体" w:hint="eastAsia"/>
          <w:kern w:val="0"/>
          <w:sz w:val="28"/>
          <w:szCs w:val="28"/>
        </w:rPr>
        <w:t>强麦：车（船）板交割。</w:t>
      </w:r>
    </w:p>
    <w:p w:rsidR="00375F2C" w:rsidRPr="0065118C" w:rsidRDefault="00375F2C" w:rsidP="00375F2C">
      <w:pPr>
        <w:widowControl/>
        <w:spacing w:line="360" w:lineRule="auto"/>
        <w:ind w:firstLineChars="200" w:firstLine="560"/>
        <w:outlineLvl w:val="3"/>
        <w:rPr>
          <w:rFonts w:ascii="宋体" w:hAnsi="宋体" w:cs="宋体"/>
          <w:kern w:val="0"/>
          <w:sz w:val="28"/>
          <w:szCs w:val="28"/>
        </w:rPr>
      </w:pPr>
      <w:r w:rsidRPr="0065118C">
        <w:rPr>
          <w:rFonts w:ascii="宋体" w:hAnsi="宋体" w:cs="宋体" w:hint="eastAsia"/>
          <w:kern w:val="0"/>
          <w:sz w:val="28"/>
          <w:szCs w:val="28"/>
        </w:rPr>
        <w:t>早籼稻</w:t>
      </w:r>
      <w:r w:rsidRPr="00DF7043">
        <w:rPr>
          <w:rFonts w:ascii="宋体" w:hAnsi="宋体" w:cs="宋体" w:hint="eastAsia"/>
          <w:kern w:val="0"/>
          <w:sz w:val="28"/>
          <w:szCs w:val="28"/>
        </w:rPr>
        <w:t>、红枣</w:t>
      </w:r>
      <w:r w:rsidRPr="0065118C">
        <w:rPr>
          <w:rFonts w:ascii="宋体" w:hAnsi="宋体" w:cs="宋体" w:hint="eastAsia"/>
          <w:kern w:val="0"/>
          <w:sz w:val="28"/>
          <w:szCs w:val="28"/>
        </w:rPr>
        <w:t>：仓库交割。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棉花：仓库交割和中转仓库交割。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甲醇、菜粕、晚籼稻、粳稻、白糖、PTA、菜油、硅铁、锰硅</w:t>
      </w:r>
      <w:r>
        <w:rPr>
          <w:rFonts w:ascii="宋体" w:hAnsi="宋体" w:cs="宋体" w:hint="eastAsia"/>
          <w:spacing w:val="-10"/>
          <w:kern w:val="0"/>
          <w:sz w:val="28"/>
          <w:szCs w:val="28"/>
        </w:rPr>
        <w:t>、棉纱、尿素</w:t>
      </w:r>
      <w:r>
        <w:rPr>
          <w:rFonts w:ascii="宋体" w:hAnsi="宋体" w:cs="宋体" w:hint="eastAsia"/>
          <w:kern w:val="0"/>
          <w:sz w:val="28"/>
          <w:szCs w:val="28"/>
        </w:rPr>
        <w:t>：仓库交割和厂库交割。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普麦、菜籽：车（船）板交割和仓库交割。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玻璃：厂库交割。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动力煤：车（船）板交割和厂库交割。</w:t>
      </w:r>
    </w:p>
    <w:p w:rsidR="00375F2C" w:rsidRPr="0026796C" w:rsidRDefault="00375F2C" w:rsidP="00375F2C">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苹果：车（船）板交割、仓库交割和厂库交割。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客户的期货交割须由会员办理，并以会员名义在交易所进行，交割结果由客户承担。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中转仓单不得用于交割月最后交易日下午闭市后的配对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菜粕交付增值税普通发票。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苹果、红枣交付增值税专用发票或农产品销售发票。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合约价值（按配对日交割结算价计算）10%的违约金，违约金支付给对方，终止交割；买卖双方均属上述情况的，交易所按本条规定比例核算的金额对双方进行处罚，终止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最后交易日下午闭市后被配对交割的卖方，仅持有中转仓单或同时持有中转仓单和标准仓单，但持有的标准仓单数量不能满足交易所规定的交割要求的，视为违约。由交易所对卖方的违约持仓部分处以合约价值（按配对日交割结算价计算）20%的违约金，违约金支付给买方，终止交割。</w:t>
      </w:r>
    </w:p>
    <w:p w:rsidR="00375F2C" w:rsidRDefault="00375F2C" w:rsidP="00375F2C">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第二章</w:t>
      </w:r>
      <w:bookmarkStart w:id="0" w:name="_Toc392878583"/>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期货交割标准</w:t>
      </w:r>
      <w:bookmarkEnd w:id="0"/>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普通小麦</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普通小麦（以下简称普麦）交割适用国家标准、国家相关规定及本细则规定。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小麦》（GB 1351-2008）的三等及以上小麦，且不完善粒中生芽粒≤2.0%、霉变粒≤2.0%。</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lastRenderedPageBreak/>
        <w:t>（二）1.0%＜杂质≤1.5%的，以1.0%为基准，杂质每超0.5%，入库扣量（出库补量）1％；不足0.5%的，入库不扣量（出库不补量）。车船板交货时按出库处理。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（三）8.0%＜不完善粒≤12.0%的，以8.0%为基准，不完善粒每超1.0%，入库扣量（出库补量）1.0％。车船板交货时按出库处理。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普麦接收、储存、发运采用散粮方式。</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优质强筋小麦</w:t>
      </w:r>
    </w:p>
    <w:p w:rsidR="00375F2C" w:rsidRDefault="00375F2C" w:rsidP="00375F2C">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优质强筋小麦（以下简称强麦）交割适用国家标准、国家相关规定及本细则规定：</w:t>
      </w:r>
    </w:p>
    <w:p w:rsidR="00375F2C" w:rsidRPr="005935BF" w:rsidRDefault="00375F2C" w:rsidP="00375F2C">
      <w:pPr>
        <w:widowControl/>
        <w:spacing w:line="360" w:lineRule="auto"/>
        <w:ind w:firstLineChars="200" w:firstLine="560"/>
        <w:outlineLvl w:val="3"/>
        <w:rPr>
          <w:rFonts w:ascii="宋体" w:hAnsi="宋体" w:cs="宋体"/>
          <w:kern w:val="0"/>
          <w:sz w:val="28"/>
          <w:szCs w:val="28"/>
        </w:rPr>
      </w:pPr>
      <w:r w:rsidRPr="005935BF">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375F2C" w:rsidRPr="005935BF" w:rsidRDefault="00375F2C" w:rsidP="00375F2C">
      <w:pPr>
        <w:widowControl/>
        <w:spacing w:line="360" w:lineRule="auto"/>
        <w:ind w:firstLineChars="200" w:firstLine="560"/>
        <w:outlineLvl w:val="3"/>
        <w:rPr>
          <w:rFonts w:ascii="宋体" w:hAnsi="宋体" w:cs="宋体"/>
          <w:kern w:val="0"/>
          <w:sz w:val="28"/>
          <w:szCs w:val="28"/>
        </w:rPr>
      </w:pPr>
      <w:r w:rsidRPr="005935BF">
        <w:rPr>
          <w:rFonts w:ascii="宋体" w:hAnsi="宋体" w:cs="宋体" w:hint="eastAsia"/>
          <w:kern w:val="0"/>
          <w:sz w:val="28"/>
          <w:szCs w:val="28"/>
        </w:rPr>
        <w:t>替代品质量差异及升贴水：</w:t>
      </w:r>
    </w:p>
    <w:p w:rsidR="00375F2C" w:rsidRPr="005935BF" w:rsidRDefault="00375F2C" w:rsidP="00375F2C">
      <w:pPr>
        <w:widowControl/>
        <w:spacing w:line="360" w:lineRule="auto"/>
        <w:ind w:firstLineChars="200" w:firstLine="560"/>
        <w:outlineLvl w:val="3"/>
        <w:rPr>
          <w:rFonts w:ascii="宋体" w:hAnsi="宋体" w:cs="宋体"/>
          <w:kern w:val="0"/>
          <w:sz w:val="28"/>
          <w:szCs w:val="28"/>
        </w:rPr>
      </w:pPr>
      <w:r w:rsidRPr="005935BF">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375F2C" w:rsidRDefault="00375F2C" w:rsidP="00375F2C">
      <w:pPr>
        <w:widowControl/>
        <w:spacing w:line="360" w:lineRule="auto"/>
        <w:ind w:firstLineChars="200" w:firstLine="560"/>
        <w:outlineLvl w:val="3"/>
        <w:rPr>
          <w:rFonts w:ascii="宋体" w:hAnsi="宋体" w:cs="宋体"/>
          <w:kern w:val="0"/>
          <w:sz w:val="28"/>
          <w:szCs w:val="28"/>
        </w:rPr>
      </w:pPr>
      <w:r w:rsidRPr="005935BF">
        <w:rPr>
          <w:rFonts w:ascii="宋体" w:hAnsi="宋体" w:cs="宋体" w:hint="eastAsia"/>
          <w:kern w:val="0"/>
          <w:sz w:val="28"/>
          <w:szCs w:val="28"/>
        </w:rPr>
        <w:t>（二）强麦交货时，12.5％＜水分≤13.5%的，水分每超0.5%，补量1.0％；不足0.5%的，不补量。</w:t>
      </w:r>
    </w:p>
    <w:p w:rsidR="00375F2C" w:rsidRDefault="00375F2C" w:rsidP="00375F2C">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lastRenderedPageBreak/>
        <w:t>第十二条</w:t>
      </w:r>
      <w:r>
        <w:rPr>
          <w:rFonts w:ascii="宋体" w:eastAsia="黑体" w:hAnsi="宋体" w:cs="宋体" w:hint="eastAsia"/>
          <w:kern w:val="0"/>
          <w:sz w:val="28"/>
          <w:szCs w:val="28"/>
        </w:rPr>
        <w:t xml:space="preserve"> </w:t>
      </w:r>
      <w:r w:rsidRPr="008619E6">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sidRPr="008619E6">
        <w:rPr>
          <w:rFonts w:ascii="宋体" w:hAnsi="宋体" w:cs="宋体" w:hint="eastAsia"/>
          <w:kern w:val="0"/>
          <w:sz w:val="28"/>
          <w:szCs w:val="28"/>
        </w:rPr>
        <w:t>强麦接</w:t>
      </w:r>
      <w:r>
        <w:rPr>
          <w:rFonts w:ascii="宋体" w:hAnsi="宋体" w:cs="宋体" w:hint="eastAsia"/>
          <w:kern w:val="0"/>
          <w:sz w:val="28"/>
          <w:szCs w:val="28"/>
        </w:rPr>
        <w:t>收、储存、发运采用散粮方式。</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棉花合约按序号排列，分为一号棉和交易所公告的其他序号棉花。</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一号棉交割单位：185包±5包（227±10公斤/包），对应8手期货合约。</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一号棉交割适用国家标准。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Pr>
            <w:rFonts w:ascii="宋体" w:hAnsi="宋体" w:cs="宋体" w:hint="eastAsia"/>
            <w:kern w:val="0"/>
            <w:sz w:val="28"/>
            <w:szCs w:val="28"/>
          </w:rPr>
          <w:t>27mm</w:t>
        </w:r>
      </w:smartTag>
      <w:r>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Pr>
            <w:rFonts w:ascii="宋体" w:hAnsi="宋体" w:cs="宋体" w:hint="eastAsia"/>
            <w:kern w:val="0"/>
            <w:sz w:val="28"/>
            <w:szCs w:val="28"/>
          </w:rPr>
          <w:t>29mm</w:t>
        </w:r>
      </w:smartTag>
      <w:r>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一个交割单位棉花按照颜色级和轧工质量比例实行分级计价。有主体颜色级的棉花，升水100元/吨。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无主体颜色级的棉花，以其中占比例最大的颜色级为标注颜色级。</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升贴水和分级计价按重新检验的结果随货款一并结算。</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N年产锯齿细绒白棉从N+1年8月1日起每日历日贴水4元/吨，至N+2年3月的最后一个工作日止。</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棉花包装及包装物应符合国家有关棉花包装规定。</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白糖交割适用国家标准及本细则规定。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白砂糖》（GB/T317—2018）（以下简称《白糖国标》）规定的一级白糖。</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（一）符合《白糖国标》的一级和二级（色值小于等于170IU）的进口白糖（含进口原糖加工而成的白糖）可以交割；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白糖包装应符合《白糖国标》的规定。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进口白糖的标志、标签，除应含有产品名称、净含量、生产厂商名称、生产日期等内容外，其他内容不作要求。</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白糖包装有霉变、严重污染或者出现潮包、流包、真结块、有异味的，不得入库。</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精对苯二甲酸</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第二十四条</w:t>
      </w:r>
      <w:r>
        <w:rPr>
          <w:rFonts w:ascii="宋体" w:eastAsia="黑体" w:hAnsi="宋体" w:cs="宋体" w:hint="eastAsia"/>
          <w:kern w:val="0"/>
          <w:sz w:val="28"/>
          <w:szCs w:val="28"/>
        </w:rPr>
        <w:t xml:space="preserve"> </w:t>
      </w:r>
      <w:r>
        <w:rPr>
          <w:rFonts w:ascii="宋体" w:hAnsi="宋体" w:cs="宋体" w:hint="eastAsia"/>
          <w:kern w:val="0"/>
          <w:sz w:val="28"/>
          <w:szCs w:val="28"/>
        </w:rPr>
        <w:t>精对苯二甲酸（以下统称PTA）交割质量标准适用《工业用精对苯二甲酸》(GB/T32685-2016）。</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基准交割品：符合GB/T32685-2016质量标准的优等品PTA。</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基准交割品必须是经交易所认定的PTA生产厂家生产的商品。具体生产厂家由交易所公告。</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交易所有权调整交割品生产厂家。</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52"/>
          <w:sz w:val="28"/>
          <w:szCs w:val="28"/>
        </w:rPr>
        <w:t>出</w:t>
      </w:r>
      <w:r>
        <w:rPr>
          <w:rFonts w:ascii="宋体" w:hAnsi="宋体" w:cs="宋体" w:hint="eastAsia"/>
          <w:kern w:val="0"/>
          <w:sz w:val="28"/>
          <w:szCs w:val="28"/>
        </w:rPr>
        <w:t>现破包、潮包、结块、严重污染等情况的，不得入库。</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菜籽交割适用国家标准及本细则规定。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替代品及升贴水：</w:t>
      </w:r>
    </w:p>
    <w:p w:rsidR="00375F2C" w:rsidRDefault="00375F2C" w:rsidP="00375F2C">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375F2C" w:rsidRDefault="00375F2C" w:rsidP="00375F2C">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375F2C" w:rsidRDefault="00375F2C" w:rsidP="00375F2C">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375F2C" w:rsidRDefault="00375F2C" w:rsidP="00375F2C">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Pr>
            <w:rFonts w:ascii="宋体" w:hAnsi="宋体" w:cs="宋体" w:hint="eastAsia"/>
            <w:kern w:val="0"/>
            <w:sz w:val="28"/>
            <w:szCs w:val="28"/>
          </w:rPr>
          <w:t>-1250mm</w:t>
        </w:r>
      </w:smartTag>
      <w:r>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Pr>
            <w:rFonts w:ascii="宋体" w:hAnsi="宋体" w:cs="宋体" w:hint="eastAsia"/>
            <w:kern w:val="0"/>
            <w:sz w:val="28"/>
            <w:szCs w:val="28"/>
          </w:rPr>
          <w:t>-750mm</w:t>
        </w:r>
      </w:smartTag>
      <w:r>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375F2C" w:rsidRDefault="00375F2C" w:rsidP="00375F2C">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spacing w:val="-6"/>
          <w:kern w:val="52"/>
          <w:sz w:val="28"/>
          <w:szCs w:val="28"/>
        </w:rPr>
        <w:t>菜油交割</w:t>
      </w:r>
      <w:r>
        <w:rPr>
          <w:rFonts w:ascii="宋体" w:hAnsi="宋体" w:cs="宋体" w:hint="eastAsia"/>
          <w:kern w:val="0"/>
          <w:sz w:val="28"/>
          <w:szCs w:val="28"/>
        </w:rPr>
        <w:t>适用国家标准及本细则规定。</w:t>
      </w:r>
    </w:p>
    <w:p w:rsidR="00375F2C" w:rsidRDefault="00375F2C" w:rsidP="00375F2C">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 xml:space="preserve">基准交割品：符合《中华人民共和国国家标准 </w:t>
      </w:r>
      <w:r>
        <w:rPr>
          <w:rFonts w:ascii="宋体" w:hAnsi="宋体" w:cs="宋体" w:hint="eastAsia"/>
          <w:kern w:val="0"/>
          <w:sz w:val="28"/>
          <w:szCs w:val="28"/>
        </w:rPr>
        <w:t>菜籽油》（GB1536-2004）</w:t>
      </w:r>
      <w:r>
        <w:rPr>
          <w:rFonts w:ascii="宋体" w:hAnsi="宋体" w:cs="宋体" w:hint="eastAsia"/>
          <w:spacing w:val="-6"/>
          <w:kern w:val="52"/>
          <w:sz w:val="28"/>
          <w:szCs w:val="28"/>
        </w:rPr>
        <w:t>四级质量指标的菜油。</w:t>
      </w:r>
    </w:p>
    <w:p w:rsidR="00375F2C" w:rsidRDefault="00375F2C" w:rsidP="00375F2C">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lastRenderedPageBreak/>
        <w:t>替代品及升贴水：</w:t>
      </w:r>
    </w:p>
    <w:p w:rsidR="00375F2C" w:rsidRDefault="00375F2C" w:rsidP="00375F2C">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（一）符合</w:t>
      </w:r>
      <w:r>
        <w:rPr>
          <w:rFonts w:ascii="宋体" w:hAnsi="宋体" w:cs="宋体" w:hint="eastAsia"/>
          <w:kern w:val="0"/>
          <w:sz w:val="28"/>
          <w:szCs w:val="28"/>
        </w:rPr>
        <w:t>GB1536-2004规定的</w:t>
      </w:r>
      <w:r>
        <w:rPr>
          <w:rFonts w:ascii="宋体" w:hAnsi="宋体" w:cs="宋体" w:hint="eastAsia"/>
          <w:spacing w:val="-6"/>
          <w:kern w:val="52"/>
          <w:sz w:val="28"/>
          <w:szCs w:val="28"/>
        </w:rPr>
        <w:t>三级、二级、一级质量指标的菜油</w:t>
      </w:r>
      <w:r>
        <w:rPr>
          <w:rFonts w:ascii="宋体" w:hAnsi="宋体" w:cs="宋体" w:hint="eastAsia"/>
          <w:bCs/>
          <w:spacing w:val="-6"/>
          <w:kern w:val="52"/>
          <w:sz w:val="28"/>
          <w:szCs w:val="28"/>
        </w:rPr>
        <w:t>可以替代交割，无升贴水</w:t>
      </w:r>
      <w:r>
        <w:rPr>
          <w:rFonts w:ascii="宋体" w:hAnsi="宋体" w:cs="宋体" w:hint="eastAsia"/>
          <w:spacing w:val="-6"/>
          <w:kern w:val="52"/>
          <w:sz w:val="28"/>
          <w:szCs w:val="28"/>
        </w:rPr>
        <w:t>。</w:t>
      </w:r>
    </w:p>
    <w:p w:rsidR="00375F2C" w:rsidRDefault="00375F2C" w:rsidP="00375F2C">
      <w:pPr>
        <w:widowControl/>
        <w:spacing w:line="360" w:lineRule="auto"/>
        <w:ind w:firstLineChars="200" w:firstLine="560"/>
        <w:outlineLvl w:val="3"/>
        <w:rPr>
          <w:rFonts w:ascii="宋体" w:hAnsi="宋体" w:cs="宋体"/>
          <w:spacing w:val="-6"/>
          <w:kern w:val="52"/>
          <w:sz w:val="28"/>
          <w:szCs w:val="28"/>
        </w:rPr>
      </w:pPr>
      <w:r>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菜油出库时，其过氧化值不得超过5.5mmol/kg。</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菜粕交割标准适用国家标准及本细则规定。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饲料用菜籽粕》（GB/T 23736-2009）（以下简称《菜粕国标》）四级质量指标、氢氧化钾蛋白质溶解度不低于35.0%的菜粕，粗脂肪和赖氨酸指标不作要求。</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（一）氢氧化钾蛋白质溶解度不低于35.0%，34.5%≤粗蛋白质＜35.0%，贴水35元/吨；34.0%≤粗蛋白质＜34.5%，贴水70元/吨，其他指标符合《菜粕国标》四级质量指标，其中粗脂肪和赖氨酸指标不作要求。</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（二）95型菜粕、进口菜粕不允许交割。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同一客户同一批次交割的菜粕包装要求规格统一。</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早籼稻交割适用国家标准、国家相关规定及本细则规定。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稻谷》（GB1350－2009）的三等及以上等级质量指标的早籼稻谷。</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（一）早籼稻入库时：水分≤13.5%的，足量入库；13.5%&lt;水分≤14.5%的，以13.5%为基准，水分每超0.1%，扣</w:t>
      </w:r>
      <w:r>
        <w:rPr>
          <w:rFonts w:ascii="宋体" w:hAnsi="宋体" w:cs="宋体" w:hint="eastAsia"/>
          <w:spacing w:val="-6"/>
          <w:kern w:val="0"/>
          <w:sz w:val="28"/>
          <w:szCs w:val="28"/>
        </w:rPr>
        <w:t>量0.2%。早籼稻出库时：水分&lt;13.5%的，足量出库</w:t>
      </w:r>
      <w:r>
        <w:rPr>
          <w:rFonts w:ascii="宋体" w:hAnsi="宋体" w:cs="宋体" w:hint="eastAsia"/>
          <w:kern w:val="0"/>
          <w:sz w:val="28"/>
          <w:szCs w:val="28"/>
        </w:rPr>
        <w:t>；13.5%＜水分≤14.5%的，以13.5%为基准，水分每超0.1%，补量0.2%，由仓库承担。（仅适用于江西、湖南、湖北等主产区）</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（二）1.0%＜杂质≤1.5%的，入库扣量（出库补量）0.5%；1.5%＜杂质≤2.0%的，入库扣量（出库补量）1%。</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（一）入库时，脂肪酸值≤19mg/100g（干基）且黄粒米≤0.5%的，升贴水为零；出库时，脂肪酸值≤22mg/100g（干基）且黄粒米＜0.7%。</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晚籼稻</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晚籼稻（含中籼稻，下同）交割适用国家标准、国家相关规定及本细则规定。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 1350-2009）三等及以上等级质量指标的晚籼稻，垩白粒率≤30%且粒型（长宽比）≥2.8。</w:t>
      </w:r>
    </w:p>
    <w:p w:rsidR="00375F2C" w:rsidRDefault="00375F2C" w:rsidP="00375F2C">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lastRenderedPageBreak/>
        <w:t>替代品及升贴水：晚籼稻各质量指标与基准交割品差异符合以下规定的，可以通过升贴水替代交割。</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晚籼稻入库时：水分≤13.5%的，足量入库；水分＞13.5%的，以13.5%为基准，水分每超0.1%，扣量0.2%。每年10月1日（含该日，下同）起至次年3月31日止入库的晚籼稻，水分不得超过15.0%，其他时间入库的晚籼稻，水分不得超过14.5%。晚籼稻出库时：水分≤13.5%的，足量出库；水分＞13.5%的，以13.5%为基准，水分每超0.1%，补量0.2%，由仓库承担。（本款仅适用于江西、湖南、湖北、安徽等主产区）</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（二）1.0%＜杂质≤1.5%的，入库扣量（出库补量）0.5%；1.5%＜杂质≤2.0%的，入库扣量（出库补量）1.0%。</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（三）30%＜垩白粒率≤40%且</w:t>
      </w:r>
      <w:r>
        <w:rPr>
          <w:rFonts w:ascii="宋体" w:hAnsi="宋体" w:cs="宋体" w:hint="eastAsia"/>
          <w:kern w:val="0"/>
          <w:sz w:val="28"/>
          <w:szCs w:val="28"/>
        </w:rPr>
        <w:t>粒型（长宽比）≥2.8的</w:t>
      </w:r>
      <w:r>
        <w:rPr>
          <w:rFonts w:ascii="宋体" w:hAnsi="宋体" w:cs="Arial" w:hint="eastAsia"/>
          <w:color w:val="000000"/>
          <w:kern w:val="0"/>
          <w:sz w:val="28"/>
          <w:szCs w:val="28"/>
        </w:rPr>
        <w:t>，贴水150元/吨。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每年10月1日起至次年3月31日止入库的晚籼稻，脂肪酸值不得高于19mg/</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hint="eastAsia"/>
            <w:kern w:val="0"/>
            <w:sz w:val="28"/>
            <w:szCs w:val="28"/>
          </w:rPr>
          <w:t>100g</w:t>
        </w:r>
      </w:smartTag>
      <w:r>
        <w:rPr>
          <w:rFonts w:ascii="宋体" w:hAnsi="宋体" w:cs="宋体" w:hint="eastAsia"/>
          <w:kern w:val="0"/>
          <w:sz w:val="28"/>
          <w:szCs w:val="28"/>
        </w:rPr>
        <w:t>（干基），黄粒米不得高于0.3%；其他时间入库的晚籼稻，脂肪酸值不得高于22mg/</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hint="eastAsia"/>
            <w:kern w:val="0"/>
            <w:sz w:val="28"/>
            <w:szCs w:val="28"/>
          </w:rPr>
          <w:t>100g</w:t>
        </w:r>
      </w:smartTag>
      <w:r>
        <w:rPr>
          <w:rFonts w:ascii="宋体" w:hAnsi="宋体" w:cs="宋体" w:hint="eastAsia"/>
          <w:kern w:val="0"/>
          <w:sz w:val="28"/>
          <w:szCs w:val="28"/>
        </w:rPr>
        <w:t>（干基），黄粒米不得高于0.5%。</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每年10月1日起至次年3月31日止出库的晚籼稻，脂肪酸值不得高于22mg/</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hint="eastAsia"/>
            <w:kern w:val="0"/>
            <w:sz w:val="28"/>
            <w:szCs w:val="28"/>
          </w:rPr>
          <w:t>100g</w:t>
        </w:r>
      </w:smartTag>
      <w:r>
        <w:rPr>
          <w:rFonts w:ascii="宋体" w:hAnsi="宋体" w:cs="宋体" w:hint="eastAsia"/>
          <w:kern w:val="0"/>
          <w:sz w:val="28"/>
          <w:szCs w:val="28"/>
        </w:rPr>
        <w:t>（干基），黄粒米不得高于0.5%；其他时间出库的晚籼稻，脂肪酸值不得高于25mg/</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hint="eastAsia"/>
            <w:kern w:val="0"/>
            <w:sz w:val="28"/>
            <w:szCs w:val="28"/>
          </w:rPr>
          <w:t>100g</w:t>
        </w:r>
      </w:smartTag>
      <w:r>
        <w:rPr>
          <w:rFonts w:ascii="宋体" w:hAnsi="宋体" w:cs="宋体" w:hint="eastAsia"/>
          <w:kern w:val="0"/>
          <w:sz w:val="28"/>
          <w:szCs w:val="28"/>
        </w:rPr>
        <w:t>（干基），黄粒米不得高于0.7%。</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厂库仓单出库时，脂肪酸值和黄粒米指标按对应期间入库规定执行。</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lastRenderedPageBreak/>
        <w:t>第四十一条</w:t>
      </w:r>
      <w:r>
        <w:rPr>
          <w:rFonts w:ascii="宋体" w:eastAsia="黑体" w:hAnsi="宋体" w:cs="宋体" w:hint="eastAsia"/>
          <w:kern w:val="0"/>
          <w:sz w:val="28"/>
          <w:szCs w:val="28"/>
        </w:rPr>
        <w:t xml:space="preserve"> </w:t>
      </w:r>
      <w:r>
        <w:rPr>
          <w:rFonts w:ascii="宋体" w:hAnsi="宋体" w:cs="宋体" w:hint="eastAsia"/>
          <w:kern w:val="52"/>
          <w:sz w:val="28"/>
          <w:szCs w:val="28"/>
        </w:rPr>
        <w:t>垩白粒率及</w:t>
      </w:r>
      <w:r>
        <w:rPr>
          <w:rFonts w:ascii="宋体" w:hAnsi="宋体" w:cs="宋体" w:hint="eastAsia"/>
          <w:kern w:val="0"/>
          <w:sz w:val="28"/>
          <w:szCs w:val="28"/>
        </w:rPr>
        <w:t>粒型（长宽比）</w:t>
      </w:r>
      <w:r>
        <w:rPr>
          <w:rFonts w:ascii="宋体" w:hAnsi="宋体" w:cs="宋体" w:hint="eastAsia"/>
          <w:kern w:val="52"/>
          <w:sz w:val="28"/>
          <w:szCs w:val="28"/>
        </w:rPr>
        <w:t>的</w:t>
      </w:r>
      <w:r>
        <w:rPr>
          <w:rFonts w:ascii="宋体" w:hAnsi="宋体" w:cs="宋体" w:hint="eastAsia"/>
          <w:kern w:val="0"/>
          <w:sz w:val="28"/>
          <w:szCs w:val="28"/>
        </w:rPr>
        <w:t>检验按照《中华人民共和国国家标准 优质稻谷》（GB/T 17891-1</w:t>
      </w:r>
      <w:r>
        <w:rPr>
          <w:rFonts w:ascii="宋体" w:hAnsi="宋体" w:cs="宋体" w:hint="eastAsia"/>
          <w:kern w:val="52"/>
          <w:sz w:val="28"/>
          <w:szCs w:val="28"/>
        </w:rPr>
        <w:t>999）执行。</w:t>
      </w:r>
      <w:r>
        <w:rPr>
          <w:rFonts w:ascii="宋体" w:hAnsi="宋体" w:cs="宋体" w:hint="eastAsia"/>
          <w:kern w:val="0"/>
          <w:sz w:val="28"/>
          <w:szCs w:val="28"/>
        </w:rPr>
        <w:t>脂肪酸值的检验按照《稻谷储存品质判定规则》（GB/T 20569-2006）执行。</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粳稻</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粳稻交割适用国家标准、国家相关规定及本细则规定。</w:t>
      </w:r>
    </w:p>
    <w:p w:rsidR="00375F2C" w:rsidRDefault="00375F2C" w:rsidP="00375F2C">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0"/>
          <w:sz w:val="28"/>
          <w:szCs w:val="28"/>
        </w:rPr>
        <w:t>基准交割品：符合《中华人民共和国国家标准 稻谷》（GB1350-2009，以下简称《稻谷国标》）</w:t>
      </w:r>
      <w:r>
        <w:rPr>
          <w:rFonts w:ascii="宋体" w:hAnsi="宋体" w:cs="宋体" w:hint="eastAsia"/>
          <w:kern w:val="52"/>
          <w:sz w:val="28"/>
          <w:szCs w:val="28"/>
        </w:rPr>
        <w:t>的二等粳稻谷</w:t>
      </w:r>
      <w:r>
        <w:rPr>
          <w:rFonts w:ascii="宋体" w:hAnsi="宋体" w:cs="宋体" w:hint="eastAsia"/>
          <w:kern w:val="0"/>
          <w:sz w:val="28"/>
          <w:szCs w:val="28"/>
        </w:rPr>
        <w:t>，且垩白粒率≤30%。</w:t>
      </w:r>
    </w:p>
    <w:p w:rsidR="00375F2C" w:rsidRDefault="00375F2C" w:rsidP="00375F2C">
      <w:pPr>
        <w:widowControl/>
        <w:spacing w:line="360" w:lineRule="auto"/>
        <w:ind w:firstLineChars="200" w:firstLine="560"/>
        <w:outlineLvl w:val="3"/>
        <w:rPr>
          <w:rFonts w:ascii="仿宋_GB2312" w:eastAsia="仿宋_GB2312" w:hAnsi="宋体" w:cs="宋体"/>
          <w:kern w:val="52"/>
          <w:sz w:val="28"/>
          <w:szCs w:val="28"/>
        </w:rPr>
      </w:pPr>
      <w:r>
        <w:rPr>
          <w:rFonts w:ascii="宋体" w:hAnsi="宋体" w:cs="宋体" w:hint="eastAsia"/>
          <w:kern w:val="52"/>
          <w:sz w:val="28"/>
          <w:szCs w:val="28"/>
        </w:rPr>
        <w:t>替代品及升贴水：粳稻各质量指标与基准交割品差异符合以下规定的，可以通过升贴水替代交割。</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（一）出糙率和整精米率指标符合《稻谷国标》一等和三等质量指标要求的，一等升水60元/吨，三等贴水80元/吨。</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（二）粳</w:t>
      </w:r>
      <w:r>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（三）1.0%＜杂质≤1.5%的，入库扣量（出库补量）0.5%；1.5%＜杂质≤2.0%的，入库扣量（出库补量）1.0%。</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（四）30%＜垩白粒率≤40%的，贴水50元/吨；垩白粒率＞40%的，贴水100元/吨。</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lastRenderedPageBreak/>
        <w:t>（五）2.0%＜谷外糙米≤4.0%的，升贴水为零（仅适用于黑龙江、吉林、辽宁三省）。</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375F2C" w:rsidRDefault="00375F2C" w:rsidP="00375F2C">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厂库仓单出库时，脂肪酸值和黄粒米指标按对应期间入库规定执行。</w:t>
      </w:r>
    </w:p>
    <w:p w:rsidR="00375F2C" w:rsidRDefault="00375F2C" w:rsidP="00375F2C">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52"/>
          <w:sz w:val="28"/>
          <w:szCs w:val="28"/>
        </w:rPr>
        <w:t>垩白粒率的</w:t>
      </w:r>
      <w:r>
        <w:rPr>
          <w:rFonts w:ascii="宋体" w:hAnsi="宋体" w:cs="宋体" w:hint="eastAsia"/>
          <w:kern w:val="0"/>
          <w:sz w:val="28"/>
          <w:szCs w:val="28"/>
        </w:rPr>
        <w:t>检验按照《中华人民共和国国家标准 优质稻谷》（GB/T17891－1</w:t>
      </w:r>
      <w:r>
        <w:rPr>
          <w:rFonts w:ascii="宋体" w:hAnsi="宋体" w:cs="宋体" w:hint="eastAsia"/>
          <w:kern w:val="52"/>
          <w:sz w:val="28"/>
          <w:szCs w:val="28"/>
        </w:rPr>
        <w:t>999）</w:t>
      </w:r>
      <w:r>
        <w:rPr>
          <w:rFonts w:ascii="宋体" w:hAnsi="宋体" w:cs="宋体" w:hint="eastAsia"/>
          <w:kern w:val="0"/>
          <w:sz w:val="28"/>
          <w:szCs w:val="28"/>
        </w:rPr>
        <w:t>中的规定</w:t>
      </w:r>
      <w:r>
        <w:rPr>
          <w:rFonts w:ascii="宋体" w:hAnsi="宋体" w:cs="宋体" w:hint="eastAsia"/>
          <w:kern w:val="52"/>
          <w:sz w:val="28"/>
          <w:szCs w:val="28"/>
        </w:rPr>
        <w:t>执行。</w:t>
      </w:r>
      <w:r>
        <w:rPr>
          <w:rFonts w:ascii="宋体" w:hAnsi="宋体" w:cs="宋体" w:hint="eastAsia"/>
          <w:kern w:val="0"/>
          <w:sz w:val="28"/>
          <w:szCs w:val="28"/>
        </w:rPr>
        <w:t>脂肪酸值的检验按照《稻谷储存品质判定规则》（GB/T20569－2006）中的规定执行。</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甲醇交割适用国家标准及本细则规定。</w:t>
      </w:r>
    </w:p>
    <w:p w:rsidR="00375F2C" w:rsidRDefault="00375F2C" w:rsidP="00375F2C">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基准交割品：符合《中华人民共和国国家标准 工业用甲醇》（GB 338-2004）规定的优等品甲醇，其中“乙醇的质量分数”指标不作要求。</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玻璃</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第四十九条</w:t>
      </w:r>
      <w:r>
        <w:rPr>
          <w:rFonts w:ascii="宋体" w:hAnsi="宋体" w:cs="宋体" w:hint="eastAsia"/>
          <w:kern w:val="0"/>
          <w:sz w:val="28"/>
          <w:szCs w:val="28"/>
        </w:rPr>
        <w:t xml:space="preserve"> 玻璃交割适用国家标准及本细则规定。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替代品及升贴水：符合国标规定的6mm无色透明平板玻璃（规格为3.66m×2.44m，3.66m×2.134m）一等品，无升贴水。</w:t>
      </w:r>
    </w:p>
    <w:p w:rsidR="00375F2C" w:rsidRDefault="00375F2C" w:rsidP="00375F2C">
      <w:pPr>
        <w:widowControl/>
        <w:spacing w:line="360" w:lineRule="auto"/>
        <w:outlineLvl w:val="1"/>
        <w:rPr>
          <w:rFonts w:ascii="宋体" w:eastAsia="黑体" w:hAnsi="宋体" w:cs="宋体"/>
          <w:kern w:val="0"/>
          <w:sz w:val="28"/>
          <w:szCs w:val="28"/>
        </w:rPr>
      </w:pPr>
      <w:r>
        <w:rPr>
          <w:rFonts w:ascii="宋体" w:eastAsia="黑体" w:hAnsi="宋体" w:cs="宋体" w:hint="eastAsia"/>
          <w:kern w:val="0"/>
          <w:sz w:val="28"/>
          <w:szCs w:val="28"/>
        </w:rPr>
        <w:t xml:space="preserve">                     </w:t>
      </w: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动力煤</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交</w:t>
      </w:r>
      <w:r>
        <w:rPr>
          <w:rFonts w:ascii="宋体" w:hAnsi="宋体" w:cs="宋体" w:hint="eastAsia"/>
          <w:kern w:val="0"/>
          <w:sz w:val="28"/>
          <w:szCs w:val="28"/>
        </w:rPr>
        <w:t>割单位：20000吨。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的，卖方需及时补装至规定范围以内；无法补装的，在计算货款时，交易所对短货超出规定范围的部分双倍扣减；双方协商一致的除外。</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短货超出规定范围时双倍扣减的计算公式为：单船结算重量=应交重量-500-（应交重量-500-实测重量）×2。</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动力煤交割检验指标检测方法适用国家相关标准。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基准交割品：收到基低位发热量为5500千卡/千克，干燥基全硫≤0.6%，30%≤干燥无灰基挥发分≤42%，干燥基灰分≤30%，全水≤20%的动力煤。</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替代品及升贴水：收到基低位发热量≥4800千卡/千克，干燥基全硫≤1%，30%≤干燥无灰基挥发分≤42%，干燥基灰分≤30%的动力煤。</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0.6%＜干燥基全硫≤1%时，以0.6%为基准，每高0.1（四舍五入，保留小数点后一位）个百分点，贴水4元/吨。</w:t>
      </w:r>
    </w:p>
    <w:p w:rsidR="00375F2C" w:rsidRDefault="00375F2C" w:rsidP="00375F2C">
      <w:pPr>
        <w:widowControl/>
        <w:spacing w:line="360" w:lineRule="auto"/>
        <w:ind w:firstLineChars="200" w:firstLine="560"/>
        <w:outlineLvl w:val="3"/>
        <w:rPr>
          <w:rFonts w:ascii="宋体" w:hAnsi="宋体" w:cs="宋体"/>
          <w:spacing w:val="-6"/>
          <w:kern w:val="0"/>
          <w:sz w:val="28"/>
          <w:szCs w:val="28"/>
        </w:rPr>
      </w:pPr>
      <w:r>
        <w:rPr>
          <w:rFonts w:ascii="宋体" w:hAnsi="宋体" w:cs="宋体" w:hint="eastAsia"/>
          <w:kern w:val="0"/>
          <w:sz w:val="28"/>
          <w:szCs w:val="28"/>
        </w:rPr>
        <w:t>全水＞20%的动力煤可以交割。全水＞20%时，以20%为基准，按照超出部分（四舍五入，保留小数点后一位）扣减重量（例如，实测全水为21.32%，扣重1.3%）。</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硅铁交割适用国家标准及本细则规定。</w:t>
      </w:r>
    </w:p>
    <w:p w:rsidR="00375F2C" w:rsidRDefault="00375F2C" w:rsidP="00375F2C">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Pr>
            <w:rFonts w:ascii="宋体" w:hAnsi="宋体" w:cs="宋体" w:hint="eastAsia"/>
            <w:spacing w:val="-6"/>
            <w:kern w:val="0"/>
            <w:sz w:val="28"/>
            <w:szCs w:val="28"/>
          </w:rPr>
          <w:t>-60mm</w:t>
        </w:r>
      </w:smartTag>
      <w:r>
        <w:rPr>
          <w:rFonts w:ascii="宋体" w:hAnsi="宋体" w:cs="宋体" w:hint="eastAsia"/>
          <w:spacing w:val="-6"/>
          <w:kern w:val="0"/>
          <w:sz w:val="28"/>
          <w:szCs w:val="28"/>
        </w:rPr>
        <w:t>的硅铁，其中：锰、铬含量不作要求；粒度偏差筛下物不大于5%，筛上物不大于8%。</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硅铁交割品包装物采用双层、中间加固拦腰围带的塑料编织袋。包装袋上应标明产品名称、产品牌号、执行标准及生产企业名称。单包净重为1000±10公斤。</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硅铁交割品按照净重结算，包装物按照2.5公斤/条标准扣除重量，包装物价格包含在硅铁合约价格中。</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锰硅交割适用国家标准及本细则规定。</w:t>
      </w:r>
    </w:p>
    <w:p w:rsidR="00375F2C" w:rsidRDefault="00375F2C" w:rsidP="00375F2C">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Pr>
            <w:rFonts w:ascii="宋体" w:hAnsi="宋体" w:cs="宋体" w:hint="eastAsia"/>
            <w:spacing w:val="-6"/>
            <w:kern w:val="0"/>
            <w:sz w:val="28"/>
            <w:szCs w:val="28"/>
          </w:rPr>
          <w:t>-60mm</w:t>
        </w:r>
      </w:smartTag>
      <w:r>
        <w:rPr>
          <w:rFonts w:ascii="宋体" w:hAnsi="宋体" w:cs="宋体" w:hint="eastAsia"/>
          <w:spacing w:val="-6"/>
          <w:kern w:val="0"/>
          <w:sz w:val="28"/>
          <w:szCs w:val="28"/>
        </w:rPr>
        <w:t>的锰硅，其中：粒度偏差筛下物不大于5%，筛上物不大于8%。</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锰硅交割品包装物采用双层、中间加固拦腰围带的塑料编织袋。包装袋上应标明产品名称、产品牌号、执行标准及生产企业名称。单包净重为1000±10公斤。</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锰硅交割品按照净重结算，包装物按照2公斤/条标准扣除重量，包装物价格包含在锰硅合约价格中。</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交割单位：20吨（公定重量）。同一交割单位内的交割商品应满足同一生产厂家要求。</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棉纱交割适用国家标准及本细则规定。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w:t>
      </w:r>
      <w:r>
        <w:rPr>
          <w:rFonts w:ascii="宋体" w:hAnsi="宋体" w:cs="宋体" w:hint="eastAsia"/>
          <w:kern w:val="0"/>
          <w:sz w:val="28"/>
          <w:szCs w:val="28"/>
        </w:rPr>
        <w:lastRenderedPageBreak/>
        <w:t>个/10³m、+50%千米粗节≤220个/10³m、+200%千米棉结≤450个/10³m、百米重量变异系数≤2.2%、实际捻系数360-420、38处/20kg＜异性纤维含量≤81处/20kg（对应折算7处/200km＜异性纤维含量≤15处/200km）。</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（一）12.0 cN/tex≤单纱断裂强度＜14.0 cN/tex及14.7 cN/tex≤单纱断裂强度≤16.2 cN/tex；</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（二）7.5%＜单纱断裂强力变异系数＜8.5%及9.0%＜单纱断裂强力变异系数≤10.5%；</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（三）异性纤维含量≤38处/20kg及81处/20kg＜异性纤维含量≤200处/20kg（对应折算异性纤维含量≤7处/200km及15处/200km＜异性纤维含量≤37处/200km）。</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替代交割品升贴水由交易所另行制定并公告。</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《纺织品 纱线异性纤维分级与检验方法》及上述标准中单纱断裂强度、单纱断裂强力变异系数、线密度、-50%千米细节、+50%千米粗节、+200%千米棉结对检验仪器和检验方法的具体要求由交易所另行公告。</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w:t>
      </w:r>
    </w:p>
    <w:p w:rsidR="00375F2C" w:rsidRDefault="00375F2C" w:rsidP="00375F2C">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375F2C" w:rsidRDefault="00375F2C" w:rsidP="00375F2C">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苹果交割适用国家标准、国家相关规定及本细则规定。</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基准交割品：符合《中华人民共和国国家标准 鲜苹果》（GB/T 10651-2008）（以下简称《苹果国标》）一等及以上等级质量指标且果径≥80mm的红富士苹果，其中果径容许度≤5%，质量容许度≤10%（虫伤、磨伤、碰压伤、刺伤不合格果之和占比≤8%）。</w:t>
      </w:r>
    </w:p>
    <w:p w:rsidR="00375F2C" w:rsidRDefault="00375F2C" w:rsidP="00375F2C">
      <w:pPr>
        <w:widowControl/>
        <w:spacing w:line="360" w:lineRule="auto"/>
        <w:ind w:firstLineChars="202" w:firstLine="566"/>
        <w:rPr>
          <w:rFonts w:ascii="宋体" w:hAnsi="宋体" w:cs="宋体"/>
          <w:strike/>
          <w:kern w:val="0"/>
          <w:sz w:val="28"/>
          <w:szCs w:val="28"/>
        </w:rPr>
      </w:pPr>
      <w:r>
        <w:rPr>
          <w:rFonts w:ascii="宋体" w:hAnsi="宋体" w:cs="宋体" w:hint="eastAsia"/>
          <w:kern w:val="0"/>
          <w:sz w:val="28"/>
          <w:szCs w:val="28"/>
        </w:rPr>
        <w:t>替代品及升贴水：</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lastRenderedPageBreak/>
        <w:t>（一）符合《苹果国标》一等及以上等级质量指标且果径≥80mm的红富士苹果，其中果径容许度≤5%，10%＜质量容许度≤15%（虫伤、磨伤、碰压伤、刺伤不合格果之和占比≤10%），贴水400元/吨；</w:t>
      </w:r>
    </w:p>
    <w:p w:rsidR="00375F2C" w:rsidRDefault="00375F2C" w:rsidP="00375F2C">
      <w:pPr>
        <w:ind w:firstLineChars="196" w:firstLine="549"/>
        <w:rPr>
          <w:rFonts w:ascii="宋体" w:hAnsi="宋体" w:cs="宋体"/>
          <w:kern w:val="0"/>
          <w:sz w:val="28"/>
          <w:szCs w:val="28"/>
        </w:rPr>
      </w:pPr>
      <w:r>
        <w:rPr>
          <w:rFonts w:ascii="宋体" w:hAnsi="宋体" w:cs="宋体" w:hint="eastAsia"/>
          <w:kern w:val="0"/>
          <w:sz w:val="28"/>
          <w:szCs w:val="28"/>
        </w:rPr>
        <w:t>（二）符合《苹果国标》一等及以上等级质量指标且75mm≤果径＜80mm的红富士苹果，其中果径容许度≤5%，质量容许度≤10%（虫伤、磨伤、碰压伤、刺伤不合格果之和占比≤8%），贴水1500元/吨；</w:t>
      </w:r>
    </w:p>
    <w:p w:rsidR="00375F2C" w:rsidRDefault="00375F2C" w:rsidP="00375F2C">
      <w:pPr>
        <w:ind w:firstLineChars="196" w:firstLine="549"/>
        <w:rPr>
          <w:rFonts w:ascii="宋体" w:hAnsi="宋体" w:cs="宋体"/>
          <w:kern w:val="0"/>
          <w:sz w:val="28"/>
          <w:szCs w:val="28"/>
        </w:rPr>
      </w:pPr>
      <w:r>
        <w:rPr>
          <w:rFonts w:ascii="宋体" w:hAnsi="宋体" w:cs="宋体" w:hint="eastAsia"/>
          <w:kern w:val="0"/>
          <w:sz w:val="28"/>
          <w:szCs w:val="28"/>
        </w:rPr>
        <w:t>（三）符合《苹果国标》一等及以上等级质量指标且75mm≤果径＜80mm的红富士苹果，其中果径容许度≤5%，10%＜质量容许度≤15%（虫伤、磨伤、碰压伤、刺伤不合格果之和占比≤10%），贴水2000元/吨。</w:t>
      </w:r>
    </w:p>
    <w:p w:rsidR="00375F2C" w:rsidRDefault="00375F2C" w:rsidP="00375F2C">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第六十五条</w:t>
      </w:r>
      <w:r>
        <w:rPr>
          <w:rFonts w:ascii="宋体" w:eastAsia="黑体" w:hAnsi="宋体" w:cs="宋体" w:hint="eastAsia"/>
          <w:kern w:val="0"/>
          <w:sz w:val="28"/>
          <w:szCs w:val="28"/>
        </w:rPr>
        <w:t xml:space="preserve"> </w:t>
      </w:r>
      <w:r>
        <w:rPr>
          <w:rFonts w:ascii="宋体" w:hAnsi="宋体" w:cs="宋体" w:hint="eastAsia"/>
          <w:kern w:val="0"/>
          <w:sz w:val="28"/>
          <w:szCs w:val="28"/>
        </w:rPr>
        <w:t>入出库硬度指标规定如下：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（一）每年10月1日至次年2月20日（含该日）入库的苹果，硬度不得低于7kgf/cm</w:t>
      </w:r>
      <w:r>
        <w:rPr>
          <w:rFonts w:ascii="宋体" w:hAnsi="宋体" w:cs="宋体" w:hint="eastAsia"/>
          <w:kern w:val="0"/>
          <w:sz w:val="28"/>
          <w:szCs w:val="28"/>
          <w:vertAlign w:val="superscript"/>
        </w:rPr>
        <w:t>2</w:t>
      </w:r>
      <w:r>
        <w:rPr>
          <w:rFonts w:ascii="宋体" w:hAnsi="宋体" w:cs="宋体" w:hint="eastAsia"/>
          <w:kern w:val="0"/>
          <w:sz w:val="28"/>
          <w:szCs w:val="28"/>
        </w:rPr>
        <w:t>；其他时间入库的苹果，硬度不得低于6.5kgf/cm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（二）每年10月1日至次年2月20日（含该日）出库的苹果，硬度不得低于6.5kgf/cm</w:t>
      </w:r>
      <w:r>
        <w:rPr>
          <w:rFonts w:ascii="宋体" w:hAnsi="宋体" w:cs="宋体" w:hint="eastAsia"/>
          <w:kern w:val="0"/>
          <w:sz w:val="28"/>
          <w:szCs w:val="28"/>
          <w:vertAlign w:val="superscript"/>
        </w:rPr>
        <w:t>2</w:t>
      </w:r>
      <w:r>
        <w:rPr>
          <w:rFonts w:ascii="宋体" w:hAnsi="宋体" w:cs="宋体" w:hint="eastAsia"/>
          <w:kern w:val="0"/>
          <w:sz w:val="28"/>
          <w:szCs w:val="28"/>
        </w:rPr>
        <w:t>；其他时间出库的苹果，硬度不得低于6kgf/cm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车(船)板交货时按出库处理。</w:t>
      </w:r>
    </w:p>
    <w:p w:rsidR="00375F2C" w:rsidRDefault="00375F2C" w:rsidP="00375F2C">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 xml:space="preserve">第六十六条 </w:t>
      </w:r>
      <w:r>
        <w:rPr>
          <w:rFonts w:ascii="宋体" w:hAnsi="宋体" w:cs="宋体" w:hint="eastAsia"/>
          <w:kern w:val="0"/>
          <w:sz w:val="28"/>
          <w:szCs w:val="28"/>
        </w:rPr>
        <w:t>苹果交割品采用抽筐（箱）检斤方式验重,按以下公式计算货物重量：</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货物重量=（抽取苹果总毛重-抽取装果容器的总重量）/抽取件数×货物件数。</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同一客户同一批次交割的装果容器要求规格统一。</w:t>
      </w:r>
    </w:p>
    <w:p w:rsidR="00375F2C" w:rsidRDefault="00375F2C" w:rsidP="00375F2C">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w:t>
      </w:r>
    </w:p>
    <w:p w:rsidR="00375F2C" w:rsidRDefault="00375F2C" w:rsidP="00375F2C">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交割单位：5吨。同一交割单位内的交割商品应满足同一生产厂家要求。</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红枣交割适用国家标准、国家相关规定及本细则规定。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干基总糖含量=</w:t>
      </w:r>
      <w:r>
        <w:rPr>
          <w:rFonts w:ascii="宋体" w:hAnsi="宋体" w:cs="宋体" w:hint="eastAsia"/>
          <w:kern w:val="0"/>
          <w:sz w:val="28"/>
          <w:szCs w:val="28"/>
        </w:rPr>
        <w:fldChar w:fldCharType="begin"/>
      </w:r>
      <w:r>
        <w:rPr>
          <w:rFonts w:ascii="宋体" w:hAnsi="宋体" w:cs="宋体" w:hint="eastAsia"/>
          <w:kern w:val="0"/>
          <w:sz w:val="28"/>
          <w:szCs w:val="28"/>
        </w:rPr>
        <w:instrText xml:space="preserve"> QUOTE </w:instrText>
      </w:r>
      <w:r w:rsidRPr="00932C02">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6pt;height:45.95pt" equationxml="&lt;">
            <v:imagedata r:id="rId6" o:title="" chromakey="white"/>
          </v:shape>
        </w:pict>
      </w:r>
      <w:r>
        <w:rPr>
          <w:rFonts w:ascii="宋体" w:hAnsi="宋体" w:cs="宋体" w:hint="eastAsia"/>
          <w:kern w:val="0"/>
          <w:sz w:val="28"/>
          <w:szCs w:val="28"/>
        </w:rPr>
        <w:instrText xml:space="preserve"> </w:instrText>
      </w:r>
      <w:r>
        <w:rPr>
          <w:rFonts w:ascii="宋体" w:hAnsi="宋体" w:cs="宋体" w:hint="eastAsia"/>
          <w:kern w:val="0"/>
          <w:sz w:val="28"/>
          <w:szCs w:val="28"/>
        </w:rPr>
        <w:fldChar w:fldCharType="separate"/>
      </w:r>
      <w:r w:rsidRPr="00932C02">
        <w:rPr>
          <w:position w:val="-35"/>
        </w:rPr>
        <w:pict>
          <v:shape id="_x0000_i1026" type="#_x0000_t75" style="width:131.6pt;height:45.95pt" equationxml="&lt;">
            <v:imagedata r:id="rId6" o:title="" chromakey="white"/>
          </v:shape>
        </w:pict>
      </w:r>
      <w:r>
        <w:rPr>
          <w:rFonts w:ascii="宋体" w:hAnsi="宋体" w:cs="宋体" w:hint="eastAsia"/>
          <w:kern w:val="0"/>
          <w:sz w:val="28"/>
          <w:szCs w:val="28"/>
        </w:rPr>
        <w:fldChar w:fldCharType="end"/>
      </w:r>
      <w:r>
        <w:rPr>
          <w:rFonts w:ascii="宋体" w:hAnsi="宋体" w:cs="宋体" w:hint="eastAsia"/>
          <w:kern w:val="0"/>
          <w:sz w:val="28"/>
          <w:szCs w:val="28"/>
        </w:rPr>
        <w:t>，均匀度允差=</w:t>
      </w:r>
      <w:r>
        <w:rPr>
          <w:rFonts w:ascii="宋体" w:hAnsi="宋体" w:cs="宋体" w:hint="eastAsia"/>
          <w:kern w:val="0"/>
          <w:sz w:val="28"/>
          <w:szCs w:val="28"/>
        </w:rPr>
        <w:fldChar w:fldCharType="begin"/>
      </w:r>
      <w:r>
        <w:rPr>
          <w:rFonts w:ascii="宋体" w:hAnsi="宋体" w:cs="宋体" w:hint="eastAsia"/>
          <w:kern w:val="0"/>
          <w:sz w:val="28"/>
          <w:szCs w:val="28"/>
        </w:rPr>
        <w:instrText xml:space="preserve"> QUOTE </w:instrText>
      </w:r>
      <w:r w:rsidRPr="00932C02">
        <w:rPr>
          <w:position w:val="-35"/>
        </w:rPr>
        <w:pict>
          <v:shape id="_x0000_i1027" type="#_x0000_t75" style="width:396pt;height:45.95pt" equationxml="&lt;">
            <v:imagedata r:id="rId7" o:title="" chromakey="white"/>
          </v:shape>
        </w:pict>
      </w:r>
      <w:r>
        <w:rPr>
          <w:rFonts w:ascii="宋体" w:hAnsi="宋体" w:cs="宋体" w:hint="eastAsia"/>
          <w:kern w:val="0"/>
          <w:sz w:val="28"/>
          <w:szCs w:val="28"/>
        </w:rPr>
        <w:instrText xml:space="preserve"> </w:instrText>
      </w:r>
      <w:r>
        <w:rPr>
          <w:rFonts w:ascii="宋体" w:hAnsi="宋体" w:cs="宋体" w:hint="eastAsia"/>
          <w:kern w:val="0"/>
          <w:sz w:val="28"/>
          <w:szCs w:val="28"/>
        </w:rPr>
        <w:fldChar w:fldCharType="separate"/>
      </w:r>
      <w:r w:rsidRPr="00932C02">
        <w:rPr>
          <w:position w:val="-35"/>
        </w:rPr>
        <w:pict>
          <v:shape id="_x0000_i1028" type="#_x0000_t75" style="width:396pt;height:45.95pt" equationxml="&lt;">
            <v:imagedata r:id="rId7" o:title="" chromakey="white"/>
          </v:shape>
        </w:pict>
      </w:r>
      <w:r>
        <w:rPr>
          <w:rFonts w:ascii="宋体" w:hAnsi="宋体" w:cs="宋体" w:hint="eastAsia"/>
          <w:kern w:val="0"/>
          <w:sz w:val="28"/>
          <w:szCs w:val="28"/>
        </w:rPr>
        <w:fldChar w:fldCharType="end"/>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（一）每千克果粒数≤180个/千克或230个/千克＜每千克果粒数≤280个/千克的可替代交割，升贴水以交易所公告为准。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（二）入库时：15%≤含水率≤25%的，足量入库；25%＜含水率≤26%的，以25%为基准，含水率每超0.1%，扣量0.2%。出库时：15%</w:t>
      </w:r>
      <w:r>
        <w:rPr>
          <w:rFonts w:ascii="宋体" w:hAnsi="宋体" w:cs="宋体" w:hint="eastAsia"/>
          <w:kern w:val="0"/>
          <w:sz w:val="28"/>
          <w:szCs w:val="28"/>
        </w:rPr>
        <w:lastRenderedPageBreak/>
        <w:t>≤含水率≤25%的，足量出库；25%＜含水率≤26%的，以25%为基准，含水率每超0.1%，补量0.2%，由仓库承担。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红枣包装及标志应符合《红枣国标》的规定。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标志要求：外包装上应标明品名、品种、产地、净含量（kg）、生产日期，印刷符合《包装储运图示标志》（GB/T 191-2008）规定的防雨、防压等相关储运图示，标志字迹应清晰无误。</w:t>
      </w:r>
    </w:p>
    <w:p w:rsidR="00375F2C" w:rsidRDefault="00375F2C" w:rsidP="00375F2C">
      <w:pPr>
        <w:widowControl/>
        <w:spacing w:line="360" w:lineRule="auto"/>
        <w:ind w:firstLineChars="200" w:firstLine="562"/>
        <w:jc w:val="center"/>
        <w:outlineLvl w:val="3"/>
        <w:rPr>
          <w:rFonts w:ascii="宋体" w:hAnsi="宋体" w:cs="宋体"/>
          <w:b/>
          <w:kern w:val="0"/>
          <w:sz w:val="28"/>
          <w:szCs w:val="28"/>
        </w:rPr>
      </w:pPr>
      <w:r>
        <w:rPr>
          <w:rFonts w:ascii="宋体" w:hAnsi="宋体" w:cs="宋体" w:hint="eastAsia"/>
          <w:b/>
          <w:kern w:val="0"/>
          <w:sz w:val="28"/>
          <w:szCs w:val="28"/>
        </w:rPr>
        <w:t>第二十节 尿素</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交割单位：20吨（净重）。</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尿素交割适用国家标准及本细则规定。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375F2C" w:rsidRDefault="00375F2C" w:rsidP="00375F2C">
      <w:pPr>
        <w:ind w:firstLineChars="200" w:firstLine="560"/>
      </w:pPr>
      <w:r>
        <w:rPr>
          <w:rFonts w:ascii="宋体" w:eastAsia="黑体" w:hAnsi="宋体" w:cs="宋体" w:hint="eastAsia"/>
          <w:kern w:val="0"/>
          <w:sz w:val="28"/>
          <w:szCs w:val="28"/>
        </w:rPr>
        <w:t>第七十二条</w:t>
      </w:r>
      <w:r>
        <w:rPr>
          <w:rFonts w:ascii="宋体" w:eastAsia="黑体" w:hAnsi="宋体" w:cs="宋体" w:hint="eastAsia"/>
          <w:kern w:val="0"/>
          <w:sz w:val="28"/>
          <w:szCs w:val="28"/>
        </w:rPr>
        <w:t xml:space="preserve"> </w:t>
      </w:r>
      <w:r>
        <w:rPr>
          <w:rFonts w:ascii="宋体" w:hAnsi="宋体" w:cs="宋体" w:hint="eastAsia"/>
          <w:kern w:val="0"/>
          <w:sz w:val="28"/>
          <w:szCs w:val="28"/>
        </w:rPr>
        <w:t>尿素交割品包装应符合《中华人民共和国国家标准 固体化学肥料包装》（GB/T 8569）的规定，外袋为塑料编织袋、内</w:t>
      </w:r>
      <w:r>
        <w:rPr>
          <w:rFonts w:ascii="宋体" w:hAnsi="宋体" w:cs="宋体" w:hint="eastAsia"/>
          <w:kern w:val="0"/>
          <w:sz w:val="28"/>
          <w:szCs w:val="28"/>
        </w:rPr>
        <w:lastRenderedPageBreak/>
        <w:t>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375F2C" w:rsidRDefault="00375F2C" w:rsidP="00375F2C">
      <w:pPr>
        <w:widowControl/>
        <w:spacing w:line="360" w:lineRule="auto"/>
        <w:ind w:firstLineChars="200" w:firstLine="560"/>
        <w:outlineLvl w:val="3"/>
        <w:rPr>
          <w:rFonts w:ascii="宋体" w:hAnsi="宋体" w:cs="宋体"/>
          <w:kern w:val="0"/>
          <w:sz w:val="28"/>
          <w:szCs w:val="28"/>
        </w:rPr>
      </w:pPr>
    </w:p>
    <w:p w:rsidR="00375F2C" w:rsidRDefault="00375F2C" w:rsidP="00375F2C">
      <w:pPr>
        <w:widowControl/>
        <w:spacing w:line="360" w:lineRule="auto"/>
        <w:jc w:val="center"/>
        <w:outlineLvl w:val="1"/>
        <w:rPr>
          <w:rFonts w:ascii="宋体" w:eastAsia="黑体" w:hAnsi="宋体" w:cs="宋体"/>
          <w:kern w:val="0"/>
          <w:sz w:val="32"/>
          <w:szCs w:val="28"/>
        </w:rPr>
      </w:pPr>
      <w:bookmarkStart w:id="1" w:name="_Toc392878584"/>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交割基准价与升贴水</w:t>
      </w:r>
      <w:bookmarkEnd w:id="1"/>
    </w:p>
    <w:p w:rsidR="00375F2C" w:rsidRDefault="00375F2C" w:rsidP="00375F2C">
      <w:pPr>
        <w:pStyle w:val="a4"/>
        <w:widowControl/>
        <w:ind w:firstLine="560"/>
        <w:outlineLvl w:val="3"/>
        <w:rPr>
          <w:rFonts w:ascii="宋体" w:hAnsi="宋体" w:cs="宋体"/>
          <w:sz w:val="28"/>
          <w:szCs w:val="28"/>
        </w:rPr>
      </w:pPr>
      <w:r>
        <w:rPr>
          <w:rFonts w:ascii="宋体" w:eastAsia="黑体" w:hAnsi="宋体" w:cs="宋体" w:hint="eastAsia"/>
          <w:sz w:val="28"/>
          <w:szCs w:val="28"/>
        </w:rPr>
        <w:t>第七十三条</w:t>
      </w:r>
      <w:r>
        <w:rPr>
          <w:rFonts w:ascii="宋体" w:eastAsia="黑体" w:hAnsi="宋体" w:cs="宋体" w:hint="eastAsia"/>
          <w:sz w:val="28"/>
          <w:szCs w:val="28"/>
        </w:rPr>
        <w:t xml:space="preserve"> </w:t>
      </w:r>
      <w:r>
        <w:rPr>
          <w:rFonts w:ascii="宋体" w:hAnsi="宋体" w:cs="宋体" w:hint="eastAsia"/>
          <w:sz w:val="28"/>
          <w:szCs w:val="28"/>
        </w:rPr>
        <w:t>各品种交割基准价如下：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普麦期货合约的交割基准价为该期货合约的基准交割品在指定交割计价点或指定交割仓库买方的车船（汽车、轮船）板交货的含税价格（不含包装）。</w:t>
      </w:r>
    </w:p>
    <w:p w:rsidR="00375F2C" w:rsidRDefault="00375F2C" w:rsidP="00375F2C">
      <w:pPr>
        <w:widowControl/>
        <w:spacing w:line="360" w:lineRule="auto"/>
        <w:ind w:firstLineChars="200" w:firstLine="560"/>
        <w:outlineLvl w:val="3"/>
        <w:rPr>
          <w:rFonts w:ascii="宋体" w:hAnsi="宋体" w:cs="宋体"/>
          <w:kern w:val="0"/>
          <w:sz w:val="28"/>
          <w:szCs w:val="28"/>
        </w:rPr>
      </w:pPr>
      <w:r w:rsidRPr="008619E6">
        <w:rPr>
          <w:rFonts w:ascii="宋体" w:hAnsi="宋体" w:cs="宋体" w:hint="eastAsia"/>
          <w:kern w:val="0"/>
          <w:sz w:val="28"/>
          <w:szCs w:val="28"/>
        </w:rPr>
        <w:t>强麦期货合约的交割基准价为该期货合约的基准交割品在基准交割计价点所在地交割服务机构交货的含税价格。</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一号棉、白糖各期货合约的交割基准价为该期货合约的基准交割品在基准交割仓库交货的含税价格。</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PTA、甲醇期货合约的交割基准价为该期货合约的基准交割品在基准仓库出库时的汽车板交货的含税价格。</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菜籽期货合约的交割基准价为该期货合约的基准交割品在基准交割计价点或基准交割仓库出库时汽车板交货的含税价格（含包装）。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菜油期货合约的交割基准价为该期货合约的基准交割品在基准仓库出库时的车船（汽车、火车、轮船）板交货的含税价格。</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早籼稻、晚籼稻、粳稻期货合约的交割基准价为该期货合约的基准交割品在基准仓库的散粮交货（不含包装物）含税价格。</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玻璃期货合约的交割基准价为该期货合约的基准交割品在基准交割地裸包出库时的汽车板交货的含税价格。</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动力煤期货合约的交割基准价为该期货合约的基准交割品在基准交割地车（船）板交货的含税价格。</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棉纱期货合约的交割基准价为该期货合约的基准交割品在基准交割地出库时汽车板交货的含税价格（含包装）。</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苹果期货合约的交割基准价为该期货合约的基准交割品在基准交割计价点或基准交割仓库散果出库时汽车板交货的含税价格（不含包装物）。</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尿素期货合约的交割基准价为该期货合约的基准交割品在基准交割地出库时的汽车板交货的含税价格（含包装）。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仓</w:t>
      </w:r>
      <w:r>
        <w:rPr>
          <w:rFonts w:ascii="宋体" w:hAnsi="宋体" w:cs="宋体" w:hint="eastAsia"/>
          <w:kern w:val="0"/>
          <w:sz w:val="28"/>
          <w:szCs w:val="28"/>
        </w:rPr>
        <w:t>库、厂库、指定交割计价点及升贴水由交易所确定并公告。</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通用标准仓单的重量溢短的计价标准由交易所每年公告一次。</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52"/>
          <w:sz w:val="28"/>
          <w:szCs w:val="28"/>
        </w:rPr>
        <w:t>适用</w:t>
      </w:r>
      <w:r>
        <w:rPr>
          <w:rFonts w:ascii="宋体" w:hAnsi="宋体" w:cs="宋体" w:hint="eastAsia"/>
          <w:bCs/>
          <w:kern w:val="52"/>
          <w:sz w:val="28"/>
          <w:szCs w:val="28"/>
        </w:rPr>
        <w:t>通用标准仓单</w:t>
      </w:r>
      <w:r>
        <w:rPr>
          <w:rFonts w:ascii="宋体" w:hAnsi="宋体" w:cs="宋体" w:hint="eastAsia"/>
          <w:kern w:val="52"/>
          <w:sz w:val="28"/>
          <w:szCs w:val="28"/>
        </w:rPr>
        <w:t>品种</w:t>
      </w:r>
      <w:r>
        <w:rPr>
          <w:rFonts w:ascii="宋体" w:hAnsi="宋体" w:cs="宋体" w:hint="eastAsia"/>
          <w:bCs/>
          <w:kern w:val="52"/>
          <w:sz w:val="28"/>
          <w:szCs w:val="28"/>
        </w:rPr>
        <w:t>的替代品升贴水、仓库或厂库</w:t>
      </w:r>
      <w:r>
        <w:rPr>
          <w:rFonts w:ascii="宋体" w:hAnsi="宋体" w:cs="宋体" w:hint="eastAsia"/>
          <w:kern w:val="52"/>
          <w:sz w:val="28"/>
          <w:szCs w:val="28"/>
        </w:rPr>
        <w:t>升贴水和重量溢短价款在仓单注册、注销时划转，</w:t>
      </w:r>
      <w:r>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Pr>
          <w:rFonts w:ascii="宋体" w:hAnsi="宋体" w:cs="宋体" w:hint="eastAsia"/>
          <w:kern w:val="52"/>
          <w:sz w:val="28"/>
          <w:szCs w:val="28"/>
        </w:rPr>
        <w:t>应予</w:t>
      </w:r>
      <w:r>
        <w:rPr>
          <w:rFonts w:ascii="宋体" w:hAnsi="宋体" w:cs="宋体" w:hint="eastAsia"/>
          <w:bCs/>
          <w:kern w:val="52"/>
          <w:sz w:val="28"/>
          <w:szCs w:val="28"/>
        </w:rPr>
        <w:t>退还。</w:t>
      </w:r>
    </w:p>
    <w:p w:rsidR="00375F2C" w:rsidRDefault="00375F2C" w:rsidP="00375F2C">
      <w:pPr>
        <w:widowControl/>
        <w:spacing w:line="360" w:lineRule="auto"/>
        <w:jc w:val="center"/>
        <w:outlineLvl w:val="1"/>
        <w:rPr>
          <w:rFonts w:ascii="宋体" w:eastAsia="黑体" w:hAnsi="宋体" w:cs="宋体"/>
          <w:kern w:val="0"/>
          <w:sz w:val="32"/>
          <w:szCs w:val="28"/>
        </w:rPr>
      </w:pPr>
      <w:bookmarkStart w:id="2" w:name="_Toc392878585"/>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交割流程</w:t>
      </w:r>
      <w:bookmarkEnd w:id="2"/>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第七十六条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普麦、强麦、棉花、菜籽、动力煤、粳稻、甲醇、玻璃、白糖、硅铁、锰硅、棉纱、苹果、红枣、尿素期货合约在最后交易日之前的配对原则：</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（一）自进入交割月第一个交易日起至最后交易日的前一交易日，持有交割月合约且持有标准仓单或车（船）板交割货物或厂库非标准仓单棉纱</w:t>
      </w:r>
      <w:r>
        <w:rPr>
          <w:rFonts w:ascii="宋体" w:hAnsi="宋体" w:cs="宋体"/>
          <w:color w:val="000000"/>
          <w:kern w:val="0"/>
          <w:sz w:val="28"/>
          <w:szCs w:val="28"/>
          <w:vertAlign w:val="superscript"/>
        </w:rPr>
        <w:footnoteReference w:id="2"/>
      </w:r>
      <w:r>
        <w:rPr>
          <w:rFonts w:ascii="宋体" w:hAnsi="宋体" w:cs="宋体" w:hint="eastAsia"/>
          <w:kern w:val="0"/>
          <w:sz w:val="28"/>
          <w:szCs w:val="28"/>
        </w:rPr>
        <w:t>的卖方会员可在每个交易日下午2时30分之前，通过会员服务系统按照下列情形提出交割申请。</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1.卖方提出标准仓单交割申请时，应同时提交相应的标准仓单信息；</w:t>
      </w:r>
    </w:p>
    <w:p w:rsidR="00375F2C" w:rsidRDefault="00375F2C" w:rsidP="00375F2C">
      <w:pPr>
        <w:widowControl/>
        <w:spacing w:line="360" w:lineRule="auto"/>
        <w:ind w:firstLineChars="200" w:firstLine="560"/>
        <w:outlineLvl w:val="3"/>
        <w:rPr>
          <w:rFonts w:ascii="宋体" w:hAnsi="宋体" w:cs="宋体"/>
          <w:color w:val="FF0000"/>
          <w:kern w:val="0"/>
          <w:sz w:val="28"/>
          <w:szCs w:val="28"/>
        </w:rPr>
      </w:pPr>
      <w:r>
        <w:rPr>
          <w:rFonts w:ascii="宋体" w:hAnsi="宋体" w:cs="宋体" w:hint="eastAsia"/>
          <w:kern w:val="0"/>
          <w:sz w:val="28"/>
          <w:szCs w:val="28"/>
        </w:rPr>
        <w:t>2.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sidRPr="008619E6">
        <w:rPr>
          <w:rFonts w:ascii="宋体" w:hAnsi="宋体" w:cs="宋体" w:hint="eastAsia"/>
          <w:kern w:val="0"/>
          <w:sz w:val="28"/>
          <w:szCs w:val="28"/>
        </w:rPr>
        <w:t>强麦车（船）板信息参照《强麦入库确认书》。</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3.卖方提出厂库非标准仓单棉纱交割申请时，应同时提交相应的拟交割货物信息，包括：线密度、单纱断裂强度、单纱断裂强力变异系数、条干均匀度变异系数、-50%千米细节、+50%千米粗节、+200%</w:t>
      </w:r>
      <w:r>
        <w:rPr>
          <w:rFonts w:ascii="宋体" w:hAnsi="宋体" w:cs="宋体" w:hint="eastAsia"/>
          <w:kern w:val="0"/>
          <w:sz w:val="28"/>
          <w:szCs w:val="28"/>
        </w:rPr>
        <w:lastRenderedPageBreak/>
        <w:t>千米棉结、十万米纱疵、百米重量偏差、百米重量变异系数、实际捻系数、异性纤维含量、公定重量（20吨的整数倍）、生产厂库、联系方式、提货地点（限生产厂库）等；并根据交割结算价在合理范围内自报升贴水。</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方会员在会员服务系统响应卖方会员的交割申请。买方会员响应的，即视为确认，买卖双方均不得撤销。未得到买方会员响应的，卖方会员可于申请当日下午2时30分之前撤销交割申请；没有撤销的，由计算机系统判为作废，苹果、红枣品种除外。</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（三）当日闭市后，交易所按确认结果进行配对。</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品种当日闭市后，对于未得到买方会员响应的交割申请，交易所通过计算机系统，先按照“建仓时间最早的法人持仓优先”原则，确定参与配对的买方持仓后予以配对（配对日）。苹果由计算机按先车（船）板后仓单的原则予以配对（配对日）。</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第七十七条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普麦、强麦、棉花、菜籽、动力煤、粳稻、甲醇、玻璃、白糖、硅铁、锰硅、棉纱、苹果、红枣、尿素期货合约在最后交易日的配对原则：</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当日下午，不再进行交易。对于同一会员同一交易编码客户所持有的该交割月买卖持仓，若客户未提出不自动平仓申请，则闭市后，其相对应部分买卖持仓由计算机自动平仓，平仓价按当日结算价计算。其他未平仓合约，一律视为交割合约。</w:t>
      </w:r>
    </w:p>
    <w:p w:rsidR="00375F2C" w:rsidRDefault="00375F2C" w:rsidP="00375F2C">
      <w:pPr>
        <w:widowControl/>
        <w:spacing w:line="360" w:lineRule="auto"/>
        <w:ind w:firstLineChars="200" w:firstLine="560"/>
        <w:outlineLvl w:val="3"/>
        <w:rPr>
          <w:rFonts w:ascii="宋体" w:hAnsi="宋体" w:cs="宋体"/>
          <w:dstrike/>
          <w:color w:val="000000"/>
          <w:kern w:val="0"/>
          <w:sz w:val="28"/>
          <w:szCs w:val="28"/>
        </w:rPr>
      </w:pPr>
      <w:r>
        <w:rPr>
          <w:rFonts w:ascii="宋体" w:hAnsi="宋体" w:cs="宋体" w:hint="eastAsia"/>
          <w:color w:val="000000"/>
          <w:kern w:val="0"/>
          <w:sz w:val="28"/>
          <w:szCs w:val="28"/>
        </w:rPr>
        <w:t>（二）当日下午1时30分之前，</w:t>
      </w:r>
      <w:r>
        <w:rPr>
          <w:rFonts w:ascii="宋体" w:hAnsi="宋体" w:cs="宋体" w:hint="eastAsia"/>
          <w:kern w:val="0"/>
          <w:sz w:val="28"/>
          <w:szCs w:val="28"/>
        </w:rPr>
        <w:t>卖方应提出交割申请，提交车（船）板交割货物信息。</w:t>
      </w:r>
      <w:r w:rsidRPr="0078506B">
        <w:rPr>
          <w:rFonts w:ascii="宋体" w:hAnsi="宋体" w:cs="宋体" w:hint="eastAsia"/>
          <w:kern w:val="0"/>
          <w:sz w:val="28"/>
          <w:szCs w:val="28"/>
        </w:rPr>
        <w:t>强麦卖方应依据《强麦入库确认书》信息提</w:t>
      </w:r>
      <w:r w:rsidRPr="0078506B">
        <w:rPr>
          <w:rFonts w:ascii="宋体" w:hAnsi="宋体" w:cs="宋体" w:hint="eastAsia"/>
          <w:kern w:val="0"/>
          <w:sz w:val="28"/>
          <w:szCs w:val="28"/>
        </w:rPr>
        <w:lastRenderedPageBreak/>
        <w:t>交车（船）板交割申请。</w:t>
      </w:r>
      <w:r>
        <w:rPr>
          <w:rFonts w:ascii="宋体" w:hAnsi="宋体" w:cs="宋体" w:hint="eastAsia"/>
          <w:kern w:val="0"/>
          <w:sz w:val="28"/>
          <w:szCs w:val="28"/>
        </w:rPr>
        <w:t>卖方应主动公布用于交割的仓单信息，未主动公布的，交易所于下午1时30分公布卖方相应品种所有可流通标准仓单信息供买方挑选；买方挑选卖方标准仓单的总数量不超过卖方该合约的持仓量。</w:t>
      </w:r>
      <w:r w:rsidRPr="0078506B">
        <w:rPr>
          <w:rFonts w:ascii="宋体" w:hAnsi="宋体" w:cs="宋体" w:hint="eastAsia"/>
          <w:kern w:val="0"/>
          <w:sz w:val="28"/>
          <w:szCs w:val="28"/>
        </w:rPr>
        <w:t>强麦之外的其他品种，</w:t>
      </w:r>
      <w:r>
        <w:rPr>
          <w:rFonts w:ascii="宋体" w:hAnsi="宋体" w:cs="宋体" w:hint="eastAsia"/>
          <w:kern w:val="0"/>
          <w:sz w:val="28"/>
          <w:szCs w:val="28"/>
        </w:rPr>
        <w:t>卖方</w:t>
      </w:r>
      <w:r>
        <w:rPr>
          <w:rFonts w:ascii="宋体" w:hAnsi="宋体" w:cs="宋体" w:hint="eastAsia"/>
          <w:color w:val="000000"/>
          <w:kern w:val="0"/>
          <w:sz w:val="28"/>
          <w:szCs w:val="28"/>
        </w:rPr>
        <w:t>未提出车（船）板交割申请及未提交车（船）板交割货物信息的，交易所按标准仓单交割对待。</w:t>
      </w:r>
      <w:r w:rsidRPr="0078506B">
        <w:rPr>
          <w:rFonts w:ascii="宋体" w:hAnsi="宋体" w:cs="宋体" w:hint="eastAsia"/>
          <w:color w:val="000000"/>
          <w:kern w:val="0"/>
          <w:sz w:val="28"/>
          <w:szCs w:val="28"/>
        </w:rPr>
        <w:t>强麦卖方未提出车（船）板交割申请或未提交车（船）板交割货物信息的，按交割违约处理。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（三）当日下午1时30分到2时30分，买方根据卖方提交的仓单信息或车（船）板交割的货物信息，自主选择并确认。卖方提出的、但未被买方选中的车（船）板交割申请，仍然按照车（船）板交割方式进行配对。</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（四）当日闭市后，交易所按确认结果进行配对；</w:t>
      </w:r>
      <w:r>
        <w:rPr>
          <w:rFonts w:ascii="宋体" w:hAnsi="宋体" w:cs="仿宋_GB2312" w:hint="eastAsia"/>
          <w:kern w:val="0"/>
          <w:sz w:val="28"/>
          <w:szCs w:val="28"/>
        </w:rPr>
        <w:t>其他仍未配对</w:t>
      </w:r>
      <w:r>
        <w:rPr>
          <w:rFonts w:ascii="宋体" w:hAnsi="宋体" w:cs="宋体" w:hint="eastAsia"/>
          <w:kern w:val="0"/>
          <w:sz w:val="28"/>
          <w:szCs w:val="28"/>
        </w:rPr>
        <w:t>的持仓，由计算机按先车（船）板后仓单，再按数量取整、最少配对数原则予以配对（即配对日）。</w:t>
      </w:r>
    </w:p>
    <w:p w:rsidR="00375F2C" w:rsidRDefault="00375F2C" w:rsidP="00375F2C">
      <w:pPr>
        <w:widowControl/>
        <w:spacing w:line="360" w:lineRule="auto"/>
        <w:ind w:firstLineChars="200" w:firstLine="560"/>
        <w:jc w:val="left"/>
        <w:rPr>
          <w:rFonts w:ascii="宋体"/>
          <w:color w:val="000000"/>
          <w:sz w:val="28"/>
          <w:szCs w:val="28"/>
        </w:rPr>
      </w:pPr>
      <w:r>
        <w:rPr>
          <w:rFonts w:ascii="宋体" w:hAnsi="宋体" w:cs="宋体" w:hint="eastAsia"/>
          <w:color w:val="000000"/>
          <w:kern w:val="0"/>
          <w:sz w:val="28"/>
          <w:szCs w:val="28"/>
        </w:rPr>
        <w:t>厂库非标准仓单棉纱不得用于最后交易日的配对交割。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PTA、菜油、菜粕、早籼稻、晚籼稻</w:t>
      </w:r>
      <w:r>
        <w:rPr>
          <w:rFonts w:ascii="宋体" w:hAnsi="宋体" w:cs="宋体" w:hint="eastAsia"/>
          <w:kern w:val="0"/>
          <w:sz w:val="28"/>
          <w:szCs w:val="28"/>
        </w:rPr>
        <w:t>期货合约配对原则：</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（一）自进入交割月第一个交易日起至最后交易日的前一交易日，持有交割月合约、标准仓单的卖方会员均可在每个交易日下午2时30分之前的交易时间内，通过会员服务系统提出交割申请。</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（二）买方会员在会员服务系统响应卖方会员的交割申请；未得到买方会员响应的，卖方会员可于申请当日下午2时30分之前撤销</w:t>
      </w:r>
      <w:r>
        <w:rPr>
          <w:rFonts w:ascii="宋体" w:hAnsi="宋体" w:cs="宋体" w:hint="eastAsia"/>
          <w:kern w:val="0"/>
          <w:sz w:val="28"/>
          <w:szCs w:val="28"/>
        </w:rPr>
        <w:lastRenderedPageBreak/>
        <w:t>交割申请，没有撤销的，由计算机系统判为作废；买方会员响应的，即视为确认，买卖双方均不得撤销。申请当日闭市后，交易所依据买卖双方相对应的持仓量、买卖双方确认申请量和卖方持有标准仓单量，取最小数进行配对（即配对日）。</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对于同一会员同一交易编码客户所持有的该交割月买卖持仓，若客户未提出不自动平仓申请，则最后交易日闭市后，其相对应部分买卖持仓由计算机自动平仓，平仓价按当日结算价计算；其他未平仓合约，一律视为交割合约，由计算机按数量取整、最少配对数原则予以配对（配对日）。</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PTA期货合约在最后交易日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按数量取整、最少配对数原则予以配对（配对日）。</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Pr>
          <w:rFonts w:ascii="宋体" w:hAnsi="宋体" w:cs="宋体" w:hint="eastAsia"/>
          <w:kern w:val="0"/>
          <w:sz w:val="28"/>
          <w:szCs w:val="28"/>
        </w:rPr>
        <w:t>配对后，标准仓单交割的，卖方相应的标准仓单予以冻结，相应的交易保证金予以释放。车（船）板或厂库非标准仓单棉纱交割的，卖方交易保证金不予释放。</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第八十条</w:t>
      </w:r>
      <w:r>
        <w:rPr>
          <w:rFonts w:ascii="宋体" w:eastAsia="黑体" w:hAnsi="宋体" w:cs="宋体" w:hint="eastAsia"/>
          <w:kern w:val="0"/>
          <w:sz w:val="28"/>
          <w:szCs w:val="28"/>
        </w:rPr>
        <w:t xml:space="preserve"> </w:t>
      </w:r>
      <w:r>
        <w:rPr>
          <w:rFonts w:ascii="宋体" w:hAnsi="宋体" w:cs="宋体" w:hint="eastAsia"/>
          <w:kern w:val="0"/>
          <w:sz w:val="28"/>
          <w:szCs w:val="28"/>
        </w:rPr>
        <w:t>交割关系一经确定，买卖双方不得擅自调整或者变更。</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第八十一条</w:t>
      </w:r>
      <w:r>
        <w:rPr>
          <w:rFonts w:ascii="宋体" w:eastAsia="黑体" w:hAnsi="宋体" w:cs="宋体" w:hint="eastAsia"/>
          <w:kern w:val="0"/>
          <w:sz w:val="28"/>
          <w:szCs w:val="28"/>
        </w:rPr>
        <w:t xml:space="preserve"> </w:t>
      </w:r>
      <w:r>
        <w:rPr>
          <w:rFonts w:ascii="宋体" w:hAnsi="宋体" w:cs="宋体" w:hint="eastAsia"/>
          <w:kern w:val="0"/>
          <w:sz w:val="28"/>
          <w:szCs w:val="28"/>
        </w:rPr>
        <w:t>配对日后的下一交易日（即通知日），买卖双方通过交易所会员服务系统确认《交割通知单》。会员未收到《交割通知</w:t>
      </w:r>
      <w:r>
        <w:rPr>
          <w:rFonts w:ascii="宋体" w:hAnsi="宋体" w:cs="宋体" w:hint="eastAsia"/>
          <w:kern w:val="0"/>
          <w:sz w:val="28"/>
          <w:szCs w:val="28"/>
        </w:rPr>
        <w:lastRenderedPageBreak/>
        <w:t>单》或者对《交割通知单》有异议的，应在通知日下午5时之前以书面形式通知交易所；规定时间内没有提出异议的，视为对《交割通知单》的认可。</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标准仓单交割结算流程规定如下：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通知日后的下一交易日（即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交易所收取买方会员全额货款后，于交割日将全额货款的80%划转给卖方会员，同时将卖方会员的仓单交付买方会员。余款在买方会员确认收到卖方会员转交的增值税专用发票时结清。交割标的为PTA保税标准仓单的，卖方会员应在交割日向交易所开具增值税普通发票，交割日后7个交易日闭市前未向交易所提交增值税普通发票的，交易所按照本细则规定收取滞纳金或违约金。对发票的传递、余款的结算，会员均应按本细则规定办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（三）境外买方分配到PTA完税标准仓单的，交易所负责组织对该PTA完税标准仓单进行竞卖，竞卖产生的损益和费用由境外买方承担。若竞卖不成功，境外买方支付对应交割货款20%的补偿金给配对卖方。</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车（船）板交割结算流程规定如下：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（一）通知日后下一交易日上午9时之前，买方会员应当将100％货款（不含交割月保证金）划入交易所账户。</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（二）买卖双方自通知日后规定时间，对车（船）板交割货物的交收事宜进行协商，办理交收。车（船）板交割具体事宜见本细则“车（船）板交割”一章有关规定。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（三）配对后至最后交货日次日，交易所按双方确认情况进行结算。</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委托交易所结算的，全部货物交收完毕后，卖方一次性提交此次交割货物数量、质量、增值税发票流转及应划转货款等信息，买方应在当日内进行确认，若有异议，应在卖方提交信息之日起（含该日）三个交易日内提供有效证明。逾期未提交有效证明的，系统将按照卖方提交的信息自动确认。交易所按双方确认结果进行资金划转、释放买卖双方的剩余资金。增值税发票流转参照本细则“增值税专用（普通）发票的流转”一章有关规定执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2.不委托交易所结算的，交易所退还买卖双方交易保证金和买方货款。买卖双方终止交割。</w:t>
      </w:r>
    </w:p>
    <w:p w:rsidR="00375F2C" w:rsidRDefault="00375F2C" w:rsidP="00375F2C">
      <w:pPr>
        <w:widowControl/>
        <w:spacing w:line="360" w:lineRule="auto"/>
        <w:ind w:firstLineChars="200" w:firstLine="560"/>
        <w:outlineLvl w:val="3"/>
        <w:rPr>
          <w:rFonts w:ascii="宋体" w:hAnsi="宋体" w:cs="宋体"/>
          <w:spacing w:val="-6"/>
          <w:kern w:val="0"/>
          <w:sz w:val="28"/>
          <w:szCs w:val="28"/>
        </w:rPr>
      </w:pPr>
      <w:r>
        <w:rPr>
          <w:rFonts w:ascii="宋体" w:eastAsia="黑体" w:hAnsi="宋体" w:cs="宋体" w:hint="eastAsia"/>
          <w:kern w:val="0"/>
          <w:sz w:val="28"/>
          <w:szCs w:val="28"/>
        </w:rPr>
        <w:t>第八十四条</w:t>
      </w:r>
      <w:r>
        <w:rPr>
          <w:rFonts w:ascii="宋体" w:eastAsia="黑体" w:hAnsi="宋体" w:cs="宋体" w:hint="eastAsia"/>
          <w:kern w:val="0"/>
          <w:sz w:val="28"/>
          <w:szCs w:val="28"/>
        </w:rPr>
        <w:t xml:space="preserve"> </w:t>
      </w:r>
      <w:r>
        <w:rPr>
          <w:rFonts w:ascii="宋体" w:hAnsi="宋体" w:cs="宋体" w:hint="eastAsia"/>
          <w:kern w:val="0"/>
          <w:sz w:val="28"/>
          <w:szCs w:val="28"/>
        </w:rPr>
        <w:t>厂库非标准仓单棉纱交割结算流程规定如下：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（一）通知日后下一个交易日上午9时之前，买方会员应当将100%货款（不含交割月保证金）划入交易所账户。</w:t>
      </w:r>
    </w:p>
    <w:p w:rsidR="00375F2C" w:rsidRDefault="00375F2C" w:rsidP="00375F2C">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（二）自通知日起（含该日）三个交易日内，买卖双方可就厂库棉纱交割事宜进行协商，确定结算方式、交货方式、交货时间等，签</w:t>
      </w:r>
      <w:r>
        <w:rPr>
          <w:rFonts w:ascii="宋体" w:hAnsi="宋体" w:cs="宋体" w:hint="eastAsia"/>
          <w:kern w:val="0"/>
          <w:sz w:val="28"/>
          <w:szCs w:val="28"/>
        </w:rPr>
        <w:lastRenderedPageBreak/>
        <w:t>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375F2C" w:rsidRDefault="00375F2C" w:rsidP="00375F2C">
      <w:pPr>
        <w:widowControl/>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（三）在最后交货日之前交割完毕的，配对后至最后交货日次日，交易所按买卖双方在会员服务系统中的确认情况进行结算。具体流程参照本细则</w:t>
      </w:r>
      <w:r w:rsidRPr="00BB1059">
        <w:rPr>
          <w:rFonts w:ascii="宋体" w:hAnsi="宋体" w:cs="宋体" w:hint="eastAsia"/>
          <w:kern w:val="0"/>
          <w:sz w:val="28"/>
          <w:szCs w:val="28"/>
        </w:rPr>
        <w:t>第八十三条第三项</w:t>
      </w:r>
      <w:r>
        <w:rPr>
          <w:rFonts w:ascii="宋体" w:hAnsi="宋体" w:cs="宋体" w:hint="eastAsia"/>
          <w:kern w:val="0"/>
          <w:sz w:val="28"/>
          <w:szCs w:val="28"/>
        </w:rPr>
        <w:t>有关规定执行。</w:t>
      </w:r>
    </w:p>
    <w:p w:rsidR="00375F2C" w:rsidRDefault="00375F2C" w:rsidP="00375F2C">
      <w:pPr>
        <w:widowControl/>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t>（四）在</w:t>
      </w:r>
      <w:r>
        <w:rPr>
          <w:rFonts w:ascii="宋体" w:hAnsi="宋体" w:hint="eastAsia"/>
          <w:spacing w:val="-6"/>
          <w:kern w:val="0"/>
          <w:sz w:val="28"/>
          <w:szCs w:val="28"/>
        </w:rPr>
        <w:t>最后交货日</w:t>
      </w:r>
      <w:r>
        <w:rPr>
          <w:rFonts w:ascii="宋体" w:hAnsi="宋体" w:cs="宋体" w:hint="eastAsia"/>
          <w:color w:val="000000"/>
          <w:kern w:val="0"/>
          <w:sz w:val="28"/>
          <w:szCs w:val="28"/>
        </w:rPr>
        <w:t>仍没有交割完毕的，参照本细则第</w:t>
      </w:r>
      <w:r w:rsidRPr="00BB1059">
        <w:rPr>
          <w:rFonts w:ascii="宋体" w:hAnsi="宋体" w:cs="宋体" w:hint="eastAsia"/>
          <w:color w:val="000000"/>
          <w:kern w:val="0"/>
          <w:sz w:val="28"/>
          <w:szCs w:val="28"/>
        </w:rPr>
        <w:t>九十八</w:t>
      </w:r>
      <w:r>
        <w:rPr>
          <w:rFonts w:ascii="宋体" w:hAnsi="宋体" w:cs="宋体" w:hint="eastAsia"/>
          <w:color w:val="000000"/>
          <w:kern w:val="0"/>
          <w:sz w:val="28"/>
          <w:szCs w:val="28"/>
        </w:rPr>
        <w:t>条有关规定执行。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交割结算价为期货合约配对日前10个交易日（含配对日）交易结算价的算术平均价。</w:t>
      </w:r>
    </w:p>
    <w:p w:rsidR="00375F2C" w:rsidRDefault="00375F2C" w:rsidP="00375F2C">
      <w:pPr>
        <w:widowControl/>
        <w:spacing w:line="360" w:lineRule="auto"/>
        <w:jc w:val="center"/>
        <w:outlineLvl w:val="1"/>
        <w:rPr>
          <w:rFonts w:ascii="宋体" w:eastAsia="黑体" w:hAnsi="宋体" w:cs="宋体"/>
          <w:kern w:val="0"/>
          <w:sz w:val="32"/>
          <w:szCs w:val="28"/>
        </w:rPr>
      </w:pPr>
      <w:bookmarkStart w:id="3" w:name="_Toc392878586"/>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车（船）板交割</w:t>
      </w:r>
      <w:bookmarkEnd w:id="3"/>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卖方拟开展车（船）板交割时，货物存放机构应具备以下条件：</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（一）交通便利，核定载重30吨货车能够顺畅通行；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（三）装运能力强，发货速度不低于300吨/天（双方另有约定的除外）；</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（四）具备开展期货交割质量检验的检化验设备，检化验设备符合国标检验规定，且运行良好。</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卖方货物存放机构不具备以上条件的，卖方须承担由此产生的相应责任。</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黑体" w:eastAsia="黑体" w:hAnsi="黑体" w:cs="宋体" w:hint="eastAsia"/>
          <w:kern w:val="0"/>
          <w:sz w:val="28"/>
          <w:szCs w:val="28"/>
        </w:rPr>
        <w:t>第八十七条</w:t>
      </w:r>
      <w:r w:rsidRPr="0078506B">
        <w:rPr>
          <w:rFonts w:ascii="宋体" w:hAnsi="宋体" w:cs="宋体" w:hint="eastAsia"/>
          <w:kern w:val="0"/>
          <w:sz w:val="28"/>
          <w:szCs w:val="28"/>
        </w:rPr>
        <w:t xml:space="preserve"> 强麦车（船）板交割必须进行交割预报。</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lastRenderedPageBreak/>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预报数量较大的，交易所可以要求货主提供拥有商品的相关证明。</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《强麦车（船）板接收通知单》自开具之日起生效，有效期为40个日历日。交易所可视情况，调整《强麦车（船）板接收通知单》的有效期。</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lastRenderedPageBreak/>
        <w:t>《强麦入库确认书》作为卖方参与交割配对的依据。</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375F2C" w:rsidRPr="0078506B"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货主应当按交易所有关规定向服务机构交纳各项费用。</w:t>
      </w:r>
    </w:p>
    <w:p w:rsidR="00375F2C" w:rsidRDefault="00375F2C" w:rsidP="00375F2C">
      <w:pPr>
        <w:widowControl/>
        <w:spacing w:line="360" w:lineRule="auto"/>
        <w:ind w:firstLineChars="200" w:firstLine="560"/>
        <w:outlineLvl w:val="3"/>
        <w:rPr>
          <w:rFonts w:ascii="宋体" w:hAnsi="宋体" w:cs="宋体"/>
          <w:kern w:val="0"/>
          <w:sz w:val="28"/>
          <w:szCs w:val="28"/>
        </w:rPr>
      </w:pPr>
      <w:r w:rsidRPr="0078506B">
        <w:rPr>
          <w:rFonts w:ascii="宋体" w:hAnsi="宋体" w:cs="宋体" w:hint="eastAsia"/>
          <w:kern w:val="0"/>
          <w:sz w:val="28"/>
          <w:szCs w:val="28"/>
        </w:rPr>
        <w:t>办理完交割预报的货主发货前，须将运输方式、车（船）号、数量、到货时间等通知服务机构。</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第八十八条</w:t>
      </w:r>
      <w:r>
        <w:rPr>
          <w:rFonts w:ascii="宋体" w:eastAsia="黑体" w:hAnsi="宋体" w:cs="宋体" w:hint="eastAsia"/>
          <w:kern w:val="0"/>
          <w:sz w:val="28"/>
          <w:szCs w:val="28"/>
        </w:rPr>
        <w:t xml:space="preserve"> </w:t>
      </w:r>
      <w:r>
        <w:rPr>
          <w:rFonts w:ascii="宋体" w:hAnsi="宋体" w:cs="宋体" w:hint="eastAsia"/>
          <w:kern w:val="0"/>
          <w:sz w:val="28"/>
          <w:szCs w:val="28"/>
        </w:rPr>
        <w:t>自通知日（含该日）起三个交易日内，买卖双方可就车（船）板交割事宜进行协商，确定结算方式、交货地点、交货方式、交货时间等，签订《车（船）板交割协议书》。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375F2C" w:rsidRDefault="00375F2C" w:rsidP="00375F2C">
      <w:pPr>
        <w:widowControl/>
        <w:spacing w:line="360" w:lineRule="auto"/>
        <w:ind w:firstLineChars="200" w:firstLine="560"/>
        <w:outlineLvl w:val="3"/>
        <w:rPr>
          <w:rFonts w:ascii="宋体" w:hAnsi="宋体" w:cs="宋体"/>
          <w:kern w:val="0"/>
          <w:sz w:val="28"/>
          <w:szCs w:val="28"/>
        </w:rPr>
      </w:pPr>
      <w:r w:rsidRPr="00EB31D8">
        <w:rPr>
          <w:rFonts w:ascii="宋体" w:eastAsia="黑体" w:hAnsi="宋体" w:cs="宋体" w:hint="eastAsia"/>
          <w:kern w:val="0"/>
          <w:sz w:val="28"/>
          <w:szCs w:val="28"/>
        </w:rPr>
        <w:t>第八十九条</w:t>
      </w:r>
      <w:r>
        <w:rPr>
          <w:rFonts w:ascii="宋体" w:eastAsia="黑体" w:hAnsi="宋体" w:cs="宋体" w:hint="eastAsia"/>
          <w:kern w:val="0"/>
          <w:sz w:val="28"/>
          <w:szCs w:val="28"/>
        </w:rPr>
        <w:t xml:space="preserve"> </w:t>
      </w:r>
      <w:r>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第九十条</w:t>
      </w:r>
      <w:r>
        <w:rPr>
          <w:rFonts w:ascii="宋体" w:eastAsia="黑体" w:hAnsi="宋体" w:cs="宋体" w:hint="eastAsia"/>
          <w:kern w:val="0"/>
          <w:sz w:val="28"/>
          <w:szCs w:val="28"/>
        </w:rPr>
        <w:t xml:space="preserve"> </w:t>
      </w:r>
      <w:r>
        <w:rPr>
          <w:rFonts w:ascii="宋体" w:hAnsi="宋体" w:cs="宋体" w:hint="eastAsia"/>
          <w:kern w:val="0"/>
          <w:sz w:val="28"/>
          <w:szCs w:val="28"/>
        </w:rPr>
        <w:t>动力煤发运前，买方有权对货物质量进行检验，买方承担与检验相关的所有费用。指定质检机构通过移动煤流采样并出具</w:t>
      </w:r>
      <w:r>
        <w:rPr>
          <w:rFonts w:ascii="宋体" w:hAnsi="宋体" w:cs="宋体" w:hint="eastAsia"/>
          <w:kern w:val="0"/>
          <w:sz w:val="28"/>
          <w:szCs w:val="28"/>
        </w:rPr>
        <w:lastRenderedPageBreak/>
        <w:t>的正式质检报告显示不符合交割标准的，按卖方违约处理，双方协商一致的除外；正式质检报告显示符合交割标准的，或买方不检验的，应正常发货。</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之外的其他品种，在交割计价点交割的，买卖双方应在互相确认《车（船）板交货事项确认单》后三个工作日内与交割计价点指定交割仓库或者其他交割服务机构联系，签订交割中转协议，安排交割事宜。</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28"/>
        </w:rPr>
        <w:t>动力煤买方使用车辆运输时，应自通知日起（含该日）7个工作日内抵达货物所在地；买方使用船舶运输时，全部或首批船舶应自通知日起（含该日）7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sidRPr="00E35DC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动力煤、强麦之外的其他品种，买卖双方应自达成中转协议之日起（含该日）三日内开始交收货物。卖方须按约定的时间及发货速度把货物运达交割计价点指定交割仓库或指定地点。买方应在卖方货物</w:t>
      </w:r>
      <w:r>
        <w:rPr>
          <w:rFonts w:ascii="宋体" w:hAnsi="宋体" w:cs="宋体" w:hint="eastAsia"/>
          <w:color w:val="000000"/>
          <w:kern w:val="0"/>
          <w:sz w:val="28"/>
          <w:szCs w:val="28"/>
        </w:rPr>
        <w:lastRenderedPageBreak/>
        <w:t>到达后24小时内完成货物质量检验，并在质量验收确认后24小时内装车发运。买方在规定的时间内因自身原因不能装车发运的，卖方不再承担该批货物的质量责任。交割数量较大的，卖方可分批（苹果不低于20吨/日，普麦、菜籽不低于300吨/日，双方另有约定的除外）发货到库，买方分批检验及接运货物。</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卖方承担在交割计价点交割的中转费用。在交割过程中发生临时存储的，卖方承担存储期间的仓储费用。</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交割计价点指定交割仓库或者其他交割服务机构仅提供交割中转、仓储及质量检化验服务，不承担货物临时存储期间的质量变化责任。</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375F2C" w:rsidRDefault="00375F2C" w:rsidP="00375F2C">
      <w:pPr>
        <w:widowControl/>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375F2C" w:rsidRDefault="00375F2C" w:rsidP="00375F2C">
      <w:pPr>
        <w:spacing w:line="360" w:lineRule="auto"/>
        <w:ind w:firstLineChars="200" w:firstLine="560"/>
        <w:rPr>
          <w:rFonts w:ascii="宋体" w:hAnsi="宋体"/>
          <w:color w:val="000000"/>
          <w:kern w:val="0"/>
          <w:sz w:val="28"/>
          <w:szCs w:val="28"/>
        </w:rPr>
      </w:pPr>
      <w:r>
        <w:rPr>
          <w:rFonts w:ascii="宋体" w:cs="宋体" w:hint="eastAsia"/>
          <w:color w:val="000000"/>
          <w:sz w:val="28"/>
          <w:szCs w:val="28"/>
        </w:rPr>
        <w:t>买卖双方对检验结果无异议的，该检验结果作为货物质量判定的依据。对检验结果有异议的，应协商解决。协商不一致的，</w:t>
      </w:r>
      <w:r>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w:t>
      </w:r>
      <w:r>
        <w:rPr>
          <w:rFonts w:ascii="宋体" w:hAnsi="宋体" w:hint="eastAsia"/>
          <w:color w:val="000000"/>
          <w:kern w:val="0"/>
          <w:sz w:val="28"/>
          <w:szCs w:val="28"/>
        </w:rPr>
        <w:lastRenderedPageBreak/>
        <w:t>的，视为同意质检结果。</w:t>
      </w:r>
      <w:r>
        <w:rPr>
          <w:rFonts w:ascii="宋体" w:hAnsi="宋体" w:hint="eastAsia"/>
          <w:sz w:val="28"/>
          <w:szCs w:val="28"/>
        </w:rPr>
        <w:t>复检申请仅限一次，复检项目限于收到基低位发热量、干燥基全硫、干燥无灰基挥发分和干燥基灰分，计算收到基低位发热量时，全水采用初检结果</w:t>
      </w:r>
      <w:r>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w:t>
      </w:r>
      <w:r>
        <w:rPr>
          <w:rFonts w:ascii="宋体" w:hAnsi="宋体" w:cs="宋体" w:hint="eastAsia"/>
          <w:color w:val="000000"/>
          <w:kern w:val="0"/>
          <w:sz w:val="28"/>
          <w:szCs w:val="28"/>
        </w:rPr>
        <w:t>争议提出方预交相关费用（</w:t>
      </w:r>
      <w:r>
        <w:rPr>
          <w:rFonts w:ascii="宋体" w:hAnsi="宋体" w:cs="宋体" w:hint="eastAsia"/>
          <w:kern w:val="0"/>
          <w:sz w:val="28"/>
          <w:szCs w:val="28"/>
        </w:rPr>
        <w:t>检验费和差旅费等</w:t>
      </w:r>
      <w:r>
        <w:rPr>
          <w:rFonts w:ascii="宋体" w:hAnsi="宋体" w:cs="宋体" w:hint="eastAsia"/>
          <w:color w:val="000000"/>
          <w:kern w:val="0"/>
          <w:sz w:val="28"/>
          <w:szCs w:val="28"/>
        </w:rPr>
        <w:t>）</w:t>
      </w:r>
      <w:r>
        <w:rPr>
          <w:rFonts w:ascii="宋体" w:hAnsi="宋体" w:cs="宋体" w:hint="eastAsia"/>
          <w:kern w:val="0"/>
          <w:sz w:val="28"/>
          <w:szCs w:val="28"/>
        </w:rPr>
        <w:t>。交易所指定质检机构进行检验，复检机构自收到交易所复检通知之日（不含该日）起5个工作日内应当做出复检结果，复检结果为解决争议的依据。复检费用由过错方承担。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375F2C" w:rsidRDefault="00375F2C" w:rsidP="00375F2C">
      <w:pPr>
        <w:widowControl/>
        <w:spacing w:line="360" w:lineRule="auto"/>
        <w:ind w:firstLineChars="200" w:firstLine="560"/>
        <w:outlineLvl w:val="3"/>
        <w:rPr>
          <w:rFonts w:ascii="宋体" w:hAnsi="宋体" w:cs="宋体"/>
          <w:kern w:val="0"/>
          <w:sz w:val="28"/>
          <w:szCs w:val="28"/>
        </w:rPr>
      </w:pPr>
      <w:r w:rsidRPr="00EB2790">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w:t>
      </w:r>
      <w:r w:rsidRPr="00EB2790">
        <w:rPr>
          <w:rFonts w:ascii="宋体" w:hAnsi="宋体" w:cs="宋体" w:hint="eastAsia"/>
          <w:kern w:val="0"/>
          <w:sz w:val="28"/>
          <w:szCs w:val="28"/>
        </w:rPr>
        <w:lastRenderedPageBreak/>
        <w:t>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375F2C" w:rsidRDefault="00375F2C" w:rsidP="00375F2C">
      <w:pPr>
        <w:widowControl/>
        <w:spacing w:line="360" w:lineRule="auto"/>
        <w:ind w:firstLineChars="200" w:firstLine="560"/>
        <w:outlineLvl w:val="3"/>
        <w:rPr>
          <w:rFonts w:ascii="宋体" w:cs="宋体"/>
          <w:color w:val="000000"/>
          <w:kern w:val="0"/>
          <w:sz w:val="28"/>
          <w:szCs w:val="28"/>
        </w:rPr>
      </w:pPr>
      <w:r>
        <w:rPr>
          <w:rFonts w:ascii="宋体" w:cs="宋体" w:hint="eastAsia"/>
          <w:sz w:val="28"/>
          <w:szCs w:val="28"/>
        </w:rPr>
        <w:t>动力煤、苹果、强麦之外的其他品种</w:t>
      </w:r>
      <w:r>
        <w:rPr>
          <w:rFonts w:ascii="宋体" w:hAnsi="宋体" w:cs="宋体" w:hint="eastAsia"/>
          <w:color w:val="000000"/>
          <w:kern w:val="0"/>
          <w:sz w:val="28"/>
          <w:szCs w:val="28"/>
        </w:rPr>
        <w:t>发生质量争议时，应及时通知交易所。</w:t>
      </w:r>
      <w:r>
        <w:rPr>
          <w:rFonts w:ascii="宋体" w:cs="宋体" w:hint="eastAsia"/>
          <w:color w:val="000000"/>
          <w:sz w:val="28"/>
          <w:szCs w:val="28"/>
        </w:rPr>
        <w:t>双方把复检样品共同寄送交易所指定质检机构或者双方认可的检验机构进行复检；</w:t>
      </w:r>
      <w:r>
        <w:rPr>
          <w:rFonts w:ascii="宋体" w:hAnsi="宋体" w:cs="宋体" w:hint="eastAsia"/>
          <w:color w:val="000000"/>
          <w:kern w:val="0"/>
          <w:sz w:val="28"/>
          <w:szCs w:val="28"/>
        </w:rPr>
        <w:t>复检结果为货物质量判定的依据。寄送及复检费用由双方共同承担。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第九十四条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普麦、强麦、菜籽、苹果</w:t>
      </w:r>
      <w:r>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验收完成后，买卖双方签署《质量验收确认单》。《质量验收确认单》为交割货物质量判定及升贴水处理的依据。</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第九十五条</w:t>
      </w:r>
      <w:r>
        <w:rPr>
          <w:rFonts w:ascii="宋体" w:eastAsia="黑体" w:hAnsi="宋体" w:cs="宋体" w:hint="eastAsia"/>
          <w:kern w:val="0"/>
          <w:sz w:val="28"/>
          <w:szCs w:val="28"/>
        </w:rPr>
        <w:t xml:space="preserve"> </w:t>
      </w:r>
      <w:r>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动力煤交割时，买方运输工具未按照约定或规定的时间抵达货物所在指定港口（或锚地），或卖方未将拟交割货物按照</w:t>
      </w:r>
      <w:r>
        <w:rPr>
          <w:rFonts w:ascii="宋体" w:hAnsi="宋体" w:cs="宋体" w:hint="eastAsia"/>
          <w:kern w:val="0"/>
          <w:sz w:val="28"/>
          <w:szCs w:val="28"/>
        </w:rPr>
        <w:lastRenderedPageBreak/>
        <w:t>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[1（元/吨）×延误天数×应发（收）而未发（收）商品数量]</w:t>
      </w:r>
      <w:r>
        <w:rPr>
          <w:rFonts w:ascii="宋体" w:hAnsi="宋体" w:cs="宋体" w:hint="eastAsia"/>
          <w:color w:val="000000"/>
          <w:kern w:val="0"/>
          <w:sz w:val="28"/>
          <w:szCs w:val="28"/>
        </w:rPr>
        <w:t>。</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除动力煤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由于不可抗力导致商品装运推迟的，可以顺延。</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28"/>
        </w:rPr>
        <w:t>已经发货的动力煤，按实际检验结果计算货款，计算结果保留</w:t>
      </w:r>
      <w:r>
        <w:rPr>
          <w:rFonts w:ascii="宋体" w:hAnsi="宋体" w:cs="宋体" w:hint="eastAsia"/>
          <w:spacing w:val="-6"/>
          <w:kern w:val="0"/>
          <w:sz w:val="28"/>
          <w:szCs w:val="28"/>
        </w:rPr>
        <w:t>小数点后两位</w:t>
      </w:r>
      <w:r>
        <w:rPr>
          <w:rFonts w:ascii="宋体" w:hAnsi="宋体" w:cs="宋体" w:hint="eastAsia"/>
          <w:kern w:val="0"/>
          <w:sz w:val="28"/>
          <w:szCs w:val="28"/>
        </w:rPr>
        <w:t>。</w:t>
      </w:r>
    </w:p>
    <w:p w:rsidR="00375F2C" w:rsidRDefault="00375F2C" w:rsidP="00375F2C">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375F2C" w:rsidRDefault="00375F2C" w:rsidP="00375F2C">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收到基低位发热量为5000千卡/千克时，货款结算价=交割结算价-90</w:t>
      </w:r>
    </w:p>
    <w:p w:rsidR="00375F2C" w:rsidRDefault="00375F2C" w:rsidP="00375F2C">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4800千卡/千克≤收到基低位发热量＜5300千卡/千克时，货款结算价=（交割结算价-90）/5000×实测发热量。</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收到基低位发热量＜4800千卡/千克，货款结算价=（交割结算价-90）/5000×实测发热量×50%。</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sz w:val="28"/>
          <w:szCs w:val="28"/>
        </w:rPr>
        <w:t>干燥基全硫、干燥无灰基挥发分、干燥基灰分指标超出交割品范围的</w:t>
      </w:r>
      <w:r>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375F2C" w:rsidTr="00D36A9F">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计算方法</w:t>
            </w:r>
          </w:p>
        </w:tc>
      </w:tr>
      <w:tr w:rsidR="00375F2C" w:rsidTr="00D36A9F">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依据实测发热量和干燥基全硫为1%时的计算值×80%</w:t>
            </w:r>
          </w:p>
        </w:tc>
      </w:tr>
      <w:tr w:rsidR="00375F2C" w:rsidTr="00D36A9F">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依据实测发热量和干燥基全硫为1%时的计算值×50%</w:t>
            </w:r>
          </w:p>
        </w:tc>
      </w:tr>
      <w:tr w:rsidR="00375F2C" w:rsidTr="00D36A9F">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依据实测发热量和干燥基全硫为1%时的计算值×20%</w:t>
            </w:r>
          </w:p>
        </w:tc>
      </w:tr>
      <w:tr w:rsidR="00375F2C" w:rsidTr="00D36A9F">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75F2C" w:rsidRDefault="00375F2C" w:rsidP="00D36A9F">
            <w:pPr>
              <w:spacing w:line="360" w:lineRule="auto"/>
              <w:jc w:val="center"/>
              <w:rPr>
                <w:rFonts w:ascii="宋体" w:hAnsi="宋体"/>
                <w:sz w:val="24"/>
                <w:szCs w:val="30"/>
              </w:rPr>
            </w:pPr>
            <w:r>
              <w:rPr>
                <w:rFonts w:ascii="宋体" w:hAnsi="宋体" w:hint="eastAsia"/>
                <w:sz w:val="24"/>
                <w:szCs w:val="30"/>
              </w:rPr>
              <w:t>依据实测发热量和实测干燥基全硫的计算值×80%</w:t>
            </w:r>
          </w:p>
        </w:tc>
      </w:tr>
    </w:tbl>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（一）卖方按照约定或正常速度发货但仍未完成所有商品交收的，可以延期交收，买方不得拒绝。待最终交割完毕后，按照规定流程予以划款；</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375F2C" w:rsidRDefault="00375F2C" w:rsidP="00375F2C">
      <w:pPr>
        <w:widowControl/>
        <w:spacing w:line="360" w:lineRule="auto"/>
        <w:jc w:val="center"/>
        <w:outlineLvl w:val="1"/>
        <w:rPr>
          <w:rFonts w:ascii="宋体" w:eastAsia="黑体" w:hAnsi="宋体" w:cs="宋体"/>
          <w:kern w:val="0"/>
          <w:sz w:val="32"/>
          <w:szCs w:val="28"/>
        </w:rPr>
      </w:pPr>
      <w:bookmarkStart w:id="4" w:name="_Toc392878587"/>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增值税专用（普通）发票的流转</w:t>
      </w:r>
      <w:bookmarkEnd w:id="4"/>
    </w:p>
    <w:p w:rsidR="00375F2C" w:rsidRDefault="00375F2C" w:rsidP="00375F2C">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375F2C" w:rsidRDefault="00375F2C" w:rsidP="00375F2C">
      <w:pPr>
        <w:widowControl/>
        <w:spacing w:line="360" w:lineRule="auto"/>
        <w:ind w:firstLineChars="202" w:firstLine="566"/>
        <w:rPr>
          <w:rFonts w:ascii="宋体" w:hAnsi="宋体" w:cs="宋体"/>
          <w:color w:val="000000"/>
          <w:kern w:val="0"/>
          <w:sz w:val="28"/>
          <w:szCs w:val="28"/>
        </w:rPr>
      </w:pPr>
      <w:r>
        <w:rPr>
          <w:rFonts w:ascii="宋体" w:hAnsi="宋体" w:cs="宋体" w:hint="eastAsia"/>
          <w:color w:val="000000"/>
          <w:kern w:val="0"/>
          <w:sz w:val="28"/>
          <w:szCs w:val="28"/>
        </w:rPr>
        <w:t>菜粕开具增值税普通发票。</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w:t>
      </w:r>
      <w:r>
        <w:rPr>
          <w:rFonts w:ascii="宋体" w:hAnsi="宋体" w:cs="宋体" w:hint="eastAsia"/>
          <w:color w:val="000000"/>
          <w:kern w:val="0"/>
          <w:sz w:val="28"/>
          <w:szCs w:val="28"/>
        </w:rPr>
        <w:t>开具</w:t>
      </w:r>
      <w:r>
        <w:rPr>
          <w:rFonts w:ascii="宋体" w:hAnsi="宋体" w:cs="宋体" w:hint="eastAsia"/>
          <w:kern w:val="0"/>
          <w:sz w:val="28"/>
          <w:szCs w:val="28"/>
        </w:rPr>
        <w:t>增值税专用发票或农产品销售发票。</w:t>
      </w:r>
    </w:p>
    <w:p w:rsidR="00375F2C" w:rsidRDefault="00375F2C" w:rsidP="00375F2C">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配对日后的一个工作日内，买方应按照税务机关的规定将开具增值税发票所需的具体信息通知卖方。标准仓单交割的，自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w:t>
      </w:r>
      <w:r>
        <w:rPr>
          <w:rFonts w:ascii="宋体" w:hAnsi="宋体" w:cs="宋体" w:hint="eastAsia"/>
          <w:kern w:val="0"/>
          <w:sz w:val="28"/>
          <w:szCs w:val="28"/>
        </w:rPr>
        <w:lastRenderedPageBreak/>
        <w:t>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买方会员应在收到卖方会员转交的增值税专用（普通）发票两个工作日内（含该日），对增值税专用（普通）发票进行确认。</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375F2C" w:rsidRDefault="00375F2C" w:rsidP="00375F2C">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自交割日（不含该日）起超过7个交易日，买方会员仍未提供有关资料的，交易所划转剩余20%货款至卖方会员，由此造成的后果由买方自负。</w:t>
      </w:r>
    </w:p>
    <w:p w:rsidR="00375F2C" w:rsidRDefault="00375F2C" w:rsidP="00375F2C">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交易所可根据国家税收政策变化，对违约金比例作相应调整。</w:t>
      </w:r>
    </w:p>
    <w:p w:rsidR="00375F2C" w:rsidRDefault="00375F2C" w:rsidP="00375F2C">
      <w:pPr>
        <w:widowControl/>
        <w:spacing w:line="360" w:lineRule="auto"/>
        <w:jc w:val="center"/>
        <w:outlineLvl w:val="1"/>
        <w:rPr>
          <w:rFonts w:ascii="宋体" w:eastAsia="黑体" w:hAnsi="宋体" w:cs="宋体"/>
          <w:kern w:val="0"/>
          <w:sz w:val="32"/>
          <w:szCs w:val="28"/>
        </w:rPr>
      </w:pPr>
      <w:bookmarkStart w:id="5" w:name="_Toc392878588"/>
      <w:r>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期货转现货</w:t>
      </w:r>
      <w:bookmarkEnd w:id="5"/>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期转现分为标准仓单期转现和非标准仓单期转现。标准仓单期转现根据标准仓单类型分为完税标准仓单期转现和保税标准仓单期转</w:t>
      </w:r>
      <w:r>
        <w:rPr>
          <w:rFonts w:ascii="宋体" w:hAnsi="宋体" w:cs="宋体" w:hint="eastAsia"/>
          <w:kern w:val="0"/>
          <w:sz w:val="28"/>
          <w:szCs w:val="28"/>
        </w:rPr>
        <w:lastRenderedPageBreak/>
        <w:t>现（以下简称保税期转现）。《郑州商品交易所保税交割实施细则》对保税期转现具体流程有规定的，按照其规定执行。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期转现流程：</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（一）期货合约自上市之日起到该合约最后交易日期间，均可进行期转现，最后交易日下午不交易的品种，交易所当日不办理相应的期转现业务；</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（四）用标准仓单进行期转现，可由交易所进行货款划转；</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1.买方提交期转现申请前应当有20%以上的货款，货款不足的不予批准或者办理。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2.期转现申请批准后的下一交易日，交易所为平仓成功的期转现买卖双方办理标准仓单过户手续。货款的划转参照本细则有关规定执行。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3.增值税专用（普通）发票由卖方客户向买方客户按照双方商定的交货价格开具，具体办法按照本细则有关规定执行。</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（五）非标准仓单的期转现，货款划转方式由双方协商确定。</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1.买卖双方应当提供相关现货买卖协议。</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2.货物交收和货款划转由买卖双方自行协商确定，由此产生的纠纷自行解决，交易所不承担责任。</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（六）交易所适时公布期转现的有关信息。</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买卖双方各自负担标准仓单期转现中仓单转让环节的手续费。</w:t>
      </w:r>
    </w:p>
    <w:p w:rsidR="00375F2C" w:rsidRDefault="00375F2C" w:rsidP="00375F2C">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交易所发现会员或者客户在期转现中弄虚作假的，按《郑州商品交易所违规处理办法》的有关规定予以处罚。</w:t>
      </w:r>
    </w:p>
    <w:p w:rsidR="00375F2C" w:rsidRDefault="00375F2C" w:rsidP="00375F2C">
      <w:pPr>
        <w:widowControl/>
        <w:spacing w:line="360" w:lineRule="auto"/>
        <w:jc w:val="center"/>
        <w:outlineLvl w:val="1"/>
        <w:rPr>
          <w:rFonts w:ascii="宋体" w:eastAsia="黑体" w:hAnsi="宋体" w:cs="宋体"/>
          <w:kern w:val="0"/>
          <w:sz w:val="32"/>
          <w:szCs w:val="28"/>
        </w:rPr>
      </w:pPr>
      <w:bookmarkStart w:id="6" w:name="_Toc392878589"/>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交割费用</w:t>
      </w:r>
      <w:bookmarkEnd w:id="6"/>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一号棉、白糖、早籼稻、晚籼稻、粳稻运达仓库指定货位前的一切费用由卖方客户承担；从指定货位到装上车、船（汽车、火车、轮船）板的费用由买方客户承担。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仓单普麦、PTA、菜油、仓单菜籽、菜粕、甲醇、硅铁、锰硅、棉纱、仓单苹果、红枣、尿素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普麦、车板菜籽、车板苹果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w:t>
      </w:r>
      <w:r w:rsidRPr="00196D5D">
        <w:rPr>
          <w:rFonts w:ascii="宋体" w:hAnsi="宋体" w:cs="宋体" w:hint="eastAsia"/>
          <w:color w:val="000000"/>
          <w:kern w:val="0"/>
          <w:sz w:val="28"/>
          <w:szCs w:val="28"/>
        </w:rPr>
        <w:t>车（船）板强麦质量确定之前的一切费用由卖方客户承担，之后的一切费用由买方客户承担。</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玻璃、棉纱用汽车提货的，装到汽车板前的一切费用由厂库承担，装到汽车板后的一切费用由提货方承担。玻璃用船提货的，提货方需支付短驳费和码头使用费。</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375F2C" w:rsidRDefault="00375F2C" w:rsidP="00375F2C">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lastRenderedPageBreak/>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各品种出入库费用、交割计价点中转费用、交割手续费、仓储费及检验费等标准由交易所公告。</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仓单普麦、仓单菜籽、菜油、菜粕、早籼稻、晚籼稻、粳稻、仓单苹果、红枣入库检验费用由交割仓库承担，其他品种的入库检验费由卖方货主承担。</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标准仓单注册之日起至交易所开出《提货通知单》前一日止，交易所代交割仓库或厂库收取仓储费，交易所在每月第一个交易日按月计算划转上个月发生的仓储费；交易所代收之外的费用，仓库或厂库直接向货主收取。</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普麦、强麦、早籼稻</w:t>
      </w:r>
      <w:r>
        <w:rPr>
          <w:rFonts w:ascii="宋体" w:hAnsi="宋体" w:cs="宋体" w:hint="eastAsia"/>
          <w:color w:val="000000"/>
          <w:kern w:val="0"/>
          <w:sz w:val="28"/>
          <w:szCs w:val="28"/>
        </w:rPr>
        <w:t>、晚籼稻、粳稻、苹果</w:t>
      </w:r>
      <w:r>
        <w:rPr>
          <w:rFonts w:ascii="宋体" w:hAnsi="宋体" w:cs="宋体" w:hint="eastAsia"/>
          <w:kern w:val="0"/>
          <w:sz w:val="28"/>
          <w:szCs w:val="28"/>
        </w:rPr>
        <w:t>无包装物。棉花、白糖、PTA</w:t>
      </w:r>
      <w:r>
        <w:rPr>
          <w:rFonts w:ascii="宋体" w:hAnsi="宋体" w:cs="宋体" w:hint="eastAsia"/>
          <w:i/>
          <w:iCs/>
          <w:kern w:val="0"/>
          <w:sz w:val="28"/>
          <w:szCs w:val="28"/>
        </w:rPr>
        <w:t>、</w:t>
      </w:r>
      <w:r>
        <w:rPr>
          <w:rFonts w:ascii="宋体" w:hAnsi="宋体" w:cs="宋体" w:hint="eastAsia"/>
          <w:kern w:val="0"/>
          <w:sz w:val="28"/>
          <w:szCs w:val="28"/>
        </w:rPr>
        <w:t>菜籽、菜粕</w:t>
      </w:r>
      <w:r>
        <w:rPr>
          <w:rFonts w:ascii="宋体" w:hAnsi="宋体" w:cs="宋体" w:hint="eastAsia"/>
          <w:kern w:val="0"/>
          <w:sz w:val="28"/>
          <w:szCs w:val="32"/>
        </w:rPr>
        <w:t>、硅铁、锰硅、棉纱、红枣、尿素</w:t>
      </w:r>
      <w:r>
        <w:rPr>
          <w:rFonts w:ascii="宋体" w:hAnsi="宋体" w:cs="宋体" w:hint="eastAsia"/>
          <w:kern w:val="0"/>
          <w:sz w:val="28"/>
          <w:szCs w:val="28"/>
        </w:rPr>
        <w:t>包装物不另行计价。</w:t>
      </w:r>
    </w:p>
    <w:p w:rsidR="00375F2C" w:rsidRDefault="00375F2C" w:rsidP="00375F2C">
      <w:pPr>
        <w:widowControl/>
        <w:spacing w:line="360" w:lineRule="auto"/>
        <w:ind w:firstLineChars="200" w:firstLine="560"/>
        <w:outlineLvl w:val="3"/>
        <w:rPr>
          <w:rFonts w:ascii="仿宋_GB2312" w:eastAsia="仿宋_GB2312" w:hAnsi="仿宋" w:cs="宋体"/>
          <w:kern w:val="52"/>
          <w:sz w:val="28"/>
          <w:szCs w:val="28"/>
        </w:rPr>
      </w:pPr>
      <w:r>
        <w:rPr>
          <w:rFonts w:ascii="宋体" w:hAnsi="宋体" w:cs="宋体" w:hint="eastAsia"/>
          <w:kern w:val="0"/>
          <w:sz w:val="28"/>
          <w:szCs w:val="28"/>
        </w:rPr>
        <w:t>玻璃买方客户有需要的，玻璃厂库应该提供包装物及包装辅助物，收费方式及标准随厂库一并公告。</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根据国家政策规定和市场变化，交易所需要调整有关费用标准时，另行公告。</w:t>
      </w:r>
    </w:p>
    <w:p w:rsidR="00375F2C" w:rsidRDefault="00375F2C" w:rsidP="00375F2C">
      <w:pPr>
        <w:widowControl/>
        <w:spacing w:line="360" w:lineRule="auto"/>
        <w:jc w:val="center"/>
        <w:outlineLvl w:val="1"/>
        <w:rPr>
          <w:rFonts w:ascii="宋体" w:eastAsia="黑体" w:hAnsi="宋体" w:cs="宋体"/>
          <w:kern w:val="0"/>
          <w:sz w:val="32"/>
          <w:szCs w:val="28"/>
        </w:rPr>
      </w:pPr>
      <w:bookmarkStart w:id="7" w:name="_Toc392878590"/>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交割违约处理</w:t>
      </w:r>
      <w:bookmarkEnd w:id="7"/>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具有下列行为之一的，构成交割违约：</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（一）规定期限内，卖方未能如数交付标准仓单或未能如数交付实物的；</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（二）规定期限内，买方未能如数解付货款的；</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（三）车（船）板卖方交割的货物质量不符合交割质量规定的；</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（四）交易所认定的其他违约行为。</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构成交割违约的，由违约方支付违约部分合约价值（按交割结算价计算）20%的违约金给守约方。买卖双方终止交割。</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计算买方交割违约合约数量时，交易所应对违约部分预扣合约价值20%的违约金。</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计算卖方交割违约合约数量的公式为：</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卖方交割违约合约数量（手）=[应交标准仓单数量（张）-已交标准仓单数量（张）]×交割单位÷交易单位</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计算买方交割违约合约数量的公式为：</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买方接到的仓单为完税标准仓单的，买方交割违约合约数量（手）=（应交货款 -已交货款）÷（1-20%）÷（交割结算价+包装物单价）÷交易单位</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买卖双方同时违约的，交易所按终止交割处理，并对双方分别处以违约部分合约价值5%的罚款。</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会员发生部分交割违约时，违约会员所接标准仓单或者所得货款可用于违约处理。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按本细则规定出现终止交割情形时，交易所的担保责任了结。</w:t>
      </w:r>
    </w:p>
    <w:p w:rsidR="00375F2C" w:rsidRDefault="00375F2C" w:rsidP="00375F2C">
      <w:pPr>
        <w:widowControl/>
        <w:spacing w:line="360" w:lineRule="auto"/>
        <w:jc w:val="center"/>
        <w:outlineLvl w:val="1"/>
        <w:rPr>
          <w:rFonts w:ascii="宋体" w:eastAsia="黑体" w:hAnsi="宋体" w:cs="宋体"/>
          <w:kern w:val="0"/>
          <w:sz w:val="32"/>
          <w:szCs w:val="28"/>
        </w:rPr>
      </w:pPr>
      <w:bookmarkStart w:id="8" w:name="_Toc392878591"/>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bookmarkEnd w:id="8"/>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违反本细则规定的，交易所按《郑州商品交易所违规处理办法》有关规定处理。</w:t>
      </w:r>
    </w:p>
    <w:p w:rsidR="00375F2C" w:rsidRDefault="00375F2C" w:rsidP="00375F2C">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有关夜盘交易相关的交割业务，郑州商品交易所夜盘交易细则有特殊规定的，从其规定。</w:t>
      </w:r>
    </w:p>
    <w:p w:rsidR="00375F2C" w:rsidRDefault="00375F2C" w:rsidP="00375F2C">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本细则解释权属于郑州商品交易所。</w:t>
      </w:r>
    </w:p>
    <w:p w:rsidR="00375F2C" w:rsidRDefault="00375F2C" w:rsidP="00375F2C">
      <w:pPr>
        <w:widowControl/>
        <w:ind w:firstLine="555"/>
        <w:jc w:val="left"/>
        <w:rPr>
          <w:rFonts w:ascii="宋体" w:hAnsi="宋体" w:cs="宋体"/>
          <w:kern w:val="0"/>
          <w:sz w:val="24"/>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本细则自2019年</w:t>
      </w:r>
      <w:r w:rsidRPr="00345463">
        <w:rPr>
          <w:rFonts w:ascii="宋体" w:hAnsi="宋体" w:cs="宋体" w:hint="eastAsia"/>
          <w:kern w:val="0"/>
          <w:sz w:val="28"/>
          <w:szCs w:val="28"/>
        </w:rPr>
        <w:t>9月24日</w:t>
      </w:r>
      <w:r>
        <w:rPr>
          <w:rFonts w:ascii="宋体" w:hAnsi="宋体" w:cs="宋体" w:hint="eastAsia"/>
          <w:kern w:val="0"/>
          <w:sz w:val="28"/>
          <w:szCs w:val="28"/>
        </w:rPr>
        <w:t>起施行。</w:t>
      </w:r>
      <w:r>
        <w:rPr>
          <w:rFonts w:ascii="宋体" w:hAnsi="宋体" w:cs="宋体" w:hint="eastAsia"/>
          <w:kern w:val="0"/>
          <w:sz w:val="24"/>
        </w:rPr>
        <w:t xml:space="preserve"> </w:t>
      </w: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widowControl/>
        <w:ind w:firstLine="555"/>
        <w:jc w:val="left"/>
        <w:rPr>
          <w:rFonts w:ascii="宋体" w:hAnsi="宋体" w:cs="宋体"/>
          <w:kern w:val="0"/>
          <w:sz w:val="24"/>
        </w:rPr>
      </w:pPr>
    </w:p>
    <w:p w:rsidR="00375F2C" w:rsidRDefault="00375F2C" w:rsidP="00375F2C">
      <w:pPr>
        <w:rPr>
          <w:rFonts w:ascii="仿宋" w:eastAsia="仿宋" w:hAnsi="仿宋"/>
          <w:sz w:val="32"/>
          <w:szCs w:val="32"/>
        </w:rPr>
      </w:pPr>
    </w:p>
    <w:p w:rsidR="00375F2C" w:rsidRDefault="00375F2C" w:rsidP="00375F2C">
      <w:pPr>
        <w:rPr>
          <w:rFonts w:ascii="仿宋" w:eastAsia="仿宋" w:hAnsi="仿宋"/>
          <w:sz w:val="32"/>
          <w:szCs w:val="32"/>
        </w:rPr>
      </w:pPr>
    </w:p>
    <w:p w:rsidR="00375F2C" w:rsidRDefault="00375F2C" w:rsidP="00375F2C">
      <w:pPr>
        <w:rPr>
          <w:rFonts w:ascii="仿宋" w:eastAsia="仿宋" w:hAnsi="仿宋"/>
          <w:sz w:val="32"/>
          <w:szCs w:val="32"/>
        </w:rPr>
      </w:pPr>
    </w:p>
    <w:p w:rsidR="00375F2C" w:rsidRDefault="00375F2C" w:rsidP="00375F2C">
      <w:pPr>
        <w:rPr>
          <w:rFonts w:ascii="仿宋" w:eastAsia="仿宋" w:hAnsi="仿宋"/>
          <w:sz w:val="32"/>
          <w:szCs w:val="32"/>
        </w:rPr>
      </w:pPr>
    </w:p>
    <w:sectPr w:rsidR="00375F2C" w:rsidSect="000F44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3CE" w:rsidRDefault="00E513CE" w:rsidP="00375F2C">
      <w:r>
        <w:separator/>
      </w:r>
    </w:p>
  </w:endnote>
  <w:endnote w:type="continuationSeparator" w:id="1">
    <w:p w:rsidR="00E513CE" w:rsidRDefault="00E513CE" w:rsidP="00375F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3CE" w:rsidRDefault="00E513CE" w:rsidP="00375F2C">
      <w:r>
        <w:separator/>
      </w:r>
    </w:p>
  </w:footnote>
  <w:footnote w:type="continuationSeparator" w:id="1">
    <w:p w:rsidR="00E513CE" w:rsidRDefault="00E513CE" w:rsidP="00375F2C">
      <w:r>
        <w:continuationSeparator/>
      </w:r>
    </w:p>
  </w:footnote>
  <w:footnote w:id="2">
    <w:p w:rsidR="00375F2C" w:rsidRDefault="00375F2C" w:rsidP="00375F2C">
      <w:pPr>
        <w:pStyle w:val="a3"/>
        <w:spacing w:before="156" w:after="156"/>
      </w:pPr>
      <w:r>
        <w:rPr>
          <w:rStyle w:val="a5"/>
        </w:rPr>
        <w:footnoteRef/>
      </w:r>
      <w:r>
        <w:rPr>
          <w:rFonts w:hint="eastAsia"/>
        </w:rPr>
        <w:t>指由交易所指定交割厂库生产，但未经交易所注册生成标准仓单的棉纱。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F2C"/>
    <w:rsid w:val="000F4411"/>
    <w:rsid w:val="00375F2C"/>
    <w:rsid w:val="00E51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unhideWhenUsed/>
    <w:rsid w:val="00375F2C"/>
    <w:pPr>
      <w:snapToGrid w:val="0"/>
      <w:jc w:val="left"/>
    </w:pPr>
    <w:rPr>
      <w:kern w:val="0"/>
      <w:sz w:val="18"/>
      <w:szCs w:val="18"/>
    </w:rPr>
  </w:style>
  <w:style w:type="character" w:customStyle="1" w:styleId="Char">
    <w:name w:val="脚注文本 Char"/>
    <w:basedOn w:val="a0"/>
    <w:link w:val="a3"/>
    <w:uiPriority w:val="99"/>
    <w:semiHidden/>
    <w:rsid w:val="00375F2C"/>
    <w:rPr>
      <w:rFonts w:ascii="Times New Roman" w:eastAsia="宋体" w:hAnsi="Times New Roman" w:cs="Times New Roman"/>
      <w:sz w:val="18"/>
      <w:szCs w:val="18"/>
    </w:rPr>
  </w:style>
  <w:style w:type="character" w:customStyle="1" w:styleId="Char0">
    <w:name w:val="列出段落 Char"/>
    <w:link w:val="a4"/>
    <w:uiPriority w:val="34"/>
    <w:locked/>
    <w:rsid w:val="00375F2C"/>
    <w:rPr>
      <w:szCs w:val="24"/>
    </w:rPr>
  </w:style>
  <w:style w:type="paragraph" w:styleId="a4">
    <w:name w:val="List Paragraph"/>
    <w:basedOn w:val="a"/>
    <w:link w:val="Char0"/>
    <w:uiPriority w:val="34"/>
    <w:qFormat/>
    <w:rsid w:val="00375F2C"/>
    <w:pPr>
      <w:ind w:firstLineChars="200" w:firstLine="420"/>
    </w:pPr>
    <w:rPr>
      <w:rFonts w:asciiTheme="minorHAnsi" w:eastAsiaTheme="minorEastAsia" w:hAnsiTheme="minorHAnsi" w:cstheme="minorBidi"/>
    </w:rPr>
  </w:style>
  <w:style w:type="character" w:styleId="a5">
    <w:name w:val="footnote reference"/>
    <w:unhideWhenUsed/>
    <w:rsid w:val="00375F2C"/>
    <w:rPr>
      <w:vertAlign w:val="superscript"/>
    </w:rPr>
  </w:style>
  <w:style w:type="character" w:customStyle="1" w:styleId="Char1">
    <w:name w:val="脚注文本 Char1"/>
    <w:basedOn w:val="a0"/>
    <w:link w:val="a3"/>
    <w:uiPriority w:val="99"/>
    <w:locked/>
    <w:rsid w:val="00375F2C"/>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4082</Words>
  <Characters>23273</Characters>
  <Application>Microsoft Office Word</Application>
  <DocSecurity>0</DocSecurity>
  <Lines>193</Lines>
  <Paragraphs>54</Paragraphs>
  <ScaleCrop>false</ScaleCrop>
  <Company>Lenovo</Company>
  <LinksUpToDate>false</LinksUpToDate>
  <CharactersWithSpaces>27301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2019-09-24T09:56:00Z</dcterms:created>
  <dcterms:modified xsi:type="dcterms:W3CDTF">2019-09-24T09:56:00Z</dcterms:modified>
</cp:coreProperties>
</file>