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A9" w:rsidRPr="00A136C0" w:rsidRDefault="006D4AA9" w:rsidP="006D4AA9">
      <w:pPr>
        <w:rPr>
          <w:rFonts w:ascii="黑体" w:eastAsia="黑体" w:hAnsi="黑体"/>
          <w:sz w:val="32"/>
        </w:rPr>
      </w:pPr>
      <w:r w:rsidRPr="00A136C0">
        <w:rPr>
          <w:rFonts w:ascii="黑体" w:eastAsia="黑体" w:hAnsi="黑体" w:hint="eastAsia"/>
          <w:sz w:val="32"/>
        </w:rPr>
        <w:t>附</w:t>
      </w:r>
      <w:r>
        <w:rPr>
          <w:rFonts w:ascii="黑体" w:eastAsia="黑体" w:hAnsi="黑体" w:hint="eastAsia"/>
          <w:sz w:val="32"/>
        </w:rPr>
        <w:t xml:space="preserve"> </w:t>
      </w:r>
      <w:r w:rsidRPr="00A136C0">
        <w:rPr>
          <w:rFonts w:ascii="黑体" w:eastAsia="黑体" w:hAnsi="黑体" w:hint="eastAsia"/>
          <w:sz w:val="32"/>
        </w:rPr>
        <w:t>件</w:t>
      </w:r>
    </w:p>
    <w:p w:rsidR="006D4AA9" w:rsidRDefault="006D4AA9" w:rsidP="006D4AA9">
      <w:pPr>
        <w:widowControl/>
        <w:jc w:val="center"/>
        <w:rPr>
          <w:rFonts w:ascii="宋体" w:hAnsi="宋体" w:cs="宋体"/>
          <w:b/>
          <w:kern w:val="0"/>
          <w:sz w:val="44"/>
          <w:szCs w:val="44"/>
        </w:rPr>
      </w:pPr>
      <w:r w:rsidRPr="00327042">
        <w:rPr>
          <w:rFonts w:ascii="宋体" w:hAnsi="宋体" w:cs="宋体" w:hint="eastAsia"/>
          <w:b/>
          <w:kern w:val="0"/>
          <w:sz w:val="44"/>
          <w:szCs w:val="44"/>
        </w:rPr>
        <w:t>郑州商品交易所期货交易者适当性</w:t>
      </w:r>
    </w:p>
    <w:p w:rsidR="006D4AA9" w:rsidRDefault="006D4AA9" w:rsidP="006D4AA9">
      <w:pPr>
        <w:widowControl/>
        <w:jc w:val="center"/>
        <w:rPr>
          <w:rFonts w:ascii="宋体" w:hAnsi="宋体" w:cs="宋体"/>
          <w:b/>
          <w:kern w:val="0"/>
          <w:sz w:val="44"/>
          <w:szCs w:val="44"/>
        </w:rPr>
      </w:pPr>
      <w:r w:rsidRPr="00327042">
        <w:rPr>
          <w:rFonts w:ascii="宋体" w:hAnsi="宋体" w:cs="宋体" w:hint="eastAsia"/>
          <w:b/>
          <w:kern w:val="0"/>
          <w:sz w:val="44"/>
          <w:szCs w:val="44"/>
        </w:rPr>
        <w:t>管理办法</w:t>
      </w:r>
    </w:p>
    <w:p w:rsidR="006D4AA9" w:rsidRPr="00304B04" w:rsidRDefault="006D4AA9" w:rsidP="006D4AA9">
      <w:pPr>
        <w:spacing w:beforeLines="100" w:afterLines="100" w:line="360" w:lineRule="auto"/>
        <w:ind w:firstLineChars="200" w:firstLine="560"/>
        <w:jc w:val="left"/>
        <w:rPr>
          <w:rFonts w:ascii="宋体" w:hAnsi="宋体" w:cs="宋体"/>
          <w:b/>
          <w:kern w:val="0"/>
          <w:sz w:val="44"/>
          <w:szCs w:val="44"/>
        </w:rPr>
      </w:pPr>
      <w:r w:rsidRPr="00AC6E8B">
        <w:rPr>
          <w:rFonts w:ascii="仿宋" w:eastAsia="仿宋" w:hAnsi="仿宋" w:cs="Arial" w:hint="eastAsia"/>
          <w:bCs/>
          <w:color w:val="000000"/>
          <w:sz w:val="28"/>
          <w:szCs w:val="28"/>
        </w:rPr>
        <w:t>（</w:t>
      </w:r>
      <w:r w:rsidRPr="005A2BD0">
        <w:rPr>
          <w:rFonts w:ascii="仿宋" w:eastAsia="仿宋" w:hAnsi="仿宋" w:cs="Arial" w:hint="eastAsia"/>
          <w:bCs/>
          <w:color w:val="000000"/>
          <w:sz w:val="28"/>
          <w:szCs w:val="28"/>
        </w:rPr>
        <w:t>2019 年5月30日第六届理事会第十九次会议审议通过，2019年5月31日发布，自</w:t>
      </w:r>
      <w:r w:rsidRPr="005A2BD0">
        <w:rPr>
          <w:rFonts w:ascii="仿宋" w:eastAsia="仿宋" w:hAnsi="仿宋" w:hint="eastAsia"/>
          <w:sz w:val="28"/>
          <w:szCs w:val="28"/>
        </w:rPr>
        <w:t>2019年5月31日</w:t>
      </w:r>
      <w:r w:rsidRPr="005A2BD0">
        <w:rPr>
          <w:rFonts w:ascii="仿宋" w:eastAsia="仿宋" w:hAnsi="仿宋" w:cs="Arial" w:hint="eastAsia"/>
          <w:bCs/>
          <w:color w:val="000000"/>
          <w:sz w:val="28"/>
          <w:szCs w:val="28"/>
        </w:rPr>
        <w:t>起施行</w:t>
      </w:r>
      <w:r w:rsidRPr="00AC6E8B">
        <w:rPr>
          <w:rFonts w:ascii="仿宋" w:eastAsia="仿宋" w:hAnsi="仿宋" w:cs="Arial" w:hint="eastAsia"/>
          <w:bCs/>
          <w:color w:val="000000"/>
          <w:sz w:val="28"/>
          <w:szCs w:val="28"/>
        </w:rPr>
        <w:t>）</w:t>
      </w:r>
    </w:p>
    <w:p w:rsidR="006D4AA9" w:rsidRPr="00327042" w:rsidRDefault="006D4AA9" w:rsidP="006D4AA9">
      <w:pPr>
        <w:keepNext/>
        <w:keepLines/>
        <w:spacing w:line="360" w:lineRule="auto"/>
        <w:ind w:firstLineChars="200" w:firstLine="640"/>
        <w:contextualSpacing/>
        <w:mirrorIndents/>
        <w:jc w:val="center"/>
        <w:outlineLvl w:val="1"/>
        <w:rPr>
          <w:rFonts w:ascii="黑体" w:eastAsia="黑体" w:hAnsi="黑体"/>
          <w:bCs/>
          <w:sz w:val="32"/>
          <w:szCs w:val="32"/>
        </w:rPr>
      </w:pPr>
      <w:r w:rsidRPr="00327042">
        <w:rPr>
          <w:rFonts w:ascii="黑体" w:eastAsia="黑体" w:hAnsi="黑体"/>
          <w:bCs/>
          <w:sz w:val="32"/>
          <w:szCs w:val="32"/>
        </w:rPr>
        <w:t xml:space="preserve">第一章 </w:t>
      </w:r>
      <w:r w:rsidRPr="00327042">
        <w:rPr>
          <w:rFonts w:ascii="黑体" w:eastAsia="黑体" w:hAnsi="黑体" w:hint="eastAsia"/>
          <w:bCs/>
          <w:sz w:val="32"/>
          <w:szCs w:val="32"/>
        </w:rPr>
        <w:t>总</w:t>
      </w:r>
      <w:r w:rsidRPr="00327042">
        <w:rPr>
          <w:rFonts w:ascii="黑体" w:eastAsia="黑体" w:hAnsi="黑体"/>
          <w:bCs/>
          <w:sz w:val="32"/>
          <w:szCs w:val="32"/>
        </w:rPr>
        <w:t>则</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第一条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为了引导交易者理性参与期货交易，维护交易者合法权益，保障期货市场平稳、规范、健康发展，根据《期货交易管理条例》《境外交易者和境外经纪机构从事境内特定品种期货交易管理暂行办法》《证券期货投资者适当性管理办法》等法律法规及郑州商品交易所（以下简称交易所）业务规则，制定本办法。</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第二条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交易所期权合约和特定品种期货合约交易实行适当性制度。</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strike/>
          <w:kern w:val="0"/>
          <w:sz w:val="32"/>
          <w:szCs w:val="32"/>
        </w:rPr>
      </w:pPr>
      <w:r w:rsidRPr="00327042">
        <w:rPr>
          <w:rFonts w:ascii="仿宋" w:eastAsia="仿宋" w:hAnsi="仿宋" w:cs="宋体" w:hint="eastAsia"/>
          <w:b/>
          <w:bCs/>
          <w:kern w:val="0"/>
          <w:sz w:val="32"/>
          <w:szCs w:val="32"/>
        </w:rPr>
        <w:t>第三条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本办法所称的交易者是指从事期货交易并承担交易结果的自然人、法人和非法人组织。</w:t>
      </w:r>
      <w:r w:rsidRPr="00327042">
        <w:rPr>
          <w:rFonts w:ascii="仿宋" w:eastAsia="仿宋" w:hAnsi="仿宋" w:cs="宋体" w:hint="eastAsia"/>
          <w:kern w:val="0"/>
          <w:sz w:val="32"/>
          <w:szCs w:val="32"/>
        </w:rPr>
        <w:br/>
        <w:t xml:space="preserve">    交易者应当根据适当性制度的要求，全面评估自身市场及产品认知能力、风险控制与承受能力和经济实力，审慎决定是否参与期货交易。</w:t>
      </w:r>
    </w:p>
    <w:p w:rsidR="006D4AA9" w:rsidRPr="00327042" w:rsidRDefault="006D4AA9" w:rsidP="006D4AA9">
      <w:pPr>
        <w:widowControl/>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lastRenderedPageBreak/>
        <w:t>第四条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期货公司会员和境外经纪机构（以下统称开户机构）应当根据本办法要求，评估客户对期货交易的认知水平和风险承受能力，将适当的产品提供给适合的客户。</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交易编码实行权限管理。开户机构在为客户开立交易编码后，应当选择开通相应的上市品种交易权限。</w:t>
      </w:r>
    </w:p>
    <w:p w:rsidR="006D4AA9" w:rsidRPr="00327042" w:rsidRDefault="006D4AA9" w:rsidP="006D4AA9">
      <w:pPr>
        <w:keepNext/>
        <w:keepLines/>
        <w:spacing w:line="360" w:lineRule="auto"/>
        <w:ind w:firstLineChars="200" w:firstLine="640"/>
        <w:contextualSpacing/>
        <w:mirrorIndents/>
        <w:jc w:val="center"/>
        <w:outlineLvl w:val="1"/>
        <w:rPr>
          <w:rFonts w:ascii="Cambria" w:eastAsia="黑体" w:hAnsi="Cambria"/>
          <w:bCs/>
          <w:sz w:val="32"/>
          <w:szCs w:val="32"/>
        </w:rPr>
      </w:pPr>
      <w:bookmarkStart w:id="0" w:name="_Toc380322203"/>
      <w:r w:rsidRPr="00327042">
        <w:rPr>
          <w:rFonts w:ascii="Cambria" w:eastAsia="黑体" w:hAnsi="Cambria" w:hint="eastAsia"/>
          <w:sz w:val="32"/>
          <w:szCs w:val="32"/>
        </w:rPr>
        <w:t>第二章</w:t>
      </w:r>
      <w:r w:rsidRPr="00327042">
        <w:rPr>
          <w:rFonts w:ascii="Cambria" w:eastAsia="黑体" w:hAnsi="Cambria" w:hint="eastAsia"/>
          <w:sz w:val="32"/>
          <w:szCs w:val="32"/>
        </w:rPr>
        <w:t xml:space="preserve"> </w:t>
      </w:r>
      <w:r w:rsidRPr="00327042">
        <w:rPr>
          <w:rFonts w:ascii="Cambria" w:eastAsia="黑体" w:hAnsi="Cambria" w:hint="eastAsia"/>
          <w:sz w:val="32"/>
          <w:szCs w:val="32"/>
        </w:rPr>
        <w:t>适当性管理的标准</w:t>
      </w:r>
      <w:bookmarkEnd w:id="0"/>
    </w:p>
    <w:p w:rsidR="006D4AA9" w:rsidRPr="00327042" w:rsidRDefault="006D4AA9" w:rsidP="006D4AA9">
      <w:pPr>
        <w:widowControl/>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第五条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开户机构为单位客户参与实行适当性制度的上市品种申请开立交易编码或者开通交易权限时，单位客户应当符合以下标准：</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（一）相关业务人员具备期货交易基础知识，了解相关业务规则；</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（二）具有累计不少于</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个交易日且</w:t>
      </w:r>
      <w:r w:rsidRPr="00327042">
        <w:rPr>
          <w:rFonts w:ascii="仿宋" w:eastAsia="仿宋" w:hAnsi="仿宋" w:cs="宋体"/>
          <w:kern w:val="0"/>
          <w:sz w:val="32"/>
          <w:szCs w:val="32"/>
        </w:rPr>
        <w:t>20</w:t>
      </w:r>
      <w:r w:rsidRPr="00327042">
        <w:rPr>
          <w:rFonts w:ascii="仿宋" w:eastAsia="仿宋" w:hAnsi="仿宋" w:cs="宋体" w:hint="eastAsia"/>
          <w:kern w:val="0"/>
          <w:sz w:val="32"/>
          <w:szCs w:val="32"/>
        </w:rPr>
        <w:t>笔及以上的境内交易场所的期货合约或者期权合约仿真交易成交记录；或者近三年内具有</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笔及以上的境内交易场所的期货合约、期权合约或者集中清算的其他衍生品交易成交记录；或者近三年内具有</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lastRenderedPageBreak/>
        <w:t>（三）申请开立交易编码或者开通交易权限前连续</w:t>
      </w:r>
      <w:r w:rsidRPr="00327042">
        <w:rPr>
          <w:rFonts w:ascii="仿宋" w:eastAsia="仿宋" w:hAnsi="仿宋" w:cs="宋体"/>
          <w:kern w:val="0"/>
          <w:sz w:val="32"/>
          <w:szCs w:val="32"/>
        </w:rPr>
        <w:t>5</w:t>
      </w:r>
      <w:r w:rsidRPr="00327042">
        <w:rPr>
          <w:rFonts w:ascii="仿宋" w:eastAsia="仿宋" w:hAnsi="仿宋" w:cs="宋体" w:hint="eastAsia"/>
          <w:kern w:val="0"/>
          <w:sz w:val="32"/>
          <w:szCs w:val="32"/>
        </w:rPr>
        <w:t>个交易日保证金账户可用资金余额均不低于人民币</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万元或者等值外币；</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（四）具有健全的内部控制、风险管理等期货交易管理相关制度；</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（五）不存在严重不良诚信记录、被有权监管机关宣布为期货市场禁止进入者和法律、法规、规章、交易所业务规则禁止或者限制从事期货交易的情形；</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（六）交易所要求的其他条件。</w:t>
      </w:r>
    </w:p>
    <w:p w:rsidR="006D4AA9" w:rsidRPr="00327042" w:rsidRDefault="006D4AA9" w:rsidP="006D4AA9">
      <w:pPr>
        <w:widowControl/>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第六条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开户机构为个人客户参与实行适当性制度的上市品种申请开立交易编码或者开通交易权限时，个人客户应当符合以下标准：</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（一）具备完全民事行为能力；</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（二）具备期货交易基础知识，了解相关业务规则；</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（三）具有累计不少于</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个交易日且</w:t>
      </w:r>
      <w:r w:rsidRPr="00327042">
        <w:rPr>
          <w:rFonts w:ascii="仿宋" w:eastAsia="仿宋" w:hAnsi="仿宋" w:cs="宋体"/>
          <w:kern w:val="0"/>
          <w:sz w:val="32"/>
          <w:szCs w:val="32"/>
        </w:rPr>
        <w:t>20</w:t>
      </w:r>
      <w:r w:rsidRPr="00327042">
        <w:rPr>
          <w:rFonts w:ascii="仿宋" w:eastAsia="仿宋" w:hAnsi="仿宋" w:cs="宋体" w:hint="eastAsia"/>
          <w:kern w:val="0"/>
          <w:sz w:val="32"/>
          <w:szCs w:val="32"/>
        </w:rPr>
        <w:t>笔及以上的境内交易场所</w:t>
      </w:r>
      <w:r w:rsidRPr="00327042">
        <w:rPr>
          <w:rFonts w:ascii="仿宋" w:eastAsia="仿宋" w:hAnsi="仿宋" w:cs="宋体"/>
          <w:kern w:val="0"/>
          <w:sz w:val="32"/>
          <w:szCs w:val="32"/>
        </w:rPr>
        <w:t>的</w:t>
      </w:r>
      <w:r w:rsidRPr="00327042">
        <w:rPr>
          <w:rFonts w:ascii="仿宋" w:eastAsia="仿宋" w:hAnsi="仿宋" w:cs="宋体" w:hint="eastAsia"/>
          <w:kern w:val="0"/>
          <w:sz w:val="32"/>
          <w:szCs w:val="32"/>
        </w:rPr>
        <w:t>期货合约或者</w:t>
      </w:r>
      <w:r w:rsidRPr="00327042">
        <w:rPr>
          <w:rFonts w:ascii="仿宋" w:eastAsia="仿宋" w:hAnsi="仿宋" w:cs="宋体"/>
          <w:kern w:val="0"/>
          <w:sz w:val="32"/>
          <w:szCs w:val="32"/>
        </w:rPr>
        <w:t>期权合约</w:t>
      </w:r>
      <w:r w:rsidRPr="00327042">
        <w:rPr>
          <w:rFonts w:ascii="仿宋" w:eastAsia="仿宋" w:hAnsi="仿宋" w:cs="宋体" w:hint="eastAsia"/>
          <w:kern w:val="0"/>
          <w:sz w:val="32"/>
          <w:szCs w:val="32"/>
        </w:rPr>
        <w:t>仿真交易成交记录；或者近三年内具有</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笔及以上的境内交易场所</w:t>
      </w:r>
      <w:r w:rsidRPr="00327042">
        <w:rPr>
          <w:rFonts w:ascii="仿宋" w:eastAsia="仿宋" w:hAnsi="仿宋" w:cs="宋体"/>
          <w:kern w:val="0"/>
          <w:sz w:val="32"/>
          <w:szCs w:val="32"/>
        </w:rPr>
        <w:t>的期货合约、期权合约或者集中清算的其他衍生品</w:t>
      </w:r>
      <w:r w:rsidRPr="00327042">
        <w:rPr>
          <w:rFonts w:ascii="仿宋" w:eastAsia="仿宋" w:hAnsi="仿宋" w:cs="宋体" w:hint="eastAsia"/>
          <w:kern w:val="0"/>
          <w:sz w:val="32"/>
          <w:szCs w:val="32"/>
        </w:rPr>
        <w:t>交易成交记录；或者</w:t>
      </w:r>
      <w:r w:rsidRPr="00327042">
        <w:rPr>
          <w:rFonts w:ascii="仿宋" w:eastAsia="仿宋" w:hAnsi="仿宋" w:cs="宋体"/>
          <w:kern w:val="0"/>
          <w:sz w:val="32"/>
          <w:szCs w:val="32"/>
        </w:rPr>
        <w:t>近三年内具有10</w:t>
      </w:r>
      <w:r w:rsidRPr="00327042">
        <w:rPr>
          <w:rFonts w:ascii="仿宋" w:eastAsia="仿宋" w:hAnsi="仿宋" w:cs="宋体" w:hint="eastAsia"/>
          <w:kern w:val="0"/>
          <w:sz w:val="32"/>
          <w:szCs w:val="32"/>
        </w:rPr>
        <w:t>笔</w:t>
      </w:r>
      <w:r w:rsidRPr="00327042">
        <w:rPr>
          <w:rFonts w:ascii="仿宋" w:eastAsia="仿宋" w:hAnsi="仿宋" w:cs="宋体"/>
          <w:kern w:val="0"/>
          <w:sz w:val="32"/>
          <w:szCs w:val="32"/>
        </w:rPr>
        <w:t>及以上</w:t>
      </w:r>
      <w:r w:rsidRPr="00327042">
        <w:rPr>
          <w:rFonts w:ascii="仿宋" w:eastAsia="仿宋" w:hAnsi="仿宋" w:cs="宋体" w:hint="eastAsia"/>
          <w:kern w:val="0"/>
          <w:sz w:val="32"/>
          <w:szCs w:val="32"/>
        </w:rPr>
        <w:t>的</w:t>
      </w:r>
      <w:r w:rsidRPr="00327042">
        <w:rPr>
          <w:rFonts w:ascii="仿宋" w:eastAsia="仿宋" w:hAnsi="仿宋" w:cs="宋体"/>
          <w:kern w:val="0"/>
          <w:sz w:val="32"/>
          <w:szCs w:val="32"/>
        </w:rPr>
        <w:t>认可境外</w:t>
      </w:r>
      <w:r w:rsidRPr="00327042">
        <w:rPr>
          <w:rFonts w:ascii="仿宋" w:eastAsia="仿宋" w:hAnsi="仿宋" w:cs="宋体" w:hint="eastAsia"/>
          <w:kern w:val="0"/>
          <w:sz w:val="32"/>
          <w:szCs w:val="32"/>
        </w:rPr>
        <w:t>成交</w:t>
      </w:r>
      <w:r w:rsidRPr="00327042">
        <w:rPr>
          <w:rFonts w:ascii="仿宋" w:eastAsia="仿宋" w:hAnsi="仿宋" w:cs="宋体"/>
          <w:kern w:val="0"/>
          <w:sz w:val="32"/>
          <w:szCs w:val="32"/>
        </w:rPr>
        <w:t>记录</w:t>
      </w:r>
      <w:r w:rsidRPr="00327042">
        <w:rPr>
          <w:rFonts w:ascii="仿宋" w:eastAsia="仿宋" w:hAnsi="仿宋" w:cs="宋体" w:hint="eastAsia"/>
          <w:kern w:val="0"/>
          <w:sz w:val="32"/>
          <w:szCs w:val="32"/>
        </w:rPr>
        <w:t>；</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（四）申请开立交易编码或者开通交易权限前连续</w:t>
      </w:r>
      <w:r w:rsidRPr="00327042">
        <w:rPr>
          <w:rFonts w:ascii="仿宋" w:eastAsia="仿宋" w:hAnsi="仿宋" w:cs="宋体"/>
          <w:kern w:val="0"/>
          <w:sz w:val="32"/>
          <w:szCs w:val="32"/>
        </w:rPr>
        <w:t>5</w:t>
      </w:r>
      <w:r w:rsidRPr="00327042">
        <w:rPr>
          <w:rFonts w:ascii="仿宋" w:eastAsia="仿宋" w:hAnsi="仿宋" w:cs="宋体" w:hint="eastAsia"/>
          <w:kern w:val="0"/>
          <w:sz w:val="32"/>
          <w:szCs w:val="32"/>
        </w:rPr>
        <w:t>个交易日保证金账户可用资金余额均不低于人民币</w:t>
      </w:r>
      <w:r w:rsidRPr="00327042">
        <w:rPr>
          <w:rFonts w:ascii="仿宋" w:eastAsia="仿宋" w:hAnsi="仿宋" w:cs="宋体"/>
          <w:kern w:val="0"/>
          <w:sz w:val="32"/>
          <w:szCs w:val="32"/>
        </w:rPr>
        <w:t>10</w:t>
      </w:r>
      <w:r w:rsidRPr="00327042">
        <w:rPr>
          <w:rFonts w:ascii="仿宋" w:eastAsia="仿宋" w:hAnsi="仿宋" w:cs="宋体" w:hint="eastAsia"/>
          <w:kern w:val="0"/>
          <w:sz w:val="32"/>
          <w:szCs w:val="32"/>
        </w:rPr>
        <w:t>万元或者等值外币；</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lastRenderedPageBreak/>
        <w:t>（五）不存在严重不良诚信记录、被有权监管机关宣布为期货市场禁止进入者和法律、法规、规章、交易所业务规则禁止或者限制从事期货交易的情形；</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（六）交易所要求的其他条件。</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第七条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具有境内交易场所实行适当性制度的其他上市品种交易权限的客户，申请开立交易所交易编码或者开通交易权限的，开户机构</w:t>
      </w:r>
      <w:r w:rsidRPr="00327042">
        <w:rPr>
          <w:rFonts w:ascii="仿宋" w:eastAsia="仿宋" w:hAnsi="仿宋" w:cs="宋体"/>
          <w:kern w:val="0"/>
          <w:sz w:val="32"/>
          <w:szCs w:val="32"/>
        </w:rPr>
        <w:t>可以不对</w:t>
      </w:r>
      <w:r w:rsidRPr="00327042">
        <w:rPr>
          <w:rFonts w:ascii="仿宋" w:eastAsia="仿宋" w:hAnsi="仿宋" w:cs="宋体" w:hint="eastAsia"/>
          <w:kern w:val="0"/>
          <w:sz w:val="32"/>
          <w:szCs w:val="32"/>
        </w:rPr>
        <w:t>其</w:t>
      </w:r>
      <w:r w:rsidRPr="00327042">
        <w:rPr>
          <w:rFonts w:ascii="仿宋" w:eastAsia="仿宋" w:hAnsi="仿宋" w:cs="宋体"/>
          <w:kern w:val="0"/>
          <w:sz w:val="32"/>
          <w:szCs w:val="32"/>
        </w:rPr>
        <w:t>进行</w:t>
      </w:r>
      <w:r w:rsidRPr="00327042">
        <w:rPr>
          <w:rFonts w:ascii="仿宋" w:eastAsia="仿宋" w:hAnsi="仿宋" w:cs="宋体" w:hint="eastAsia"/>
          <w:kern w:val="0"/>
          <w:sz w:val="32"/>
          <w:szCs w:val="32"/>
        </w:rPr>
        <w:t>本办法第五条第一项和第二项、第六条第二项和第三项评估；前述品种的资金要求不低于本办法第五条第三项、第六条第四项规定的，开户机构可以不再对其进行资金评估。</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开户机构应当充分使用已了解信息和已有评估结果，已通过适当性评估获得交易所某上市品种交易权限的客户，在同一开户机构可以自动获得交易所其他上市品种交易权限，可以不对本办法第五条、第六条进行重复评估。</w:t>
      </w:r>
    </w:p>
    <w:p w:rsidR="006D4AA9" w:rsidRPr="00327042" w:rsidRDefault="006D4AA9" w:rsidP="006D4AA9">
      <w:pPr>
        <w:widowControl/>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第八条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除法律、法规、规章以及中国证监会另有规定外，开户机构为以下客户参与实行适当性制度的上市品种申请开立交易编码或者开通交易权限的，可以不适用本办法第五条第一项至第三项、第六条第二项至第四项规定：</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（一）符合《证券期货投资者适当性管理办法》规定的专业投资者；</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（二）已开通实行适当性制度的某一品种交易权限，再通过其他开户机构开通该品种交易权限的客户；</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lastRenderedPageBreak/>
        <w:t>（三）近一年内具有累计不少于</w:t>
      </w:r>
      <w:r w:rsidRPr="00327042">
        <w:rPr>
          <w:rFonts w:ascii="仿宋" w:eastAsia="仿宋" w:hAnsi="仿宋" w:cs="宋体"/>
          <w:kern w:val="0"/>
          <w:sz w:val="32"/>
          <w:szCs w:val="32"/>
        </w:rPr>
        <w:t>50</w:t>
      </w:r>
      <w:r w:rsidRPr="00327042">
        <w:rPr>
          <w:rFonts w:ascii="仿宋" w:eastAsia="仿宋" w:hAnsi="仿宋" w:cs="宋体" w:hint="eastAsia"/>
          <w:kern w:val="0"/>
          <w:sz w:val="32"/>
          <w:szCs w:val="32"/>
        </w:rPr>
        <w:t>个交易日境内交易场所的期货合约、期权合约或者集中清算的其他衍生品交易成交记录或者认可境外成交记录的客户；</w:t>
      </w:r>
    </w:p>
    <w:p w:rsidR="006D4AA9" w:rsidRPr="00327042" w:rsidRDefault="006D4AA9" w:rsidP="006D4AA9">
      <w:pPr>
        <w:widowControl/>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（四）做市商、特殊单位客户等交易所认可的其他交易者。</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第九条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交易所可以根据市场情况调整交易者适当性标准。</w:t>
      </w:r>
    </w:p>
    <w:p w:rsidR="006D4AA9" w:rsidRPr="00327042" w:rsidRDefault="006D4AA9" w:rsidP="006D4AA9">
      <w:pPr>
        <w:keepNext/>
        <w:keepLines/>
        <w:spacing w:line="360" w:lineRule="auto"/>
        <w:ind w:firstLineChars="200" w:firstLine="640"/>
        <w:contextualSpacing/>
        <w:mirrorIndents/>
        <w:jc w:val="center"/>
        <w:outlineLvl w:val="1"/>
        <w:rPr>
          <w:rFonts w:ascii="Cambria" w:eastAsia="黑体" w:hAnsi="Cambria"/>
          <w:bCs/>
          <w:sz w:val="32"/>
          <w:szCs w:val="32"/>
        </w:rPr>
      </w:pPr>
      <w:bookmarkStart w:id="1" w:name="_Toc380322204"/>
      <w:r w:rsidRPr="00327042">
        <w:rPr>
          <w:rFonts w:ascii="Cambria" w:eastAsia="黑体" w:hAnsi="Cambria" w:hint="eastAsia"/>
          <w:sz w:val="32"/>
          <w:szCs w:val="32"/>
        </w:rPr>
        <w:t>第三章</w:t>
      </w:r>
      <w:r w:rsidRPr="00327042">
        <w:rPr>
          <w:rFonts w:ascii="Cambria" w:eastAsia="黑体" w:hAnsi="Cambria" w:hint="eastAsia"/>
          <w:sz w:val="32"/>
          <w:szCs w:val="32"/>
        </w:rPr>
        <w:t xml:space="preserve"> </w:t>
      </w:r>
      <w:r w:rsidRPr="00327042">
        <w:rPr>
          <w:rFonts w:ascii="Cambria" w:eastAsia="黑体" w:hAnsi="Cambria" w:hint="eastAsia"/>
          <w:sz w:val="32"/>
          <w:szCs w:val="32"/>
        </w:rPr>
        <w:t>适当性</w:t>
      </w:r>
      <w:r w:rsidRPr="00327042">
        <w:rPr>
          <w:rFonts w:ascii="Cambria" w:eastAsia="黑体" w:hAnsi="Cambria" w:cs="宋体" w:hint="eastAsia"/>
          <w:kern w:val="0"/>
          <w:sz w:val="32"/>
          <w:szCs w:val="32"/>
        </w:rPr>
        <w:t>制度</w:t>
      </w:r>
      <w:r w:rsidRPr="00327042">
        <w:rPr>
          <w:rFonts w:ascii="Cambria" w:eastAsia="黑体" w:hAnsi="Cambria" w:hint="eastAsia"/>
          <w:sz w:val="32"/>
          <w:szCs w:val="32"/>
        </w:rPr>
        <w:t>的实施</w:t>
      </w:r>
      <w:bookmarkEnd w:id="1"/>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dstrike/>
          <w:kern w:val="0"/>
          <w:sz w:val="32"/>
          <w:szCs w:val="32"/>
        </w:rPr>
      </w:pPr>
      <w:r w:rsidRPr="00327042">
        <w:rPr>
          <w:rFonts w:ascii="仿宋" w:eastAsia="仿宋" w:hAnsi="仿宋" w:cs="宋体" w:hint="eastAsia"/>
          <w:b/>
          <w:bCs/>
          <w:kern w:val="0"/>
          <w:sz w:val="32"/>
          <w:szCs w:val="32"/>
        </w:rPr>
        <w:t>第十条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应当根据中国证监会有关规定和本办法要求，建立健全客户适当性制度的具体实施方案，完善内部分工和业务流程，对客户基本情况、相关投资经历、财务状况和诚信状况等进行综合评估，并在交易权限开通或者关闭后</w:t>
      </w:r>
      <w:r w:rsidRPr="00327042">
        <w:rPr>
          <w:rFonts w:ascii="仿宋" w:eastAsia="仿宋" w:hAnsi="仿宋" w:cs="宋体"/>
          <w:kern w:val="0"/>
          <w:sz w:val="32"/>
          <w:szCs w:val="32"/>
        </w:rPr>
        <w:t>3</w:t>
      </w:r>
      <w:r w:rsidRPr="00327042">
        <w:rPr>
          <w:rFonts w:ascii="仿宋" w:eastAsia="仿宋" w:hAnsi="仿宋" w:cs="宋体" w:hint="eastAsia"/>
          <w:kern w:val="0"/>
          <w:sz w:val="32"/>
          <w:szCs w:val="32"/>
        </w:rPr>
        <w:t>个交易日内向交易所报备相应交易编码及其变更情况。</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第十一条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开户机构应当建立并有效执行客户开发责任追究制度，明确相关岗位工作人员的责任。</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第十二条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应当向客户充分揭示期货交易风险，客观介绍期货交易法律法规、交易所业务规则及有关规定和决定、产品特征，了解客户的期货交易基础知识水平，严格验证客户资金、交易经历和仿真交易经历，审慎评估客户的诚信状况和风险承受能力，审核客户交易编码或者交易权限申请材料等开户资料。</w:t>
      </w:r>
    </w:p>
    <w:p w:rsidR="006D4AA9" w:rsidRPr="00327042" w:rsidRDefault="006D4AA9" w:rsidP="006D4AA9">
      <w:pPr>
        <w:widowControl/>
        <w:spacing w:line="360" w:lineRule="auto"/>
        <w:ind w:firstLineChars="200" w:firstLine="643"/>
        <w:contextualSpacing/>
        <w:mirrorIndents/>
        <w:rPr>
          <w:rFonts w:ascii="仿宋" w:eastAsia="仿宋" w:hAnsi="仿宋" w:cs="宋体"/>
          <w:dstrike/>
          <w:kern w:val="0"/>
          <w:sz w:val="32"/>
          <w:szCs w:val="32"/>
        </w:rPr>
      </w:pPr>
      <w:r w:rsidRPr="00327042">
        <w:rPr>
          <w:rFonts w:ascii="仿宋" w:eastAsia="仿宋" w:hAnsi="仿宋" w:cs="宋体" w:hint="eastAsia"/>
          <w:b/>
          <w:bCs/>
          <w:kern w:val="0"/>
          <w:sz w:val="32"/>
          <w:szCs w:val="32"/>
        </w:rPr>
        <w:lastRenderedPageBreak/>
        <w:t>第十三条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开户机构应当对客户进行辅导，督促客户遵守期货交易相关法律、法规、规章、交易所业务规则及有关规定和决定，持续开展客户风险教育，加强客户交易行为的合法与合规性管理。</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第十四条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开户机构应当建立并妥善保管客户资料档案，严格为客户保密。</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第十五条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开户机构应当为客户提供合理的投诉渠道，告知投诉的方法和程序，妥善处理纠纷，督促客户依法维护自身权益。</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第十六条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交易者应当如实提交交易编码或者交易权限申请材料等开户资料，不得采取虚假申报等手段规避交易者适当性制度要求。</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第十七条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交易者应当遵守买卖自负的原则，承担期货交易的履约责任，不得以不符合交易者适当性标准为由拒绝承担期货交易履约责任。</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第十八条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交易者应当依照法律法规的相关规定，通过正当途径维护自身合法权益，不得侵害国家、社会、集体利益和他人合法权益，不得扰乱社会公共秩序、交易所及相关单位的工作秩序。</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第十九条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期货公司会员与境外经纪机构之间存在委托协议的，应当建立业务对接规则，落实交易者适当性制度的相关要求。</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lastRenderedPageBreak/>
        <w:t>第二十条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期货公司会员委托具有中间业务介绍资格的公司协助办理交易编码或者交易权限申请手续的，应当与该公司建立业务对接规则，落实交易者适当性制度的相关要求，并对该公司的相关业务进行复核。</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第二十一条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交易所对开户机构落实交易者适当性制度情况进行检查。</w:t>
      </w:r>
    </w:p>
    <w:p w:rsidR="006D4AA9" w:rsidRPr="00327042" w:rsidRDefault="006D4AA9" w:rsidP="006D4AA9">
      <w:pPr>
        <w:widowControl/>
        <w:tabs>
          <w:tab w:val="left" w:pos="1417"/>
        </w:tabs>
        <w:spacing w:line="360" w:lineRule="auto"/>
        <w:ind w:firstLineChars="200" w:firstLine="640"/>
        <w:contextualSpacing/>
        <w:mirrorIndents/>
        <w:rPr>
          <w:rFonts w:ascii="仿宋" w:eastAsia="仿宋" w:hAnsi="仿宋" w:cs="宋体"/>
          <w:kern w:val="0"/>
          <w:sz w:val="32"/>
          <w:szCs w:val="32"/>
        </w:rPr>
      </w:pPr>
      <w:r w:rsidRPr="00327042">
        <w:rPr>
          <w:rFonts w:ascii="仿宋" w:eastAsia="仿宋" w:hAnsi="仿宋" w:cs="宋体" w:hint="eastAsia"/>
          <w:kern w:val="0"/>
          <w:sz w:val="32"/>
          <w:szCs w:val="32"/>
        </w:rPr>
        <w:t>开户机构应当配合检查，如实提供客户交易编码或者交易权限申请材料等开户资料、资金账户情况等资料，不得隐瞒、阻碍和拒绝。</w:t>
      </w:r>
    </w:p>
    <w:p w:rsidR="006D4AA9" w:rsidRPr="00327042" w:rsidRDefault="006D4AA9" w:rsidP="006D4AA9">
      <w:pPr>
        <w:keepNext/>
        <w:keepLines/>
        <w:spacing w:line="360" w:lineRule="auto"/>
        <w:contextualSpacing/>
        <w:mirrorIndents/>
        <w:jc w:val="center"/>
        <w:outlineLvl w:val="1"/>
        <w:rPr>
          <w:rFonts w:ascii="Cambria" w:eastAsia="黑体" w:hAnsi="Cambria"/>
          <w:bCs/>
          <w:sz w:val="32"/>
          <w:szCs w:val="32"/>
        </w:rPr>
      </w:pPr>
      <w:bookmarkStart w:id="2" w:name="_Toc380322205"/>
      <w:r w:rsidRPr="00327042">
        <w:rPr>
          <w:rFonts w:ascii="Cambria" w:eastAsia="黑体" w:hAnsi="Cambria" w:hint="eastAsia"/>
          <w:sz w:val="32"/>
          <w:szCs w:val="32"/>
        </w:rPr>
        <w:t>第四章</w:t>
      </w:r>
      <w:bookmarkEnd w:id="2"/>
      <w:r w:rsidRPr="00327042">
        <w:rPr>
          <w:rFonts w:ascii="Cambria" w:eastAsia="黑体" w:hAnsi="Cambria" w:hint="eastAsia"/>
          <w:sz w:val="32"/>
          <w:szCs w:val="32"/>
        </w:rPr>
        <w:t xml:space="preserve"> </w:t>
      </w:r>
      <w:r w:rsidRPr="00327042">
        <w:rPr>
          <w:rFonts w:ascii="Cambria" w:eastAsia="黑体" w:hAnsi="Cambria" w:hint="eastAsia"/>
          <w:sz w:val="32"/>
          <w:szCs w:val="32"/>
        </w:rPr>
        <w:t>附</w:t>
      </w:r>
      <w:r>
        <w:rPr>
          <w:rFonts w:ascii="Cambria" w:eastAsia="黑体" w:hAnsi="Cambria" w:hint="eastAsia"/>
          <w:sz w:val="32"/>
          <w:szCs w:val="32"/>
        </w:rPr>
        <w:t xml:space="preserve"> </w:t>
      </w:r>
      <w:r w:rsidRPr="00327042">
        <w:rPr>
          <w:rFonts w:ascii="Cambria" w:eastAsia="黑体" w:hAnsi="Cambria" w:hint="eastAsia"/>
          <w:sz w:val="32"/>
          <w:szCs w:val="32"/>
        </w:rPr>
        <w:t>则</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dstrike/>
          <w:kern w:val="0"/>
          <w:sz w:val="32"/>
          <w:szCs w:val="32"/>
        </w:rPr>
      </w:pPr>
      <w:r w:rsidRPr="00327042">
        <w:rPr>
          <w:rFonts w:ascii="仿宋" w:eastAsia="仿宋" w:hAnsi="仿宋" w:cs="宋体" w:hint="eastAsia"/>
          <w:b/>
          <w:bCs/>
          <w:kern w:val="0"/>
          <w:sz w:val="32"/>
          <w:szCs w:val="32"/>
        </w:rPr>
        <w:t>第</w:t>
      </w:r>
      <w:r w:rsidRPr="00327042">
        <w:rPr>
          <w:rFonts w:ascii="仿宋" w:eastAsia="仿宋" w:hAnsi="仿宋" w:cs="宋体" w:hint="eastAsia"/>
          <w:b/>
          <w:kern w:val="0"/>
          <w:sz w:val="32"/>
          <w:szCs w:val="32"/>
        </w:rPr>
        <w:t>二十二</w:t>
      </w:r>
      <w:r w:rsidRPr="00327042">
        <w:rPr>
          <w:rFonts w:ascii="仿宋" w:eastAsia="仿宋" w:hAnsi="仿宋" w:cs="宋体" w:hint="eastAsia"/>
          <w:b/>
          <w:bCs/>
          <w:kern w:val="0"/>
          <w:sz w:val="32"/>
          <w:szCs w:val="32"/>
        </w:rPr>
        <w:t>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违反本办法规定的，交易所按照《郑州商品交易所违规处理办法》的有关规定处理。</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第二十</w:t>
      </w:r>
      <w:r w:rsidRPr="00327042">
        <w:rPr>
          <w:rFonts w:ascii="仿宋" w:eastAsia="仿宋" w:hAnsi="仿宋" w:cs="宋体" w:hint="eastAsia"/>
          <w:b/>
          <w:kern w:val="0"/>
          <w:sz w:val="32"/>
          <w:szCs w:val="32"/>
        </w:rPr>
        <w:t>三</w:t>
      </w:r>
      <w:r w:rsidRPr="00327042">
        <w:rPr>
          <w:rFonts w:ascii="仿宋" w:eastAsia="仿宋" w:hAnsi="仿宋" w:cs="宋体" w:hint="eastAsia"/>
          <w:b/>
          <w:bCs/>
          <w:kern w:val="0"/>
          <w:sz w:val="32"/>
          <w:szCs w:val="32"/>
        </w:rPr>
        <w:t>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本办法解释权属于交易所。</w:t>
      </w:r>
    </w:p>
    <w:p w:rsidR="006D4AA9" w:rsidRPr="00327042" w:rsidRDefault="006D4AA9" w:rsidP="006D4AA9">
      <w:pPr>
        <w:widowControl/>
        <w:tabs>
          <w:tab w:val="left" w:pos="1417"/>
        </w:tabs>
        <w:spacing w:line="360" w:lineRule="auto"/>
        <w:ind w:firstLineChars="200" w:firstLine="643"/>
        <w:contextualSpacing/>
        <w:mirrorIndents/>
        <w:rPr>
          <w:rFonts w:ascii="仿宋" w:eastAsia="仿宋" w:hAnsi="仿宋" w:cs="宋体"/>
          <w:kern w:val="0"/>
          <w:sz w:val="32"/>
          <w:szCs w:val="32"/>
        </w:rPr>
      </w:pPr>
      <w:r w:rsidRPr="00327042">
        <w:rPr>
          <w:rFonts w:ascii="仿宋" w:eastAsia="仿宋" w:hAnsi="仿宋" w:cs="宋体" w:hint="eastAsia"/>
          <w:b/>
          <w:bCs/>
          <w:kern w:val="0"/>
          <w:sz w:val="32"/>
          <w:szCs w:val="32"/>
        </w:rPr>
        <w:t>第二十</w:t>
      </w:r>
      <w:r w:rsidRPr="00327042">
        <w:rPr>
          <w:rFonts w:ascii="仿宋" w:eastAsia="仿宋" w:hAnsi="仿宋" w:cs="宋体" w:hint="eastAsia"/>
          <w:b/>
          <w:kern w:val="0"/>
          <w:sz w:val="32"/>
          <w:szCs w:val="32"/>
        </w:rPr>
        <w:t>四</w:t>
      </w:r>
      <w:r w:rsidRPr="00327042">
        <w:rPr>
          <w:rFonts w:ascii="仿宋" w:eastAsia="仿宋" w:hAnsi="仿宋" w:cs="宋体" w:hint="eastAsia"/>
          <w:b/>
          <w:bCs/>
          <w:kern w:val="0"/>
          <w:sz w:val="32"/>
          <w:szCs w:val="32"/>
        </w:rPr>
        <w:t>条</w:t>
      </w:r>
      <w:r>
        <w:rPr>
          <w:rFonts w:ascii="仿宋" w:eastAsia="仿宋" w:hAnsi="仿宋" w:cs="宋体" w:hint="eastAsia"/>
          <w:b/>
          <w:bCs/>
          <w:kern w:val="0"/>
          <w:sz w:val="32"/>
          <w:szCs w:val="32"/>
        </w:rPr>
        <w:t xml:space="preserve"> </w:t>
      </w:r>
      <w:r w:rsidRPr="00327042">
        <w:rPr>
          <w:rFonts w:ascii="仿宋" w:eastAsia="仿宋" w:hAnsi="仿宋" w:cs="宋体" w:hint="eastAsia"/>
          <w:kern w:val="0"/>
          <w:sz w:val="32"/>
          <w:szCs w:val="32"/>
        </w:rPr>
        <w:t>本办法自</w:t>
      </w:r>
      <w:r>
        <w:rPr>
          <w:rFonts w:ascii="仿宋" w:eastAsia="仿宋" w:hAnsi="仿宋" w:cs="宋体" w:hint="eastAsia"/>
          <w:kern w:val="0"/>
          <w:sz w:val="32"/>
          <w:szCs w:val="32"/>
        </w:rPr>
        <w:t>2019</w:t>
      </w:r>
      <w:r w:rsidRPr="00327042">
        <w:rPr>
          <w:rFonts w:ascii="仿宋" w:eastAsia="仿宋" w:hAnsi="仿宋" w:cs="宋体" w:hint="eastAsia"/>
          <w:kern w:val="0"/>
          <w:sz w:val="32"/>
          <w:szCs w:val="32"/>
        </w:rPr>
        <w:t>年</w:t>
      </w:r>
      <w:r>
        <w:rPr>
          <w:rFonts w:ascii="仿宋" w:eastAsia="仿宋" w:hAnsi="仿宋" w:cs="宋体" w:hint="eastAsia"/>
          <w:kern w:val="0"/>
          <w:sz w:val="32"/>
          <w:szCs w:val="32"/>
        </w:rPr>
        <w:t>5月31</w:t>
      </w:r>
      <w:r w:rsidRPr="00327042">
        <w:rPr>
          <w:rFonts w:ascii="仿宋" w:eastAsia="仿宋" w:hAnsi="仿宋" w:cs="宋体" w:hint="eastAsia"/>
          <w:kern w:val="0"/>
          <w:sz w:val="32"/>
          <w:szCs w:val="32"/>
        </w:rPr>
        <w:t>日起实施。</w:t>
      </w:r>
    </w:p>
    <w:p w:rsidR="006D4AA9" w:rsidRPr="00DE2D30" w:rsidRDefault="006D4AA9" w:rsidP="006D4AA9">
      <w:pPr>
        <w:rPr>
          <w:rFonts w:ascii="仿宋" w:eastAsia="仿宋" w:hAnsi="仿宋"/>
          <w:spacing w:val="-6"/>
          <w:sz w:val="32"/>
        </w:rPr>
      </w:pPr>
    </w:p>
    <w:p w:rsidR="006D4AA9" w:rsidRPr="00DE2D30" w:rsidRDefault="006D4AA9" w:rsidP="006D4AA9">
      <w:pPr>
        <w:rPr>
          <w:rFonts w:ascii="仿宋" w:eastAsia="仿宋" w:hAnsi="仿宋"/>
          <w:spacing w:val="-6"/>
          <w:sz w:val="32"/>
        </w:rPr>
      </w:pPr>
    </w:p>
    <w:p w:rsidR="006D4AA9" w:rsidRPr="00DE2D30" w:rsidRDefault="006D4AA9" w:rsidP="006D4AA9">
      <w:pPr>
        <w:ind w:right="1287"/>
        <w:rPr>
          <w:rFonts w:ascii="仿宋" w:eastAsia="仿宋" w:hAnsi="仿宋"/>
          <w:spacing w:val="-6"/>
          <w:sz w:val="32"/>
        </w:rPr>
      </w:pPr>
    </w:p>
    <w:p w:rsidR="006D4AA9" w:rsidRPr="00F141E0" w:rsidRDefault="006D4AA9" w:rsidP="006D4AA9"/>
    <w:p w:rsidR="006D4AA9" w:rsidRDefault="006D4AA9" w:rsidP="006D4AA9"/>
    <w:p w:rsidR="00FF27D6" w:rsidRDefault="00FF27D6"/>
    <w:sectPr w:rsidR="00FF27D6" w:rsidSect="00511404">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79" w:rsidRDefault="006D4AA9">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10</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79" w:rsidRDefault="006D4AA9">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4AA9"/>
    <w:rsid w:val="006D4AA9"/>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4AA9"/>
    <w:pPr>
      <w:tabs>
        <w:tab w:val="center" w:pos="4153"/>
        <w:tab w:val="right" w:pos="8306"/>
      </w:tabs>
      <w:snapToGrid w:val="0"/>
      <w:jc w:val="left"/>
    </w:pPr>
    <w:rPr>
      <w:sz w:val="18"/>
      <w:szCs w:val="18"/>
    </w:rPr>
  </w:style>
  <w:style w:type="character" w:customStyle="1" w:styleId="Char">
    <w:name w:val="页脚 Char"/>
    <w:basedOn w:val="a0"/>
    <w:link w:val="a3"/>
    <w:rsid w:val="006D4AA9"/>
    <w:rPr>
      <w:rFonts w:ascii="Times New Roman" w:eastAsia="宋体" w:hAnsi="Times New Roman" w:cs="Times New Roman"/>
      <w:sz w:val="18"/>
      <w:szCs w:val="18"/>
    </w:rPr>
  </w:style>
  <w:style w:type="character" w:styleId="a4">
    <w:name w:val="page number"/>
    <w:basedOn w:val="a0"/>
    <w:rsid w:val="006D4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1524</Characters>
  <Application>Microsoft Office Word</Application>
  <DocSecurity>0</DocSecurity>
  <Lines>138</Lines>
  <Paragraphs>154</Paragraphs>
  <ScaleCrop>false</ScaleCrop>
  <Company>Lenovo</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2019-05-31T07:27:00Z</dcterms:created>
  <dcterms:modified xsi:type="dcterms:W3CDTF">2019-05-31T07:28:00Z</dcterms:modified>
</cp:coreProperties>
</file>